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left w:val="none"/>
              <w:bottom w:val="none"/>
              <w:right w:val="none"/>
            </w:tcBorders>
            <w:shd w:fill="1F3A5F" w:val="clear"/>
            <w:tcMar>
              <w:top w:type="dxa" w:w="300"/>
              <w:left w:type="dxa" w:w="300"/>
              <w:bottom w:type="dxa" w:w="300"/>
              <w:right w:type="dxa" w:w="300"/>
            </w:tcMar>
          </w:tcPr>
          <w:p>
            <w:pPr>
              <w:spacing w:after="80" w:before="0"/>
            </w:pPr>
            <w:r>
              <w:rPr>
                <w:rFonts w:ascii="Calibri" w:cs="Calibri" w:eastAsia="Calibri" w:hAnsi="Calibri"/>
                <w:b/>
                <w:bCs/>
                <w:color w:val="C9A961"/>
                <w:sz w:val="18"/>
                <w:szCs w:val="18"/>
              </w:rPr>
              <w:t xml:space="preserve">POLICY BRIEF</w:t>
            </w:r>
          </w:p>
          <w:p>
            <w:pPr>
              <w:spacing w:after="0" w:before="0"/>
            </w:pPr>
            <w:r>
              <w:rPr>
                <w:rFonts w:ascii="Calibri" w:cs="Calibri" w:eastAsia="Calibri" w:hAnsi="Calibri"/>
                <w:color w:val="BDC8D4"/>
                <w:sz w:val="17"/>
                <w:szCs w:val="17"/>
              </w:rPr>
              <w:t xml:space="preserve">Mayo 2026  ·  Economía Política y Democracia en América Latina</w:t>
            </w:r>
          </w:p>
        </w:tc>
      </w:tr>
    </w:tbl>
    <w:p>
      <w:pPr>
        <w:spacing w:after="0" w:before="300"/>
      </w:pPr>
    </w:p>
    <w:p>
      <w:pPr>
        <w:spacing w:after="120" w:before="0"/>
        <w:jc w:val="left"/>
      </w:pPr>
      <w:r>
        <w:rPr>
          <w:rFonts w:ascii="Cambria" w:cs="Cambria" w:eastAsia="Cambria" w:hAnsi="Cambria"/>
          <w:b/>
          <w:bCs/>
          <w:color w:val="1F3A5F"/>
          <w:sz w:val="44"/>
          <w:szCs w:val="44"/>
        </w:rPr>
        <w:t xml:space="preserve">Racionalidad financiera, subjetividad
y erosión democrática en América Latina</w:t>
      </w:r>
    </w:p>
    <w:p>
      <w:pPr>
        <w:spacing w:after="360" w:before="0"/>
        <w:jc w:val="left"/>
      </w:pPr>
      <w:r>
        <w:rPr>
          <w:rFonts w:ascii="Cambria" w:cs="Cambria" w:eastAsia="Cambria" w:hAnsi="Cambria"/>
          <w:i/>
          <w:iCs/>
          <w:color w:val="555555"/>
          <w:sz w:val="24"/>
          <w:szCs w:val="24"/>
        </w:rPr>
        <w:t xml:space="preserve">Un marco analítico para comprender la antipolítica contemporánea e identificar palancas de intervención</w:t>
      </w:r>
    </w:p>
    <w:p>
      <w:pPr>
        <w:pBdr>
          <w:bottom w:val="single" w:color="C9A961" w:sz="16" w:space="1"/>
        </w:pBdr>
        <w:spacing w:after="0" w:before="0"/>
      </w:pPr>
    </w:p>
    <w:p>
      <w:pPr>
        <w:spacing w:after="0" w:before="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300"/>
        <w:gridCol w:w="4337"/>
      </w:tblGrid>
      <w:tr>
        <w:tc>
          <w:tcPr>
            <w:tcW w:type="dxa" w:w="5300"/>
            <w:tcBorders>
              <w:top w:val="none"/>
              <w:left w:val="none"/>
              <w:bottom w:val="none"/>
              <w:right w:val="none"/>
            </w:tcBorders>
            <w:shd w:fill="F4EFE6" w:val="clear"/>
            <w:tcMar>
              <w:top w:type="dxa" w:w="180"/>
              <w:left w:type="dxa" w:w="220"/>
              <w:bottom w:type="dxa" w:w="180"/>
              <w:right w:type="dxa" w:w="100"/>
            </w:tcMar>
          </w:tcPr>
          <w:p>
            <w:pPr>
              <w:spacing w:after="60" w:before="0"/>
            </w:pPr>
            <w:r>
              <w:rPr>
                <w:rFonts w:ascii="Cambria" w:cs="Cambria" w:eastAsia="Cambria" w:hAnsi="Cambria"/>
                <w:b/>
                <w:bCs/>
                <w:color w:val="1F3A5F"/>
                <w:sz w:val="26"/>
                <w:szCs w:val="26"/>
              </w:rPr>
              <w:t xml:space="preserve">Mariano Nicolás Terraf</w:t>
            </w:r>
          </w:p>
          <w:p>
            <w:pPr>
              <w:spacing w:after="40" w:before="0"/>
            </w:pPr>
            <w:r>
              <w:rPr>
                <w:rFonts w:ascii="Calibri" w:cs="Calibri" w:eastAsia="Calibri" w:hAnsi="Calibri"/>
                <w:color w:val="555555"/>
                <w:sz w:val="19"/>
                <w:szCs w:val="19"/>
              </w:rPr>
              <w:t xml:space="preserve">Becario Doctoral CONICET</w:t>
            </w:r>
          </w:p>
          <w:p>
            <w:pPr>
              <w:spacing w:after="40" w:before="0"/>
            </w:pPr>
            <w:r>
              <w:rPr>
                <w:rFonts w:ascii="Calibri" w:cs="Calibri" w:eastAsia="Calibri" w:hAnsi="Calibri"/>
                <w:color w:val="555555"/>
                <w:sz w:val="19"/>
                <w:szCs w:val="19"/>
              </w:rPr>
              <w:t xml:space="preserve">Doctorando en Humanidades, UNT</w:t>
            </w:r>
          </w:p>
          <w:p>
            <w:pPr>
              <w:spacing w:after="0" w:before="0"/>
            </w:pPr>
            <w:r>
              <w:rPr>
                <w:rFonts w:ascii="Calibri" w:cs="Calibri" w:eastAsia="Calibri" w:hAnsi="Calibri"/>
                <w:color w:val="555555"/>
                <w:sz w:val="19"/>
                <w:szCs w:val="19"/>
              </w:rPr>
              <w:t xml:space="preserve">Investigador en economía política, sociología económica y filosofía política</w:t>
            </w:r>
          </w:p>
        </w:tc>
        <w:tc>
          <w:tcPr>
            <w:tcW w:type="dxa" w:w="4337"/>
            <w:tcBorders>
              <w:top w:val="none"/>
              <w:left w:val="none"/>
              <w:bottom w:val="none"/>
              <w:right w:val="none"/>
            </w:tcBorders>
            <w:shd w:fill="F4EFE6" w:val="clear"/>
            <w:tcMar>
              <w:top w:type="dxa" w:w="180"/>
              <w:left w:type="dxa" w:w="100"/>
              <w:bottom w:type="dxa" w:w="180"/>
              <w:right w:type="dxa" w:w="220"/>
            </w:tcMar>
            <w:vAlign w:val="bottom"/>
          </w:tcPr>
          <w:p>
            <w:pPr>
              <w:spacing w:after="40" w:before="0"/>
              <w:jc w:val="right"/>
            </w:pPr>
            <w:r>
              <w:rPr>
                <w:rFonts w:ascii="Calibri" w:cs="Calibri" w:eastAsia="Calibri" w:hAnsi="Calibri"/>
                <w:color w:val="555555"/>
                <w:sz w:val="18"/>
                <w:szCs w:val="18"/>
              </w:rPr>
              <w:t xml:space="preserve">terrafmariano@gmail.com</w:t>
            </w:r>
          </w:p>
          <w:p>
            <w:pPr>
              <w:spacing w:after="40" w:before="0"/>
              <w:jc w:val="right"/>
            </w:pPr>
            <w:r>
              <w:rPr>
                <w:rFonts w:ascii="Calibri" w:cs="Calibri" w:eastAsia="Calibri" w:hAnsi="Calibri"/>
                <w:color w:val="555555"/>
                <w:sz w:val="18"/>
                <w:szCs w:val="18"/>
              </w:rPr>
              <w:t xml:space="preserve">linkedin.com/in/mariano-terraf-40a10852</w:t>
            </w:r>
          </w:p>
          <w:p>
            <w:pPr>
              <w:spacing w:after="40" w:before="0"/>
              <w:jc w:val="right"/>
            </w:pPr>
            <w:r>
              <w:rPr>
                <w:rFonts w:ascii="Calibri" w:cs="Calibri" w:eastAsia="Calibri" w:hAnsi="Calibri"/>
                <w:color w:val="555555"/>
                <w:sz w:val="18"/>
                <w:szCs w:val="18"/>
              </w:rPr>
              <w:t xml:space="preserve">orcid.org/0009-0009-7836-4289</w:t>
            </w:r>
          </w:p>
          <w:p>
            <w:pPr>
              <w:spacing w:after="0" w:before="0"/>
              <w:jc w:val="right"/>
            </w:pPr>
            <w:r>
              <w:rPr>
                <w:rFonts w:ascii="Calibri" w:cs="Calibri" w:eastAsia="Calibri" w:hAnsi="Calibri"/>
                <w:i/>
                <w:iCs/>
                <w:color w:val="555555"/>
                <w:sz w:val="18"/>
                <w:szCs w:val="18"/>
              </w:rPr>
              <w:t xml:space="preserve">San Miguel de Tucumán, Argentina</w:t>
            </w:r>
          </w:p>
        </w:tc>
      </w:tr>
    </w:tbl>
    <w:p>
      <w:r>
        <w:br w:type="page"/>
      </w:r>
    </w:p>
    <w:p>
      <w:pPr>
        <w:sectPr>
          <w:pgSz w:w="11906" w:h="16838" w:orient="portrait"/>
          <w:pgMar w:top="1134" w:right="1134" w:bottom="1134" w:left="1134" w:header="708" w:footer="708" w:gutter="0"/>
          <w:pgNumType/>
          <w:docGrid w:linePitch="360"/>
        </w:sectPr>
      </w:pPr>
    </w:p>
    <w:p>
      <w:pPr>
        <w:spacing w:after="100" w:before="280"/>
      </w:pPr>
      <w:r>
        <w:rPr>
          <w:rFonts w:ascii="Cambria" w:cs="Cambria" w:eastAsia="Cambria" w:hAnsi="Cambria"/>
          <w:b/>
          <w:bCs/>
          <w:color w:val="1F3A5F"/>
          <w:sz w:val="22"/>
          <w:szCs w:val="22"/>
        </w:rPr>
        <w:t xml:space="preserve">RESUMEN EJECUTIVO</w:t>
      </w:r>
    </w:p>
    <w:p>
      <w:pPr>
        <w:pBdr>
          <w:bottom w:val="single" w:color="1F3A5F" w:sz="4" w:space="1"/>
        </w:pBdr>
        <w:spacing w:after="0" w:before="0"/>
      </w:pPr>
    </w:p>
    <w:p>
      <w:pPr>
        <w:spacing w:after="8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3A5F" w:sz="8"/>
              <w:left w:val="none"/>
              <w:bottom w:val="single" w:color="1F3A5F" w:sz="8"/>
              <w:right w:val="none"/>
            </w:tcBorders>
            <w:shd w:fill="EAF2F8" w:val="clear"/>
            <w:tcMar>
              <w:top w:type="dxa" w:w="160"/>
              <w:left w:type="dxa" w:w="220"/>
              <w:bottom w:type="dxa" w:w="160"/>
              <w:right w:type="dxa" w:w="220"/>
            </w:tcMar>
          </w:tcPr>
          <w:p>
            <w:pPr>
              <w:spacing w:after="120" w:before="0"/>
              <w:jc w:val="both"/>
            </w:pPr>
            <w:r>
              <w:rPr>
                <w:rFonts w:ascii="Calibri" w:cs="Calibri" w:eastAsia="Calibri" w:hAnsi="Calibri"/>
                <w:sz w:val="21"/>
                <w:szCs w:val="21"/>
              </w:rPr>
              <w:t xml:space="preserve">Las democracias latinoamericanas enfrentan un desafío que los diagnósticos convencionales —corrupción, polarización, debilidad institucional— no alcanzan a explicar del todo. Este documento argumenta que la erosión democrática contemporánea tiene una dimensión </w:t>
            </w:r>
            <w:r>
              <w:rPr>
                <w:rFonts w:ascii="Calibri" w:cs="Calibri" w:eastAsia="Calibri" w:hAnsi="Calibri"/>
                <w:b/>
                <w:bCs/>
                <w:sz w:val="21"/>
                <w:szCs w:val="21"/>
              </w:rPr>
              <w:t xml:space="preserve">subjetiva</w:t>
            </w:r>
            <w:r>
              <w:rPr>
                <w:rFonts w:ascii="Calibri" w:cs="Calibri" w:eastAsia="Calibri" w:hAnsi="Calibri"/>
                <w:sz w:val="21"/>
                <w:szCs w:val="21"/>
              </w:rPr>
              <w:t xml:space="preserve"> producida por condiciones materiales específicas: la diseminación de la racionalidad financiera más allá del mundo corporativo, hacia el trabajo, los vínculos y la experiencia cotidiana.</w:t>
            </w:r>
          </w:p>
          <w:p>
            <w:pPr>
              <w:spacing w:after="120" w:before="0"/>
              <w:jc w:val="both"/>
            </w:pPr>
            <w:r>
              <w:rPr>
                <w:rFonts w:ascii="Calibri" w:cs="Calibri" w:eastAsia="Calibri" w:hAnsi="Calibri"/>
                <w:sz w:val="21"/>
                <w:szCs w:val="21"/>
              </w:rPr>
              <w:t xml:space="preserve">El argumento central es que la extensión de la lógica del valor accionarial —evaluación continua, desplazamiento del riesgo hacia los individuos, internalización del estándar competitivo— produce sujetos predispuestos a rechazar la mediación institucional, a evaluar la política con criterios de rendimiento inmediato y a experimentar el vínculo colectivo como una carga. Ese sujeto es el sustrato de la antipolítica contemporánea.</w:t>
            </w:r>
          </w:p>
          <w:p>
            <w:pPr>
              <w:spacing w:after="0" w:before="0"/>
              <w:jc w:val="both"/>
            </w:pPr>
            <w:r>
              <w:rPr>
                <w:rFonts w:ascii="Calibri" w:cs="Calibri" w:eastAsia="Calibri" w:hAnsi="Calibri"/>
                <w:sz w:val="21"/>
                <w:szCs w:val="21"/>
              </w:rPr>
              <w:t xml:space="preserve">Las implicaciones para el diseño de políticas no son triviales: si el problema democrático tiene raíces subjetivas producidas por condiciones materiales y culturales concretas, las respuestas puramente normativas o electorales tienen alcance limitado. Se requieren intervenciones que operen sobre las condiciones de reproducción de esa subjetividad.</w:t>
            </w:r>
          </w:p>
        </w:tc>
      </w:tr>
    </w:tbl>
    <w:p>
      <w:pPr>
        <w:spacing w:after="0" w:before="160"/>
      </w:pPr>
    </w:p>
    <w:p>
      <w:pPr>
        <w:spacing w:after="100" w:before="280"/>
      </w:pPr>
      <w:r>
        <w:rPr>
          <w:rFonts w:ascii="Cambria" w:cs="Cambria" w:eastAsia="Cambria" w:hAnsi="Cambria"/>
          <w:b/>
          <w:bCs/>
          <w:color w:val="1F3A5F"/>
          <w:sz w:val="22"/>
          <w:szCs w:val="22"/>
        </w:rPr>
        <w:t xml:space="preserve">1. LA DEMOCRACIA EN CRISIS: MÁS ALLÁ DEL DIAGNÓSTICO INSTITUCIONAL</w:t>
      </w:r>
    </w:p>
    <w:p>
      <w:pPr>
        <w:pBdr>
          <w:bottom w:val="single" w:color="1F3A5F" w:sz="4" w:space="1"/>
        </w:pBdr>
        <w:spacing w:after="0" w:before="0"/>
      </w:pPr>
    </w:p>
    <w:p>
      <w:pPr>
        <w:spacing w:after="80" w:before="80"/>
      </w:pPr>
    </w:p>
    <w:p>
      <w:pPr>
        <w:spacing w:after="140" w:before="0"/>
        <w:jc w:val="both"/>
      </w:pPr>
      <w:r>
        <w:rPr>
          <w:rFonts w:ascii="Calibri" w:cs="Calibri" w:eastAsia="Calibri" w:hAnsi="Calibri"/>
          <w:i w:val="false"/>
          <w:iCs w:val="false"/>
          <w:sz w:val="21"/>
          <w:szCs w:val="21"/>
        </w:rPr>
        <w:t xml:space="preserve">Las democracias de la región atraviesan una paradoja visible: los procesos electorales se mantienen formalmente intactos mientras los contenidos democráticos —el principio de igualdad, la vigencia de derechos, la confianza en la representación— se erosionan desde adentro. Argentina, Brasil, Perú y Ecuador comparten síntomas reconocibles: ascenso de fuerzas que hacen de la antipolítica su capital, desafección creciente hacia partidos e instituciones, y una disposición ciudadana a ceder garantías colectivas en nombre de la eficiencia o el orden.</w:t>
      </w:r>
    </w:p>
    <w:p>
      <w:pPr>
        <w:spacing w:after="80" w:before="0"/>
      </w:pPr>
    </w:p>
    <w:p>
      <w:pPr>
        <w:spacing w:after="140" w:before="0"/>
        <w:jc w:val="both"/>
      </w:pPr>
      <w:r>
        <w:rPr>
          <w:rFonts w:ascii="Calibri" w:cs="Calibri" w:eastAsia="Calibri" w:hAnsi="Calibri"/>
          <w:i w:val="false"/>
          <w:iCs w:val="false"/>
          <w:sz w:val="21"/>
          <w:szCs w:val="21"/>
        </w:rPr>
        <w:t xml:space="preserve">El diagnóstico convencional ubica las causas en la corrupción, la ineficiencia estatal o la polarización. Sin negar la relevancia de esos factores, este documento propone un diagnóstico complementario: la erosión democrática contemporánea tiene una dimensión subjetiva que no puede comprenderse sin atender a la extensión de la racionalidad financiera como forma de gobierno de sí y de los otros.</w:t>
      </w:r>
    </w:p>
    <w:p>
      <w:pPr>
        <w:spacing w:after="80" w:before="0"/>
      </w:pPr>
    </w:p>
    <w:p>
      <w:pPr>
        <w:spacing w:after="140" w:before="0"/>
        <w:jc w:val="both"/>
      </w:pPr>
      <w:r>
        <w:rPr>
          <w:rFonts w:ascii="Calibri" w:cs="Calibri" w:eastAsia="Calibri" w:hAnsi="Calibri"/>
          <w:i w:val="false"/>
          <w:iCs w:val="false"/>
          <w:sz w:val="21"/>
          <w:szCs w:val="21"/>
        </w:rPr>
        <w:t xml:space="preserve">La democracia no es solo un conjunto de procedimientos formales. Es también una forma de subjetividad: implica ciudadanos que se reconocen como portadores de derechos iguales, que valoran la mediación colectiva y que están dispuestos a sostener vínculos con quienes piensan diferente. Cuando esa subjetividad se erosiona —cuando el ciudadano cede ante el individuo evaluado, competitivo y desconfiado— las instituciones democráticas quedan como cáscaras vacías que funcionan en beneficio de quienes las han conquistado (Marcos y Terraf, 2023).</w:t>
      </w:r>
    </w:p>
    <w:p>
      <w:pPr>
        <w:spacing w:after="0" w:before="160"/>
      </w:pPr>
    </w:p>
    <w:p>
      <w:pPr>
        <w:spacing w:after="100" w:before="280"/>
      </w:pPr>
      <w:r>
        <w:rPr>
          <w:rFonts w:ascii="Cambria" w:cs="Cambria" w:eastAsia="Cambria" w:hAnsi="Cambria"/>
          <w:b/>
          <w:bCs/>
          <w:color w:val="1F3A5F"/>
          <w:sz w:val="22"/>
          <w:szCs w:val="22"/>
        </w:rPr>
        <w:t xml:space="preserve">2. EL CAPITALISMO FINANCIERO COMO RACIONALIDAD DE GOBIERNO</w:t>
      </w:r>
    </w:p>
    <w:p>
      <w:pPr>
        <w:pBdr>
          <w:bottom w:val="single" w:color="1F3A5F" w:sz="4" w:space="1"/>
        </w:pBdr>
        <w:spacing w:after="0" w:before="0"/>
      </w:pPr>
    </w:p>
    <w:p>
      <w:pPr>
        <w:spacing w:after="80" w:before="80"/>
      </w:pPr>
    </w:p>
    <w:p>
      <w:pPr>
        <w:spacing w:after="140" w:before="0"/>
        <w:jc w:val="both"/>
      </w:pPr>
      <w:r>
        <w:rPr>
          <w:rFonts w:ascii="Calibri" w:cs="Calibri" w:eastAsia="Calibri" w:hAnsi="Calibri"/>
          <w:i w:val="false"/>
          <w:iCs w:val="false"/>
          <w:sz w:val="21"/>
          <w:szCs w:val="21"/>
        </w:rPr>
        <w:t xml:space="preserve">Desde los años setenta, la transformación del capitalismo global siguió un patrón reconocible. La ruptura del orden monetario de Bretton Woods en 1971 abrió un entorno donde las señales financieras comenzaron a orientar decisiones con mayor rapidez que las tendencias productivas de largo plazo. Sobre esa base, la corporación dejó de legitimarse por su continuidad productiva y pasó a organizarse en torno a la validación bursátil de corto plazo.</w:t>
      </w:r>
    </w:p>
    <w:p>
      <w:pPr>
        <w:spacing w:after="80" w:before="0"/>
      </w:pPr>
    </w:p>
    <w:p>
      <w:pPr>
        <w:spacing w:after="140" w:before="0"/>
        <w:jc w:val="both"/>
      </w:pPr>
      <w:r>
        <w:rPr>
          <w:rFonts w:ascii="Calibri" w:cs="Calibri" w:eastAsia="Calibri" w:hAnsi="Calibri"/>
          <w:i w:val="false"/>
          <w:iCs w:val="false"/>
          <w:sz w:val="21"/>
          <w:szCs w:val="21"/>
        </w:rPr>
        <w:t xml:space="preserve">La doctrina del valor para los accionistas reorganizó las prioridades corporativas: comprimió los horizontes de decisión, normalizó prácticas de distribución financiera —recompras de acciones, dividendos, reducción de plantillas, tercerización— y redefinió la eficiencia como aptitud para producir señales de valor bursátil. Entre 2012 y 2017, las empresas del S&amp;P 500 destinaron aproximadamente el 98% de sus ganancias a recompras y dividendos (Durand, 2021). La mejora del balance se sostuvo, en muchos casos, mediante prácticas que deterioraron las condiciones de reproducción a largo plazo.</w:t>
      </w:r>
    </w:p>
    <w:p>
      <w:pPr>
        <w:spacing w:after="80" w:before="0"/>
      </w:pPr>
    </w:p>
    <w:p>
      <w:pPr>
        <w:spacing w:after="140" w:before="0"/>
        <w:jc w:val="both"/>
      </w:pPr>
      <w:r>
        <w:rPr>
          <w:rFonts w:ascii="Calibri" w:cs="Calibri" w:eastAsia="Calibri" w:hAnsi="Calibri"/>
          <w:i w:val="false"/>
          <w:iCs w:val="false"/>
          <w:sz w:val="21"/>
          <w:szCs w:val="21"/>
        </w:rPr>
        <w:t xml:space="preserve">Este desplazamiento no fue solo corporativo: fue también cultural. Instaló una gramática de evaluación —métricas, indicadores, rendimiento comparativo, temporalidades cortas— que se exportó progresivamente hacia otras esferas de la vida. La automatización de los mercados financieros reforzó ese proceso al transformar la coordinación social en un problema técnico: la confianza dejó de apoyarse en vínculos de reputación y pertenencia para reconstituirse como dependencia de sistemas de registro, verificación y clasificación continua (Pardo-Guerra, 2019).</w:t>
      </w:r>
    </w:p>
    <w:p>
      <w:pPr>
        <w:spacing w:after="80" w:before="0"/>
      </w:pPr>
    </w:p>
    <w:p>
      <w:pPr>
        <w:spacing w:after="140" w:before="0"/>
        <w:jc w:val="both"/>
      </w:pPr>
      <w:r>
        <w:rPr>
          <w:rFonts w:ascii="Calibri" w:cs="Calibri" w:eastAsia="Calibri" w:hAnsi="Calibri"/>
          <w:i w:val="false"/>
          <w:iCs w:val="false"/>
          <w:sz w:val="21"/>
          <w:szCs w:val="21"/>
        </w:rPr>
        <w:t xml:space="preserve">En América Latina, este proceso se solapó con condiciones de alta informalidad laboral, endeudamiento de los hogares y expansión del trabajo por plataformas. El resultado no fue solo una reconfiguración económica, sino una nueva figura subjetiva: el individuo que gestiona su vida como un portafolio de activos, que evalúa sus vínculos en términos de costo-beneficio y que experimenta la incertidumbre como responsabilidad personal.</w:t>
      </w:r>
    </w:p>
    <w:p>
      <w:pPr>
        <w:spacing w:after="0" w:before="160"/>
      </w:pPr>
    </w:p>
    <w:p>
      <w:pPr>
        <w:spacing w:after="100" w:before="280"/>
      </w:pPr>
      <w:r>
        <w:rPr>
          <w:rFonts w:ascii="Cambria" w:cs="Cambria" w:eastAsia="Cambria" w:hAnsi="Cambria"/>
          <w:b/>
          <w:bCs/>
          <w:color w:val="1F3A5F"/>
          <w:sz w:val="22"/>
          <w:szCs w:val="22"/>
        </w:rPr>
        <w:t xml:space="preserve">3. DEL VALOR ACCIONARIAL AL SUJETO EVALUADO: EL MECANISMO</w:t>
      </w:r>
    </w:p>
    <w:p>
      <w:pPr>
        <w:pBdr>
          <w:bottom w:val="single" w:color="1F3A5F" w:sz="4" w:space="1"/>
        </w:pBdr>
        <w:spacing w:after="0" w:before="0"/>
      </w:pPr>
    </w:p>
    <w:p>
      <w:pPr>
        <w:spacing w:after="80" w:before="80"/>
      </w:pPr>
    </w:p>
    <w:p>
      <w:pPr>
        <w:spacing w:after="140" w:before="0"/>
        <w:jc w:val="both"/>
      </w:pPr>
      <w:r>
        <w:rPr>
          <w:rFonts w:ascii="Calibri" w:cs="Calibri" w:eastAsia="Calibri" w:hAnsi="Calibri"/>
          <w:i w:val="false"/>
          <w:iCs w:val="false"/>
          <w:sz w:val="21"/>
          <w:szCs w:val="21"/>
        </w:rPr>
        <w:t xml:space="preserve">La extensión de la lógica financiera opera a través de tres mecanismos articulados que se refuerzan mutuamente:</w:t>
      </w:r>
    </w:p>
    <w:p>
      <w:pPr>
        <w:spacing w:after="100" w:before="0"/>
      </w:pPr>
    </w:p>
    <w:p>
      <w:pPr>
        <w:spacing w:after="120" w:before="120"/>
        <w:jc w:val="both"/>
      </w:pPr>
      <w:r>
        <w:rPr>
          <w:rFonts w:ascii="Calibri" w:cs="Calibri" w:eastAsia="Calibri" w:hAnsi="Calibri"/>
          <w:b/>
          <w:bCs/>
          <w:color w:val="1F3A5F"/>
          <w:sz w:val="21"/>
          <w:szCs w:val="21"/>
        </w:rPr>
        <w:t xml:space="preserve">Desplazamiento del riesgo. </w:t>
      </w:r>
      <w:r>
        <w:rPr>
          <w:rFonts w:ascii="Calibri" w:cs="Calibri" w:eastAsia="Calibri" w:hAnsi="Calibri"/>
          <w:sz w:val="21"/>
          <w:szCs w:val="21"/>
        </w:rPr>
        <w:t xml:space="preserve">Las empresas —y luego las plataformas digitales— trasladan sistemáticamente los costos de la incertidumbre hacia los trabajadores. El empleado fijo es reemplazado por el contratista, el contratista por el “colaborador independiente”. Cada paso en esa cadena amplía la responsabilidad individual por los resultados y reduce los soportes colectivos de protección. Lo que antes se describía como riesgo empresarial pasa a leerse como falta de adaptación individual.</w:t>
      </w:r>
    </w:p>
    <w:p>
      <w:pPr>
        <w:spacing w:after="120" w:before="120"/>
        <w:jc w:val="both"/>
      </w:pPr>
      <w:r>
        <w:rPr>
          <w:rFonts w:ascii="Calibri" w:cs="Calibri" w:eastAsia="Calibri" w:hAnsi="Calibri"/>
          <w:b/>
          <w:bCs/>
          <w:color w:val="1F3A5F"/>
          <w:sz w:val="21"/>
          <w:szCs w:val="21"/>
        </w:rPr>
        <w:t xml:space="preserve">Evaluación continua. </w:t>
      </w:r>
      <w:r>
        <w:rPr>
          <w:rFonts w:ascii="Calibri" w:cs="Calibri" w:eastAsia="Calibri" w:hAnsi="Calibri"/>
          <w:sz w:val="21"/>
          <w:szCs w:val="21"/>
        </w:rPr>
        <w:t xml:space="preserve">La infraestructura técnica de los mercados financieros —y su análogo en las plataformas de trabajo— convierte la actividad en datos. Calificaciones, métricas de desempeño, tasas de aceptación, puntuaciones de crédito: el sujeto existe, en esta lógica, en la medida en que puede ser medido y comparado. La evaluación deja de ser un episodio y se vuelve una condición permanente. Cuando la verificación se integra a la infraestructura, la sanción puede ejecutarse como un evento técnico, sin deliberación y sin negociación (Rosenblat, 2018).</w:t>
      </w:r>
    </w:p>
    <w:p>
      <w:pPr>
        <w:spacing w:after="120" w:before="120"/>
        <w:jc w:val="both"/>
      </w:pPr>
      <w:r>
        <w:rPr>
          <w:rFonts w:ascii="Calibri" w:cs="Calibri" w:eastAsia="Calibri" w:hAnsi="Calibri"/>
          <w:b/>
          <w:bCs/>
          <w:color w:val="1F3A5F"/>
          <w:sz w:val="21"/>
          <w:szCs w:val="21"/>
        </w:rPr>
        <w:t xml:space="preserve">Internalización del estándar. </w:t>
      </w:r>
      <w:r>
        <w:rPr>
          <w:rFonts w:ascii="Calibri" w:cs="Calibri" w:eastAsia="Calibri" w:hAnsi="Calibri"/>
          <w:sz w:val="21"/>
          <w:szCs w:val="21"/>
        </w:rPr>
        <w:t xml:space="preserve">El emprendedorismo como lenguaje cultural cierra el circuito. La pedagogía de la autoayuda financiera —ampliamente diseminada en la región— enseña a diagnosticar la pobreza como resultado de una subjetividad dependiente y a corregirla mediante disciplina individual. El fracaso se traduce en déficit personal, la incertidumbre en prueba de mérito, la precariedad en campo de ganadores y perdedores. El sujeto aprende a ser su propio supervisor y su propio tribunal (Fridman, 2019).</w:t>
      </w:r>
    </w:p>
    <w:p>
      <w:pPr>
        <w:spacing w:after="80" w:before="0"/>
      </w:pPr>
    </w:p>
    <w:p>
      <w:pPr>
        <w:spacing w:after="140" w:before="0"/>
        <w:jc w:val="both"/>
      </w:pPr>
      <w:r>
        <w:rPr>
          <w:rFonts w:ascii="Calibri" w:cs="Calibri" w:eastAsia="Calibri" w:hAnsi="Calibri"/>
          <w:i w:val="false"/>
          <w:iCs w:val="false"/>
          <w:sz w:val="21"/>
          <w:szCs w:val="21"/>
        </w:rPr>
        <w:t xml:space="preserve">El resultado es lo que puede denominarse una libertad ambigua: se experimenta como autonomía mientras se vive como obligación permanente de rendir, adaptarse y traducirse en señales legibles. La autoexplotación no aparece como imposición externa sino como proyecto personal.</w:t>
      </w:r>
    </w:p>
    <w:p>
      <w:pPr>
        <w:spacing w:after="0" w:before="160"/>
      </w:pPr>
    </w:p>
    <w:p>
      <w:pPr>
        <w:spacing w:after="100" w:before="280"/>
      </w:pPr>
      <w:r>
        <w:rPr>
          <w:rFonts w:ascii="Cambria" w:cs="Cambria" w:eastAsia="Cambria" w:hAnsi="Cambria"/>
          <w:b/>
          <w:bCs/>
          <w:color w:val="1F3A5F"/>
          <w:sz w:val="22"/>
          <w:szCs w:val="22"/>
        </w:rPr>
        <w:t xml:space="preserve">4. LA PRODUCCIÓN DEL SUJETO ANTIPOLÍTICO</w:t>
      </w:r>
    </w:p>
    <w:p>
      <w:pPr>
        <w:pBdr>
          <w:bottom w:val="single" w:color="1F3A5F" w:sz="4" w:space="1"/>
        </w:pBdr>
        <w:spacing w:after="0" w:before="0"/>
      </w:pPr>
    </w:p>
    <w:p>
      <w:pPr>
        <w:spacing w:after="80" w:before="80"/>
      </w:pPr>
    </w:p>
    <w:p>
      <w:pPr>
        <w:spacing w:after="140" w:before="0"/>
        <w:jc w:val="both"/>
      </w:pPr>
      <w:r>
        <w:rPr>
          <w:rFonts w:ascii="Calibri" w:cs="Calibri" w:eastAsia="Calibri" w:hAnsi="Calibri"/>
          <w:i w:val="false"/>
          <w:iCs w:val="false"/>
          <w:sz w:val="21"/>
          <w:szCs w:val="21"/>
        </w:rPr>
        <w:t xml:space="preserve">La conexión entre ese proceso y el debilitamiento democrático no es directa ni mecánica, pero sí reconocible. Un sujeto que ha internalizado la gramática de la evaluación financiera desarrolla disposiciones que son funcionalmente incompatibles con la lógica democrática:</w:t>
      </w:r>
    </w:p>
    <w:p>
      <w:pPr>
        <w:spacing w:after="100" w:before="0"/>
      </w:pPr>
    </w:p>
    <w:p>
      <w:pPr>
        <w:pStyle w:val="ListParagraph"/>
        <w:numPr>
          <w:ilvl w:val="0"/>
          <w:numId w:val="2"/>
        </w:numPr>
        <w:spacing w:after="80" w:before="80"/>
        <w:jc w:val="both"/>
      </w:pPr>
      <w:r>
        <w:rPr>
          <w:rFonts w:ascii="Calibri" w:cs="Calibri" w:eastAsia="Calibri" w:hAnsi="Calibri"/>
          <w:sz w:val="21"/>
          <w:szCs w:val="21"/>
        </w:rPr>
        <w:t xml:space="preserve">Evalúa la política con criterios de rendimiento inmediato. Del mismo modo que el mercado premia decisiones rápidamente legibles y penaliza compromisos de largo plazo, el ciudadano evaluado tiende a desacreditar la deliberación institucional —que es lenta, incierta y sin garantías— en favor de liderazgos que prometen resultados directos y sin mediaciones.</w:t>
      </w:r>
    </w:p>
    <w:p>
      <w:pPr>
        <w:pStyle w:val="ListParagraph"/>
        <w:numPr>
          <w:ilvl w:val="0"/>
          <w:numId w:val="2"/>
        </w:numPr>
        <w:spacing w:after="80" w:before="80"/>
        <w:jc w:val="both"/>
      </w:pPr>
      <w:r>
        <w:rPr>
          <w:rFonts w:ascii="Calibri" w:cs="Calibri" w:eastAsia="Calibri" w:hAnsi="Calibri"/>
          <w:sz w:val="21"/>
          <w:szCs w:val="21"/>
        </w:rPr>
        <w:t xml:space="preserve">Desconfía de la mediación colectiva. Si la vida social se organiza como competencia entre individuos que gestionan sus propios portafolios, los sindicatos, los partidos y las organizaciones intermedias aparecen como obstáculos, no como recursos. La antipolítica no es solo demagogia: es el resultado lógico de una subjetividad que aprendió a prescindir de colectivos.</w:t>
      </w:r>
    </w:p>
    <w:p>
      <w:pPr>
        <w:pStyle w:val="ListParagraph"/>
        <w:numPr>
          <w:ilvl w:val="0"/>
          <w:numId w:val="2"/>
        </w:numPr>
        <w:spacing w:after="80" w:before="80"/>
        <w:jc w:val="both"/>
      </w:pPr>
      <w:r>
        <w:rPr>
          <w:rFonts w:ascii="Calibri" w:cs="Calibri" w:eastAsia="Calibri" w:hAnsi="Calibri"/>
          <w:sz w:val="21"/>
          <w:szCs w:val="21"/>
        </w:rPr>
        <w:t xml:space="preserve">Experimenta la igualdad como amenaza. La lógica del ganador y el perdedor vuelve sospechosa cualquier igualación. La redistribución aparece como confiscación del mérito. Los derechos colectivos, como privilegios de quienes no compiten suficientemente.</w:t>
      </w:r>
    </w:p>
    <w:p>
      <w:pPr>
        <w:pStyle w:val="ListParagraph"/>
        <w:numPr>
          <w:ilvl w:val="0"/>
          <w:numId w:val="2"/>
        </w:numPr>
        <w:spacing w:after="80" w:before="80"/>
        <w:jc w:val="both"/>
      </w:pPr>
      <w:r>
        <w:rPr>
          <w:rFonts w:ascii="Calibri" w:cs="Calibri" w:eastAsia="Calibri" w:hAnsi="Calibri"/>
          <w:sz w:val="21"/>
          <w:szCs w:val="21"/>
        </w:rPr>
        <w:t xml:space="preserve">Sostiene un optimismo cruel respecto de la promesa competitiva. El apego persistente a un ideal que no se realiza —la libertad financiera, el éxito emprendedor— produce, cuando fracasa, vergüenza individual y disciplina redoblada, no cuestionamiento del sistema (Berlant, 2020).</w:t>
      </w:r>
    </w:p>
    <w:p>
      <w:pPr>
        <w:spacing w:after="80" w:before="0"/>
      </w:pPr>
    </w:p>
    <w:p>
      <w:pPr>
        <w:spacing w:after="140" w:before="0"/>
        <w:jc w:val="both"/>
      </w:pPr>
      <w:r>
        <w:rPr>
          <w:rFonts w:ascii="Calibri" w:cs="Calibri" w:eastAsia="Calibri" w:hAnsi="Calibri"/>
          <w:i w:val="false"/>
          <w:iCs w:val="false"/>
          <w:sz w:val="21"/>
          <w:szCs w:val="21"/>
        </w:rPr>
        <w:t xml:space="preserve">En este marco, el neoliberalismo autoritario que se observa en la región no necesita suspender las instituciones democráticas para erosionarlas. Le basta con colonizar las subjetividades que deberían sostenerlas. Las fuerzas antidemocráticas encuentran un terreno fértil no porque engañen a los ciudadanos, sino porque hablan el lenguaje que esos ciudadanos aprendieron a hablar: el del mérito individual, la eficiencia sin mediaciones y la desconfianza hacia todo lo que no se puede medir.</w:t>
      </w:r>
    </w:p>
    <w:p>
      <w:pPr>
        <w:spacing w:after="0" w:before="160"/>
      </w:pPr>
    </w:p>
    <w:p>
      <w:pPr>
        <w:spacing w:after="100" w:before="280"/>
      </w:pPr>
      <w:r>
        <w:rPr>
          <w:rFonts w:ascii="Cambria" w:cs="Cambria" w:eastAsia="Cambria" w:hAnsi="Cambria"/>
          <w:b/>
          <w:bCs/>
          <w:color w:val="1F3A5F"/>
          <w:sz w:val="22"/>
          <w:szCs w:val="22"/>
        </w:rPr>
        <w:t xml:space="preserve">5. IMPLICACIONES PARA EL DISEÑO DE POLÍTICAS</w:t>
      </w:r>
    </w:p>
    <w:p>
      <w:pPr>
        <w:pBdr>
          <w:bottom w:val="single" w:color="1F3A5F" w:sz="4" w:space="1"/>
        </w:pBdr>
        <w:spacing w:after="0" w:before="0"/>
      </w:pPr>
    </w:p>
    <w:p>
      <w:pPr>
        <w:spacing w:after="80" w:before="80"/>
      </w:pPr>
    </w:p>
    <w:p>
      <w:pPr>
        <w:spacing w:after="140" w:before="0"/>
        <w:jc w:val="both"/>
      </w:pPr>
      <w:r>
        <w:rPr>
          <w:rFonts w:ascii="Calibri" w:cs="Calibri" w:eastAsia="Calibri" w:hAnsi="Calibri"/>
          <w:i w:val="false"/>
          <w:iCs w:val="false"/>
          <w:sz w:val="21"/>
          <w:szCs w:val="21"/>
        </w:rPr>
        <w:t xml:space="preserve">El diagnóstico precedente tiene consecuencias directas para los organismos, fundaciones y think tanks que trabajan en fortalecimiento democrático en la región. Si el problema tiene raíces en la producción de subjetividades, las respuestas institucionales y electorales son necesarias pero insuficientes. Se identifican cuatro líneas de intervención:</w:t>
      </w:r>
    </w:p>
    <w:p>
      <w:pPr>
        <w:spacing w:after="14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3A5F" w:sz="6"/>
              <w:left w:val="single" w:color="1F3A5F" w:sz="20"/>
              <w:bottom w:val="single" w:color="CCCCCC" w:sz="1"/>
              <w:right w:val="none"/>
            </w:tcBorders>
            <w:shd w:fill="EDF3F8" w:val="clear"/>
            <w:tcMar>
              <w:top w:type="dxa" w:w="140"/>
              <w:left w:type="dxa" w:w="220"/>
              <w:bottom w:type="dxa" w:w="140"/>
              <w:right w:type="dxa" w:w="220"/>
            </w:tcMar>
          </w:tcPr>
          <w:p>
            <w:pPr>
              <w:spacing w:after="80" w:before="0"/>
            </w:pPr>
            <w:r>
              <w:rPr>
                <w:rFonts w:ascii="Calibri" w:cs="Calibri" w:eastAsia="Calibri" w:hAnsi="Calibri"/>
                <w:b/>
                <w:bCs/>
                <w:color w:val="1F3A5F"/>
                <w:sz w:val="21"/>
                <w:szCs w:val="21"/>
              </w:rPr>
              <w:t xml:space="preserve">1. Fortalecer bienes públicos como experiencias de derechos, no de servicios</w:t>
            </w:r>
          </w:p>
          <w:p>
            <w:pPr>
              <w:spacing w:after="0" w:before="0"/>
              <w:jc w:val="both"/>
            </w:pPr>
            <w:r>
              <w:rPr>
                <w:rFonts w:ascii="Calibri" w:cs="Calibri" w:eastAsia="Calibri" w:hAnsi="Calibri"/>
                <w:sz w:val="20"/>
                <w:szCs w:val="20"/>
              </w:rPr>
              <w:t xml:space="preserve">La educación, la salud y la protección social no son solo prestaciones: son prácticas de subjetivación. Cuando operan como derechos exigibles colectivamente, producen ciudadanos con experiencia real de igualdad. Cuando se mercantilizan, producen consumidores que evalúan su calidad con criterios de mercado. El diseño institucional de los bienes públicos tiene efectos subjetivos que las políticas de fortalecimiento democrático no pueden ignorar. Esto implica resistir la lógica de focalización extrema que convierte los derechos en beneficios condicionados evaluados por eficiencia de costo.</w:t>
            </w:r>
          </w:p>
        </w:tc>
      </w:tr>
    </w:tbl>
    <w:p>
      <w:pPr>
        <w:spacing w:after="0" w:befor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3A5F" w:sz="6"/>
              <w:left w:val="single" w:color="1F3A5F" w:sz="20"/>
              <w:bottom w:val="single" w:color="CCCCCC" w:sz="1"/>
              <w:right w:val="none"/>
            </w:tcBorders>
            <w:shd w:fill="EDF3F8" w:val="clear"/>
            <w:tcMar>
              <w:top w:type="dxa" w:w="140"/>
              <w:left w:type="dxa" w:w="220"/>
              <w:bottom w:type="dxa" w:w="140"/>
              <w:right w:type="dxa" w:w="220"/>
            </w:tcMar>
          </w:tcPr>
          <w:p>
            <w:pPr>
              <w:spacing w:after="80" w:before="0"/>
            </w:pPr>
            <w:r>
              <w:rPr>
                <w:rFonts w:ascii="Calibri" w:cs="Calibri" w:eastAsia="Calibri" w:hAnsi="Calibri"/>
                <w:b/>
                <w:bCs/>
                <w:color w:val="1F3A5F"/>
                <w:sz w:val="21"/>
                <w:szCs w:val="21"/>
              </w:rPr>
              <w:t xml:space="preserve">2. Regular el trabajo de plataformas con criterios de ciudadanía, no solo laborales</w:t>
            </w:r>
          </w:p>
          <w:p>
            <w:pPr>
              <w:spacing w:after="0" w:before="0"/>
              <w:jc w:val="both"/>
            </w:pPr>
            <w:r>
              <w:rPr>
                <w:rFonts w:ascii="Calibri" w:cs="Calibri" w:eastAsia="Calibri" w:hAnsi="Calibri"/>
                <w:sz w:val="20"/>
                <w:szCs w:val="20"/>
              </w:rPr>
              <w:t xml:space="preserve">El trabajo algorítmico es una escuela de subjetivación: millones de personas aprenden a evaluarse continuamente, a gestionar incertidumbre en soledad y a prescindir de solidaridades colectivas. Las regulaciones que reconozcan relaciones laborales, limiten la opacidad algorítmica y garanticen instancias de representación colectiva no son solo medidas laborales: son medidas democráticas. El debate regulatorio sobre plataformas en la región debe incorporar esta dimensión explícitamente.</w:t>
            </w:r>
          </w:p>
        </w:tc>
      </w:tr>
    </w:tbl>
    <w:p>
      <w:pPr>
        <w:spacing w:after="0" w:befor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3A5F" w:sz="6"/>
              <w:left w:val="single" w:color="1F3A5F" w:sz="20"/>
              <w:bottom w:val="single" w:color="CCCCCC" w:sz="1"/>
              <w:right w:val="none"/>
            </w:tcBorders>
            <w:shd w:fill="EDF3F8" w:val="clear"/>
            <w:tcMar>
              <w:top w:type="dxa" w:w="140"/>
              <w:left w:type="dxa" w:w="220"/>
              <w:bottom w:type="dxa" w:w="140"/>
              <w:right w:type="dxa" w:w="220"/>
            </w:tcMar>
          </w:tcPr>
          <w:p>
            <w:pPr>
              <w:spacing w:after="80" w:before="0"/>
            </w:pPr>
            <w:r>
              <w:rPr>
                <w:rFonts w:ascii="Calibri" w:cs="Calibri" w:eastAsia="Calibri" w:hAnsi="Calibri"/>
                <w:b/>
                <w:bCs/>
                <w:color w:val="1F3A5F"/>
                <w:sz w:val="21"/>
                <w:szCs w:val="21"/>
              </w:rPr>
              <w:t xml:space="preserve">3. Intervenir en las condiciones culturales de producción de la subjetividad financiera</w:t>
            </w:r>
          </w:p>
          <w:p>
            <w:pPr>
              <w:spacing w:after="0" w:before="0"/>
              <w:jc w:val="both"/>
            </w:pPr>
            <w:r>
              <w:rPr>
                <w:rFonts w:ascii="Calibri" w:cs="Calibri" w:eastAsia="Calibri" w:hAnsi="Calibri"/>
                <w:sz w:val="20"/>
                <w:szCs w:val="20"/>
              </w:rPr>
              <w:t xml:space="preserve">La diseminación del lenguaje emprendedor y la ideología del mérito individual tiene productores, canales y recursos identificables. Las políticas de cultura, educación y comunicación pueden ampliar el repertorio disponible: recuperar lenguajes de reciprocidad, derecho y responsabilidad compartida que compitan con la gramática de la evaluación permanente. Esto no implica supresión de discursos sino construcción de alternativas culturalmente viables.</w:t>
            </w:r>
          </w:p>
        </w:tc>
      </w:tr>
    </w:tbl>
    <w:p>
      <w:pPr>
        <w:spacing w:after="0" w:befor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3A5F" w:sz="6"/>
              <w:left w:val="single" w:color="1F3A5F" w:sz="20"/>
              <w:bottom w:val="single" w:color="CCCCCC" w:sz="1"/>
              <w:right w:val="none"/>
            </w:tcBorders>
            <w:shd w:fill="EDF3F8" w:val="clear"/>
            <w:tcMar>
              <w:top w:type="dxa" w:w="140"/>
              <w:left w:type="dxa" w:w="220"/>
              <w:bottom w:type="dxa" w:w="140"/>
              <w:right w:type="dxa" w:w="220"/>
            </w:tcMar>
          </w:tcPr>
          <w:p>
            <w:pPr>
              <w:spacing w:after="80" w:before="0"/>
            </w:pPr>
            <w:r>
              <w:rPr>
                <w:rFonts w:ascii="Calibri" w:cs="Calibri" w:eastAsia="Calibri" w:hAnsi="Calibri"/>
                <w:b/>
                <w:bCs/>
                <w:color w:val="1F3A5F"/>
                <w:sz w:val="21"/>
                <w:szCs w:val="21"/>
              </w:rPr>
              <w:t xml:space="preserve">4. Reconstruir espacios de deliberación no mediados por métricas</w:t>
            </w:r>
          </w:p>
          <w:p>
            <w:pPr>
              <w:spacing w:after="0" w:before="0"/>
              <w:jc w:val="both"/>
            </w:pPr>
            <w:r>
              <w:rPr>
                <w:rFonts w:ascii="Calibri" w:cs="Calibri" w:eastAsia="Calibri" w:hAnsi="Calibri"/>
                <w:sz w:val="20"/>
                <w:szCs w:val="20"/>
              </w:rPr>
              <w:t xml:space="preserve">El debilitamiento de partidos, sindicatos y organizaciones intermedias no se revierte solo con reformas formales. Requiere crear condiciones —materiales, temporales, institucionales— para que la deliberación colectiva sea posible y experiencialmente significativa. Esto incluye políticas de tiempo de trabajo, financiamiento de organizaciones de base y sostenimiento de espacios públicos donde la política no necesite justificarse en términos de rendimiento inmediato.</w:t>
            </w:r>
          </w:p>
        </w:tc>
      </w:tr>
    </w:tbl>
    <w:p>
      <w:pPr>
        <w:spacing w:after="0" w:before="160"/>
      </w:pPr>
    </w:p>
    <w:p>
      <w:pPr>
        <w:spacing w:after="100" w:before="280"/>
      </w:pPr>
      <w:r>
        <w:rPr>
          <w:rFonts w:ascii="Cambria" w:cs="Cambria" w:eastAsia="Cambria" w:hAnsi="Cambria"/>
          <w:b/>
          <w:bCs/>
          <w:color w:val="1F3A5F"/>
          <w:sz w:val="22"/>
          <w:szCs w:val="22"/>
        </w:rPr>
        <w:t xml:space="preserve">CONCLUSIÓN</w:t>
      </w:r>
    </w:p>
    <w:p>
      <w:pPr>
        <w:pBdr>
          <w:bottom w:val="single" w:color="1F3A5F" w:sz="4" w:space="1"/>
        </w:pBdr>
        <w:spacing w:after="0" w:before="0"/>
      </w:pPr>
    </w:p>
    <w:p>
      <w:pPr>
        <w:spacing w:after="80" w:before="80"/>
      </w:pPr>
    </w:p>
    <w:p>
      <w:pPr>
        <w:spacing w:after="140" w:before="0"/>
        <w:jc w:val="both"/>
      </w:pPr>
      <w:r>
        <w:rPr>
          <w:rFonts w:ascii="Calibri" w:cs="Calibri" w:eastAsia="Calibri" w:hAnsi="Calibri"/>
          <w:i w:val="false"/>
          <w:iCs w:val="false"/>
          <w:sz w:val="21"/>
          <w:szCs w:val="21"/>
        </w:rPr>
        <w:t xml:space="preserve">La democracia no se erosiona solo desde afuera. Se erosiona también cuando las condiciones de vida producen sujetos para quienes la lógica democrática —igualdad, deliberación, mediación colectiva— resulta extraña, costosa o incomprensible. Comprender ese proceso exige atender a la dimensión subjetiva del capitalismo financiero: a los modos en que la evaluación continua, el desplazamiento del riesgo y la internalización del estándar competitivo reorganizan disposiciones, expectativas y horizontes de lo posible.</w:t>
      </w:r>
    </w:p>
    <w:p>
      <w:pPr>
        <w:spacing w:after="80" w:before="0"/>
      </w:pPr>
    </w:p>
    <w:p>
      <w:pPr>
        <w:spacing w:after="140" w:before="0"/>
        <w:jc w:val="both"/>
      </w:pPr>
      <w:r>
        <w:rPr>
          <w:rFonts w:ascii="Calibri" w:cs="Calibri" w:eastAsia="Calibri" w:hAnsi="Calibri"/>
          <w:i w:val="false"/>
          <w:iCs w:val="false"/>
          <w:sz w:val="21"/>
          <w:szCs w:val="21"/>
        </w:rPr>
        <w:t xml:space="preserve">Para los organismos que trabajan el fortalecimiento democrático en la región, este diagnóstico señala un campo de intervención que va más allá de las reformas institucionales y electorales. Las cuatro líneas propuestas no son excluyentes entre sí ni con las agendas convencionales de gobernanza democrática: son complementarias. Su apuesta común es que la disputa por la democracia es también una disputa por las subjetividades que la hacen posible.</w:t>
      </w:r>
    </w:p>
    <w:p>
      <w:pPr>
        <w:spacing w:after="0" w:before="160"/>
      </w:pPr>
    </w:p>
    <w:p>
      <w:pPr>
        <w:spacing w:after="60" w:before="160"/>
      </w:pPr>
      <w:r>
        <w:rPr>
          <w:rFonts w:ascii="Calibri" w:cs="Calibri" w:eastAsia="Calibri" w:hAnsi="Calibri"/>
          <w:b/>
          <w:bCs/>
          <w:color w:val="1F3A5F"/>
          <w:sz w:val="18"/>
          <w:szCs w:val="18"/>
        </w:rPr>
        <w:t xml:space="preserve">REFERENCIAS SELECCIONADAS</w:t>
      </w:r>
    </w:p>
    <w:p>
      <w:pPr>
        <w:pBdr>
          <w:bottom w:val="single" w:color="555555" w:sz="2" w:space="1"/>
        </w:pBdr>
        <w:spacing w:after="0" w:before="0"/>
      </w:pPr>
    </w:p>
    <w:p>
      <w:pPr>
        <w:spacing w:after="0" w:before="60"/>
      </w:pPr>
    </w:p>
    <w:p>
      <w:pPr>
        <w:spacing w:after="0" w:before="60"/>
        <w:jc w:val="left"/>
      </w:pPr>
      <w:r>
        <w:rPr>
          <w:rFonts w:ascii="Calibri" w:cs="Calibri" w:eastAsia="Calibri" w:hAnsi="Calibri"/>
          <w:color w:val="555555"/>
          <w:sz w:val="18"/>
          <w:szCs w:val="18"/>
        </w:rPr>
        <w:t xml:space="preserve">Berlant, L. (2020). El optimismo cruel. Caja Negra.</w:t>
      </w:r>
    </w:p>
    <w:p>
      <w:pPr>
        <w:spacing w:after="0" w:before="60"/>
        <w:jc w:val="left"/>
      </w:pPr>
      <w:r>
        <w:rPr>
          <w:rFonts w:ascii="Calibri" w:cs="Calibri" w:eastAsia="Calibri" w:hAnsi="Calibri"/>
          <w:color w:val="555555"/>
          <w:sz w:val="18"/>
          <w:szCs w:val="18"/>
        </w:rPr>
        <w:t xml:space="preserve">Durand, C. (2021). Tecnofeudalismo: Crítica de la economía digital. Ediciones La Cebra.</w:t>
      </w:r>
    </w:p>
    <w:p>
      <w:pPr>
        <w:spacing w:after="0" w:before="60"/>
        <w:jc w:val="left"/>
      </w:pPr>
      <w:r>
        <w:rPr>
          <w:rFonts w:ascii="Calibri" w:cs="Calibri" w:eastAsia="Calibri" w:hAnsi="Calibri"/>
          <w:color w:val="555555"/>
          <w:sz w:val="18"/>
          <w:szCs w:val="18"/>
        </w:rPr>
        <w:t xml:space="preserve">Fridman, D. (2019). El sueño de vivir sin trabajar. Siglo XXI Editores.</w:t>
      </w:r>
    </w:p>
    <w:p>
      <w:pPr>
        <w:spacing w:after="0" w:before="60"/>
        <w:jc w:val="left"/>
      </w:pPr>
      <w:r>
        <w:rPr>
          <w:rFonts w:ascii="Calibri" w:cs="Calibri" w:eastAsia="Calibri" w:hAnsi="Calibri"/>
          <w:color w:val="555555"/>
          <w:sz w:val="18"/>
          <w:szCs w:val="18"/>
        </w:rPr>
        <w:t xml:space="preserve">Ho, K. (2009). Liquidated: An ethnography of Wall Street. Duke University Press.</w:t>
      </w:r>
    </w:p>
    <w:p>
      <w:pPr>
        <w:spacing w:after="0" w:before="60"/>
        <w:jc w:val="left"/>
      </w:pPr>
      <w:r>
        <w:rPr>
          <w:rFonts w:ascii="Calibri" w:cs="Calibri" w:eastAsia="Calibri" w:hAnsi="Calibri"/>
          <w:color w:val="555555"/>
          <w:sz w:val="18"/>
          <w:szCs w:val="18"/>
        </w:rPr>
        <w:t xml:space="preserve">Marcos, D. y Terraf, M. (2023). Democracia y autoritarismo bajo la dominación neoliberal. Ágora Philosophica, 47.</w:t>
      </w:r>
    </w:p>
    <w:p>
      <w:pPr>
        <w:spacing w:after="0" w:before="60"/>
        <w:jc w:val="left"/>
      </w:pPr>
      <w:r>
        <w:rPr>
          <w:rFonts w:ascii="Calibri" w:cs="Calibri" w:eastAsia="Calibri" w:hAnsi="Calibri"/>
          <w:color w:val="555555"/>
          <w:sz w:val="18"/>
          <w:szCs w:val="18"/>
        </w:rPr>
        <w:t xml:space="preserve">Pardo-Guerra, J. P. (2019). Automating finance. Cambridge University Press.</w:t>
      </w:r>
    </w:p>
    <w:p>
      <w:pPr>
        <w:spacing w:after="0" w:before="60"/>
        <w:jc w:val="left"/>
      </w:pPr>
      <w:r>
        <w:rPr>
          <w:rFonts w:ascii="Calibri" w:cs="Calibri" w:eastAsia="Calibri" w:hAnsi="Calibri"/>
          <w:color w:val="555555"/>
          <w:sz w:val="18"/>
          <w:szCs w:val="18"/>
        </w:rPr>
        <w:t xml:space="preserve">Rosenblat, A. (2018). Uberland: How algorithms are rewriting the rules of work. UC Press.</w:t>
      </w:r>
    </w:p>
    <w:p>
      <w:pPr>
        <w:spacing w:after="0" w:before="60"/>
        <w:jc w:val="left"/>
      </w:pPr>
      <w:r>
        <w:rPr>
          <w:rFonts w:ascii="Calibri" w:cs="Calibri" w:eastAsia="Calibri" w:hAnsi="Calibri"/>
          <w:color w:val="555555"/>
          <w:sz w:val="18"/>
          <w:szCs w:val="18"/>
        </w:rPr>
        <w:t xml:space="preserve">Terraf, M. (2023). Capitalismo informacional: el retroceso de la democracia bajo la racionalidad neoliberal. Humánitas, 41.</w:t>
      </w:r>
    </w:p>
    <w:p>
      <w:pPr>
        <w:spacing w:after="0" w:before="60"/>
        <w:jc w:val="left"/>
      </w:pPr>
      <w:r>
        <w:rPr>
          <w:rFonts w:ascii="Calibri" w:cs="Calibri" w:eastAsia="Calibri" w:hAnsi="Calibri"/>
          <w:color w:val="555555"/>
          <w:sz w:val="18"/>
          <w:szCs w:val="18"/>
        </w:rPr>
        <w:t xml:space="preserve">Terraf, M. (2026). Del valor accionista al sujeto evaluado. III Jornadas de Ética Política y Sociedad, UNT.</w:t>
      </w:r>
    </w:p>
    <w:p>
      <w:pPr>
        <w:spacing w:after="0" w:before="60"/>
        <w:jc w:val="left"/>
      </w:pPr>
      <w:r>
        <w:rPr>
          <w:rFonts w:ascii="Calibri" w:cs="Calibri" w:eastAsia="Calibri" w:hAnsi="Calibri"/>
          <w:color w:val="555555"/>
          <w:sz w:val="18"/>
          <w:szCs w:val="18"/>
        </w:rPr>
        <w:t xml:space="preserve">Vogl, J. (2022). Capital and ressentiment. Polity Press.</w:t>
      </w:r>
    </w:p>
    <w:sectPr>
      <w:headerReference w:type="default" r:id="rId7"/>
      <w:footerReference w:type="default" r:id="rId8"/>
      <w:pgSz w:w="11906" w:h="16838" w:orient="portrait"/>
      <w:pgMar w:top="1334" w:right="1134" w:bottom="13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tabs>
        <w:tab w:val="right" w:pos="9026"/>
      </w:tabs>
      <w:spacing w:after="0" w:before="80"/>
    </w:pPr>
    <w:r>
      <w:rPr>
        <w:rFonts w:ascii="Calibri" w:cs="Calibri" w:eastAsia="Calibri" w:hAnsi="Calibri"/>
        <w:color w:val="AAAAAA"/>
        <w:sz w:val="16"/>
        <w:szCs w:val="16"/>
      </w:rPr>
      <w:t xml:space="preserve">Racionalidad financiera y erosión democrática en LATAM</w:t>
    </w:r>
    <w:r>
      <w:rPr>
        <w:sz w:val="16"/>
        <w:szCs w:val="16"/>
      </w:rPr>
      <w:t xml:space="preserve">	</w:t>
    </w:r>
    <w:r>
      <w:rPr>
        <w:rFonts w:ascii="Calibri" w:cs="Calibri" w:eastAsia="Calibri" w:hAnsi="Calibri"/>
        <w:color w:val="555555"/>
        <w:sz w:val="16"/>
        <w:szCs w:val="16"/>
      </w:rPr>
      <w:t xml:space="preserve">Pág. </w:t>
    </w:r>
    <w:r>
      <w:rPr>
        <w:rFonts w:ascii="Calibri" w:cs="Calibri" w:eastAsia="Calibri" w:hAnsi="Calibri"/>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961" w:sz="4" w:space="6"/>
      </w:pBdr>
      <w:tabs>
        <w:tab w:val="right" w:pos="9026"/>
      </w:tabs>
      <w:spacing w:after="80" w:before="0"/>
    </w:pPr>
    <w:r>
      <w:rPr>
        <w:rFonts w:ascii="Calibri" w:cs="Calibri" w:eastAsia="Calibri" w:hAnsi="Calibri"/>
        <w:color w:val="555555"/>
        <w:sz w:val="17"/>
        <w:szCs w:val="17"/>
      </w:rPr>
      <w:t xml:space="preserve">Mariano N. Terraf</w:t>
    </w:r>
    <w:r>
      <w:rPr>
        <w:sz w:val="17"/>
        <w:szCs w:val="17"/>
      </w:rPr>
      <w:t xml:space="preserve">	</w:t>
    </w:r>
    <w:r>
      <w:rPr>
        <w:rFonts w:ascii="Calibri" w:cs="Calibri" w:eastAsia="Calibri" w:hAnsi="Calibri"/>
        <w:i/>
        <w:iCs/>
        <w:color w:val="555555"/>
        <w:sz w:val="17"/>
        <w:szCs w:val="17"/>
      </w:rPr>
      <w:t xml:space="preserve">Policy Brief  ·  Economía Política y Democracia en LATAM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560" w:hanging="280"/>
      </w:pPr>
      <w:rPr>
        <w:rFonts w:ascii="Calibri" w:cs="Calibri" w:eastAsia="Calibri" w:hAnsi="Calibri"/>
        <w:color w:val="1F3A5F"/>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2026-05-05T17:39:27.606Z</dcterms:created>
  <dcterms:modified xsi:type="dcterms:W3CDTF">2026-05-05T17:39:27.606Z</dcterms:modified>
</cp:coreProperties>
</file>

<file path=docProps/custom.xml><?xml version="1.0" encoding="utf-8"?>
<Properties xmlns="http://schemas.openxmlformats.org/officeDocument/2006/custom-properties" xmlns:vt="http://schemas.openxmlformats.org/officeDocument/2006/docPropsVTypes"/>
</file>