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3A5F" w:val="clear"/>
            <w:tcMar>
              <w:top w:type="dxa" w:w="320"/>
              <w:left w:type="dxa" w:w="300"/>
              <w:bottom w:type="dxa" w:w="320"/>
              <w:right w:type="dxa" w:w="300"/>
            </w:tcMar>
          </w:tcPr>
          <w:p>
            <w:pPr>
              <w:spacing w:after="80" w:before="0"/>
            </w:pPr>
            <w:r>
              <w:rPr>
                <w:rFonts w:ascii="Calibri" w:cs="Calibri" w:eastAsia="Calibri" w:hAnsi="Calibri"/>
                <w:b/>
                <w:bCs/>
                <w:color w:val="C9A961"/>
                <w:sz w:val="18"/>
                <w:szCs w:val="18"/>
              </w:rPr>
              <w:t xml:space="preserve">WHITE PAPER</w:t>
            </w:r>
          </w:p>
          <w:p>
            <w:pPr>
              <w:spacing w:after="0" w:before="0"/>
            </w:pPr>
            <w:r>
              <w:rPr>
                <w:rFonts w:ascii="Calibri" w:cs="Calibri" w:eastAsia="Calibri" w:hAnsi="Calibri"/>
                <w:color w:val="BDC8D4"/>
                <w:sz w:val="17"/>
                <w:szCs w:val="17"/>
              </w:rPr>
              <w:t xml:space="preserve">Mayo 2026  ·  Economía Política, Subjetividad y Democracia</w:t>
            </w:r>
          </w:p>
        </w:tc>
      </w:tr>
    </w:tbl>
    <w:p>
      <w:pPr>
        <w:spacing w:after="0" w:before="320"/>
      </w:pPr>
    </w:p>
    <w:p>
      <w:pPr>
        <w:spacing w:after="100" w:before="0"/>
        <w:jc w:val="left"/>
      </w:pPr>
      <w:r>
        <w:rPr>
          <w:rFonts w:ascii="Cambria" w:cs="Cambria" w:eastAsia="Cambria" w:hAnsi="Cambria"/>
          <w:b/>
          <w:bCs/>
          <w:color w:val="1F3A5F"/>
          <w:sz w:val="52"/>
          <w:szCs w:val="52"/>
        </w:rPr>
        <w:t xml:space="preserve">Capitalismo especulativo,</w:t>
      </w:r>
    </w:p>
    <w:p>
      <w:pPr>
        <w:spacing w:after="100" w:before="0"/>
        <w:jc w:val="left"/>
      </w:pPr>
      <w:r>
        <w:rPr>
          <w:rFonts w:ascii="Cambria" w:cs="Cambria" w:eastAsia="Cambria" w:hAnsi="Cambria"/>
          <w:b/>
          <w:bCs/>
          <w:color w:val="1F3A5F"/>
          <w:sz w:val="52"/>
          <w:szCs w:val="52"/>
        </w:rPr>
        <w:t xml:space="preserve">subjetividad financiera</w:t>
      </w:r>
    </w:p>
    <w:p>
      <w:pPr>
        <w:spacing w:after="100" w:before="0"/>
        <w:jc w:val="left"/>
      </w:pPr>
      <w:r>
        <w:rPr>
          <w:rFonts w:ascii="Cambria" w:cs="Cambria" w:eastAsia="Cambria" w:hAnsi="Cambria"/>
          <w:b/>
          <w:bCs/>
          <w:color w:val="1F3A5F"/>
          <w:sz w:val="52"/>
          <w:szCs w:val="52"/>
        </w:rPr>
        <w:t xml:space="preserve">y erosión democrática</w:t>
      </w:r>
    </w:p>
    <w:p>
      <w:pPr>
        <w:spacing w:after="0" w:before="80"/>
      </w:pPr>
    </w:p>
    <w:p>
      <w:pPr>
        <w:pBdr>
          <w:bottom w:val="single" w:color="C9A961" w:sz="16" w:space="1"/>
        </w:pBdr>
        <w:spacing w:after="0" w:before="0"/>
      </w:pPr>
    </w:p>
    <w:p>
      <w:pPr>
        <w:spacing w:after="0" w:before="120"/>
      </w:pPr>
    </w:p>
    <w:p>
      <w:pPr>
        <w:spacing w:after="360" w:before="0"/>
        <w:jc w:val="left"/>
      </w:pPr>
      <w:r>
        <w:rPr>
          <w:rFonts w:ascii="Cambria" w:cs="Cambria" w:eastAsia="Cambria" w:hAnsi="Cambria"/>
          <w:i/>
          <w:iCs/>
          <w:color w:val="555555"/>
          <w:sz w:val="24"/>
          <w:szCs w:val="24"/>
        </w:rPr>
        <w:t xml:space="preserve">Marco analítico para comprender comportamientos económicos, políticos y subjetivos en el capitalismo contemporáneo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7"/>
      </w:tblGrid>
      <w:tr>
        <w:tc>
          <w:tcPr>
            <w:tcW w:type="dxa" w:w="5300"/>
            <w:tcBorders>
              <w:top w:val="none"/>
              <w:left w:val="none"/>
              <w:bottom w:val="none"/>
              <w:right w:val="none"/>
            </w:tcBorders>
            <w:shd w:fill="F4EFE6" w:val="clear"/>
            <w:tcMar>
              <w:top w:type="dxa" w:w="200"/>
              <w:left w:type="dxa" w:w="220"/>
              <w:bottom w:type="dxa" w:w="200"/>
              <w:right w:type="dxa" w:w="100"/>
            </w:tcMar>
          </w:tcPr>
          <w:p>
            <w:pPr>
              <w:spacing w:after="70" w:before="0"/>
            </w:pPr>
            <w:r>
              <w:rPr>
                <w:rFonts w:ascii="Cambria" w:cs="Cambria" w:eastAsia="Cambria" w:hAnsi="Cambria"/>
                <w:b/>
                <w:bCs/>
                <w:color w:val="1F3A5F"/>
                <w:sz w:val="26"/>
                <w:szCs w:val="26"/>
              </w:rPr>
              <w:t xml:space="preserve">Mariano Nicolás Terraf</w:t>
            </w:r>
          </w:p>
          <w:p>
            <w:pPr>
              <w:spacing w:after="40" w:before="0"/>
            </w:pPr>
            <w:r>
              <w:rPr>
                <w:rFonts w:ascii="Calibri" w:cs="Calibri" w:eastAsia="Calibri" w:hAnsi="Calibri"/>
                <w:color w:val="555555"/>
                <w:sz w:val="19"/>
                <w:szCs w:val="19"/>
              </w:rPr>
              <w:t xml:space="preserve">Becario Doctoral CONICET</w:t>
            </w:r>
          </w:p>
          <w:p>
            <w:pPr>
              <w:spacing w:after="40" w:before="0"/>
            </w:pPr>
            <w:r>
              <w:rPr>
                <w:rFonts w:ascii="Calibri" w:cs="Calibri" w:eastAsia="Calibri" w:hAnsi="Calibri"/>
                <w:color w:val="555555"/>
                <w:sz w:val="19"/>
                <w:szCs w:val="19"/>
              </w:rPr>
              <w:t xml:space="preserve">Doctorando en Humanidades</w:t>
            </w:r>
          </w:p>
          <w:p>
            <w:pPr>
              <w:spacing w:after="40" w:before="0"/>
            </w:pPr>
            <w:r>
              <w:rPr>
                <w:rFonts w:ascii="Calibri" w:cs="Calibri" w:eastAsia="Calibri" w:hAnsi="Calibri"/>
                <w:color w:val="555555"/>
                <w:sz w:val="19"/>
                <w:szCs w:val="19"/>
              </w:rPr>
              <w:t xml:space="preserve">Universidad Nacional de Tucumán</w:t>
            </w:r>
          </w:p>
          <w:p>
            <w:pPr>
              <w:spacing w:after="0" w:before="0"/>
            </w:pPr>
            <w:r>
              <w:rPr>
                <w:rFonts w:ascii="Calibri" w:cs="Calibri" w:eastAsia="Calibri" w:hAnsi="Calibri"/>
                <w:color w:val="555555"/>
                <w:sz w:val="19"/>
                <w:szCs w:val="19"/>
              </w:rPr>
              <w:t xml:space="preserve">Investigador en economía política, sociología económica y filosofía política</w:t>
            </w:r>
          </w:p>
        </w:tc>
        <w:tc>
          <w:tcPr>
            <w:tcW w:type="dxa" w:w="4337"/>
            <w:tcBorders>
              <w:top w:val="none"/>
              <w:left w:val="none"/>
              <w:bottom w:val="none"/>
              <w:right w:val="none"/>
            </w:tcBorders>
            <w:shd w:fill="F4EFE6" w:val="clear"/>
            <w:tcMar>
              <w:top w:type="dxa" w:w="200"/>
              <w:left w:type="dxa" w:w="100"/>
              <w:bottom w:type="dxa" w:w="200"/>
              <w:right w:type="dxa" w:w="220"/>
            </w:tcMar>
            <w:vAlign w:val="bottom"/>
          </w:tcPr>
          <w:p>
            <w:pPr>
              <w:spacing w:after="40" w:before="0"/>
              <w:jc w:val="right"/>
            </w:pPr>
            <w:r>
              <w:rPr>
                <w:rFonts w:ascii="Calibri" w:cs="Calibri" w:eastAsia="Calibri" w:hAnsi="Calibri"/>
                <w:color w:val="555555"/>
                <w:sz w:val="18"/>
                <w:szCs w:val="18"/>
              </w:rPr>
              <w:t xml:space="preserve">terrafmariano@gmail.com</w:t>
            </w:r>
          </w:p>
          <w:p>
            <w:pPr>
              <w:spacing w:after="40" w:before="0"/>
              <w:jc w:val="right"/>
            </w:pPr>
            <w:r>
              <w:rPr>
                <w:rFonts w:ascii="Calibri" w:cs="Calibri" w:eastAsia="Calibri" w:hAnsi="Calibri"/>
                <w:color w:val="555555"/>
                <w:sz w:val="18"/>
                <w:szCs w:val="18"/>
              </w:rPr>
              <w:t xml:space="preserve">linkedin.com/in/mariano-terraf-40a10852</w:t>
            </w:r>
          </w:p>
          <w:p>
            <w:pPr>
              <w:spacing w:after="40" w:before="0"/>
              <w:jc w:val="right"/>
            </w:pPr>
            <w:r>
              <w:rPr>
                <w:rFonts w:ascii="Calibri" w:cs="Calibri" w:eastAsia="Calibri" w:hAnsi="Calibri"/>
                <w:color w:val="555555"/>
                <w:sz w:val="18"/>
                <w:szCs w:val="18"/>
              </w:rPr>
              <w:t xml:space="preserve">orcid.org/0009-0009-7836-4289</w:t>
            </w:r>
          </w:p>
          <w:p>
            <w:pPr>
              <w:spacing w:after="0" w:before="0"/>
              <w:jc w:val="right"/>
            </w:pPr>
            <w:r>
              <w:rPr>
                <w:rFonts w:ascii="Calibri" w:cs="Calibri" w:eastAsia="Calibri" w:hAnsi="Calibri"/>
                <w:i/>
                <w:iCs/>
                <w:color w:val="555555"/>
                <w:sz w:val="18"/>
                <w:szCs w:val="18"/>
              </w:rPr>
              <w:t xml:space="preserve">San Miguel de Tucumán, Argentina</w:t>
            </w:r>
          </w:p>
        </w:tc>
      </w:tr>
    </w:tbl>
    <w:p>
      <w:r>
        <w:br w:type="page"/>
      </w:r>
    </w:p>
    <w:p>
      <w:pPr>
        <w:sectPr>
          <w:pgSz w:w="11906" w:h="16838" w:orient="portrait"/>
          <w:pgMar w:top="1134" w:right="1134" w:bottom="1134" w:left="1134"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6"/>
              <w:left w:val="single" w:color="1F3A5F" w:sz="16"/>
              <w:bottom w:val="none"/>
              <w:right w:val="none"/>
            </w:tcBorders>
            <w:shd w:fill="EAF2F8" w:val="clear"/>
            <w:tcMar>
              <w:top w:type="dxa" w:w="140"/>
              <w:left w:type="dxa" w:w="220"/>
              <w:bottom w:type="dxa" w:w="140"/>
              <w:right w:type="dxa" w:w="220"/>
            </w:tcMar>
          </w:tcPr>
          <w:p>
            <w:pPr>
              <w:spacing w:after="60" w:before="0"/>
            </w:pPr>
            <w:r>
              <w:rPr>
                <w:rFonts w:ascii="Calibri" w:cs="Calibri" w:eastAsia="Calibri" w:hAnsi="Calibri"/>
                <w:b/>
                <w:bCs/>
                <w:color w:val="1F3A5F"/>
                <w:sz w:val="19"/>
                <w:szCs w:val="19"/>
              </w:rPr>
              <w:t xml:space="preserve">Resumen</w:t>
            </w:r>
          </w:p>
          <w:p>
            <w:pPr>
              <w:spacing w:after="0" w:before="0"/>
              <w:jc w:val="both"/>
            </w:pPr>
            <w:r>
              <w:rPr>
                <w:rFonts w:ascii="Calibri" w:cs="Calibri" w:eastAsia="Calibri" w:hAnsi="Calibri"/>
                <w:sz w:val="19"/>
                <w:szCs w:val="19"/>
              </w:rPr>
              <w:t xml:space="preserve">Este trabajo propone un marco analítico para comprender la relación entre capitalismo especulativo, producción de subjetividades y erosión democrática. El argumento central es que la extensión de la lógica del valor accionarial —originada en la transformación corporativa posterior a la ruptura de Bretton Woods— produce, a través de tres mecanismos articulados (desplazamiento del riesgo, evaluación continua e internalización del estándar competitivo), un tipo de subjetividad funcionalmente incompatible con los presupuestos de la vida democrática. Se examina cómo esa subjetividad —evaluativa, competitiva, desconfiada de las mediaciones colectivas— constituye el sustrato afectivo de las fuerzas antipolíticas contemporáneas. El análisis se apoya en aportes de la economía política crítica, la sociología económica, la teoría crítica y la filosofía política, y presta atención específica a las condiciones particulares de América Latina: informalidad laboral, expansión del trabajo algorítmico y financiarización de los hogares. Se concluye con una agenda de investigación e implicaciones para el diseño de intervenciones.</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961" w:sz="6"/>
              <w:left w:val="single" w:color="C9A961" w:sz="16"/>
              <w:bottom w:val="none"/>
              <w:right w:val="none"/>
            </w:tcBorders>
            <w:shd w:fill="F5F0E8" w:val="clear"/>
            <w:tcMar>
              <w:top w:type="dxa" w:w="140"/>
              <w:left w:type="dxa" w:w="220"/>
              <w:bottom w:type="dxa" w:w="140"/>
              <w:right w:type="dxa" w:w="220"/>
            </w:tcMar>
          </w:tcPr>
          <w:p>
            <w:pPr>
              <w:spacing w:after="60" w:before="0"/>
            </w:pPr>
            <w:r>
              <w:rPr>
                <w:rFonts w:ascii="Calibri" w:cs="Calibri" w:eastAsia="Calibri" w:hAnsi="Calibri"/>
                <w:b/>
                <w:bCs/>
                <w:color w:val="C9A961"/>
                <w:sz w:val="19"/>
                <w:szCs w:val="19"/>
              </w:rPr>
              <w:t xml:space="preserve">Abstract</w:t>
            </w:r>
          </w:p>
          <w:p>
            <w:pPr>
              <w:spacing w:after="0" w:before="0"/>
              <w:jc w:val="both"/>
            </w:pPr>
            <w:r>
              <w:rPr>
                <w:rFonts w:ascii="Calibri" w:cs="Calibri" w:eastAsia="Calibri" w:hAnsi="Calibri"/>
                <w:sz w:val="19"/>
                <w:szCs w:val="19"/>
              </w:rPr>
              <w:t xml:space="preserve">This paper proposes an analytical framework for understanding the relationship between speculative capitalism, the production of subjectivities, and democratic erosion. The central argument is that the extension of shareholder value logic—originating in the corporate transformation following the collapse of Bretton Woods—produces, through three interconnected mechanisms (risk displacement, continuous evaluation, and internalization of competitive standards), a type of subjectivity functionally incompatible with the presuppositions of democratic life. We examine how this subjectivity—evaluative, competitive, distrustful of collective mediations—constitutes the affective substrate of contemporary anti-political forces. The analysis draws on critical political economy, economic sociology, critical theory, and political philosophy, with specific attention to Latin American conditions: labor informality, expansion of algorithmic work, and household financialization. We conclude with a research agenda and implications for policy design.</w:t>
            </w:r>
          </w:p>
        </w:tc>
      </w:tr>
    </w:tbl>
    <w:p>
      <w:pPr>
        <w:spacing w:after="80" w:before="0"/>
      </w:pPr>
    </w:p>
    <w:p>
      <w:pPr>
        <w:spacing w:after="60" w:before="0"/>
      </w:pPr>
      <w:r>
        <w:rPr>
          <w:rFonts w:ascii="Calibri" w:cs="Calibri" w:eastAsia="Calibri" w:hAnsi="Calibri"/>
          <w:b/>
          <w:bCs/>
          <w:color w:val="1F3A5F"/>
          <w:sz w:val="18"/>
          <w:szCs w:val="18"/>
        </w:rPr>
        <w:t xml:space="preserve">Palabras clave: </w:t>
      </w:r>
      <w:r>
        <w:rPr>
          <w:rFonts w:ascii="Calibri" w:cs="Calibri" w:eastAsia="Calibri" w:hAnsi="Calibri"/>
          <w:color w:val="555555"/>
          <w:sz w:val="18"/>
          <w:szCs w:val="18"/>
        </w:rPr>
        <w:t xml:space="preserve">capitalismo especulativo · subjetividad · democracia · racionalidad neoliberal · antipolítica · América Latina</w:t>
      </w:r>
    </w:p>
    <w:p>
      <w:pPr>
        <w:spacing w:after="0" w:before="0"/>
      </w:pPr>
      <w:r>
        <w:rPr>
          <w:rFonts w:ascii="Calibri" w:cs="Calibri" w:eastAsia="Calibri" w:hAnsi="Calibri"/>
          <w:b/>
          <w:bCs/>
          <w:color w:val="C9A961"/>
          <w:sz w:val="18"/>
          <w:szCs w:val="18"/>
        </w:rPr>
        <w:t xml:space="preserve">Keywords: </w:t>
      </w:r>
      <w:r>
        <w:rPr>
          <w:rFonts w:ascii="Calibri" w:cs="Calibri" w:eastAsia="Calibri" w:hAnsi="Calibri"/>
          <w:color w:val="555555"/>
          <w:sz w:val="18"/>
          <w:szCs w:val="18"/>
        </w:rPr>
        <w:t xml:space="preserve">speculative capitalism · subjectivity · democracy · neoliberal rationality · anti-politics · Latin America</w:t>
      </w:r>
    </w:p>
    <w:p>
      <w:pPr>
        <w:spacing w:after="0" w:before="160"/>
      </w:pPr>
    </w:p>
    <w:p>
      <w:pPr>
        <w:spacing w:after="100" w:before="320"/>
      </w:pPr>
      <w:r>
        <w:rPr>
          <w:rFonts w:ascii="Cambria" w:cs="Cambria" w:eastAsia="Cambria" w:hAnsi="Cambria"/>
          <w:b/>
          <w:bCs/>
          <w:color w:val="C9A961"/>
          <w:sz w:val="22"/>
          <w:szCs w:val="22"/>
        </w:rPr>
        <w:t xml:space="preserve">  </w:t>
      </w:r>
      <w:r>
        <w:rPr>
          <w:rFonts w:ascii="Cambria" w:cs="Cambria" w:eastAsia="Cambria" w:hAnsi="Cambria"/>
          <w:b/>
          <w:bCs/>
          <w:color w:val="1F3A5F"/>
          <w:sz w:val="22"/>
          <w:szCs w:val="22"/>
        </w:rPr>
        <w:t xml:space="preserve">INTRODUCCIÓN</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Existe un consenso creciente entre investigadores y analistas de política pública respecto de que las democracias latinoamericanas atraviesan un momento de erosión significativa. Sin embargo, los diagnósticos disponibles suelen detenerse en el plano institucional —corrupción, debilidad del Estado de derecho, polarización— sin dar cuenta de la dimensión subjetiva del problema: los modos en que las condiciones de vida producen disposiciones, afectos y horizontes desde los cuales los ciudadanos se relacionan con la política.</w:t>
      </w:r>
    </w:p>
    <w:p>
      <w:pPr>
        <w:spacing w:after="80" w:before="0"/>
      </w:pPr>
    </w:p>
    <w:p>
      <w:pPr>
        <w:spacing w:after="140" w:before="0"/>
        <w:jc w:val="both"/>
      </w:pPr>
      <w:r>
        <w:rPr>
          <w:rFonts w:ascii="Calibri" w:cs="Calibri" w:eastAsia="Calibri" w:hAnsi="Calibri"/>
          <w:sz w:val="21"/>
          <w:szCs w:val="21"/>
        </w:rPr>
        <w:t xml:space="preserve">Este trabajo propone un marco analítico que articula economía política, sociología económica y filosofía política para abordar esa dimensión. El argumento es que la transformación especulativa del capitalismo desde los años setenta no solo reorganizó los mercados y las corporaciones, sino que produjo una nueva figura subjetiva: el individuo evaluado, que gestiona su vida como un portafolio, experimenta la incertidumbre como responsabilidad personal y desconfía de toda mediación colectiva. Esa figura subjetiva no es el efecto secundario del capitalismo financiero; es uno de sus productos centrales. Y es también el sustrato sobre el cual crecen las fuerzas antipolíticas contemporáneas.</w:t>
      </w:r>
    </w:p>
    <w:p>
      <w:pPr>
        <w:spacing w:after="80" w:before="0"/>
      </w:pPr>
    </w:p>
    <w:p>
      <w:pPr>
        <w:spacing w:after="140" w:before="0"/>
        <w:jc w:val="both"/>
      </w:pPr>
      <w:r>
        <w:rPr>
          <w:rFonts w:ascii="Calibri" w:cs="Calibri" w:eastAsia="Calibri" w:hAnsi="Calibri"/>
          <w:sz w:val="21"/>
          <w:szCs w:val="21"/>
        </w:rPr>
        <w:t xml:space="preserve">El desarrollo sigue este orden. La primera sección reconstruye la transformación especulativa del capitalismo, con énfasis en el concepto de capital ficticio y en el movimiento del valor para los accionistas. La segunda examina la racionalidad neoliberal como tecnología de gobierno que expande esa lógica más allá de los mercados. La tercera describe los mecanismos concretos de producción subjetiva. La cuarta analiza las consecuencias políticas: la subjetividad especulativa como sustrato de la antipolítica. La quinta sitúa el análisis en el contexto latinoamericano. Se concluye con una agenda de investigación e implicaciones para intervenciones de política pública.</w:t>
      </w:r>
    </w:p>
    <w:p>
      <w:pPr>
        <w:spacing w:after="0" w:before="160"/>
      </w:pPr>
    </w:p>
    <w:p>
      <w:pPr>
        <w:spacing w:after="100" w:before="320"/>
      </w:pPr>
      <w:r>
        <w:rPr>
          <w:rFonts w:ascii="Cambria" w:cs="Cambria" w:eastAsia="Cambria" w:hAnsi="Cambria"/>
          <w:b/>
          <w:bCs/>
          <w:color w:val="C9A961"/>
          <w:sz w:val="22"/>
          <w:szCs w:val="22"/>
        </w:rPr>
        <w:t xml:space="preserve">I.  </w:t>
      </w:r>
      <w:r>
        <w:rPr>
          <w:rFonts w:ascii="Cambria" w:cs="Cambria" w:eastAsia="Cambria" w:hAnsi="Cambria"/>
          <w:b/>
          <w:bCs/>
          <w:color w:val="1F3A5F"/>
          <w:sz w:val="22"/>
          <w:szCs w:val="22"/>
        </w:rPr>
        <w:t xml:space="preserve">LA TRANSFORMACIÓN ESPECULATIVA DEL CAPITALISMO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El capitalismo contemporáneo experimenta una transformación en su lógica de acumulación que los conceptos disponibles en los años setenta no anticipaban del todo. La distinción marxiana entre capital productivo y capital ficticio —entre la valorización que pasa por el proceso de producción y la que se basa en expectativas de rendimientos futuros— adquiere una centralidad analítica renovada cuando se observa que la expansión sostenida de los mercados de activos puede coexistir, durante períodos prolongados, con el estancamiento de la inversión productiva (Marx, 2008; Carcanholo y Sabadini, 2017).</w:t>
      </w:r>
    </w:p>
    <w:p>
      <w:pPr>
        <w:spacing w:after="80" w:before="0"/>
      </w:pPr>
    </w:p>
    <w:p>
      <w:pPr>
        <w:spacing w:after="140" w:before="0"/>
        <w:jc w:val="both"/>
      </w:pPr>
      <w:r>
        <w:rPr>
          <w:rFonts w:ascii="Calibri" w:cs="Calibri" w:eastAsia="Calibri" w:hAnsi="Calibri"/>
          <w:sz w:val="21"/>
          <w:szCs w:val="21"/>
        </w:rPr>
        <w:t xml:space="preserve">El punto de ruptura histórica más frecuentemente señalado es la disolución del sistema monetario de Bretton Woods entre 1971 y 1973. Cuando el gobierno de Nixon suspendió la convertibilidad del dólar en oro, desarmó el anclaje que había contenido la expansión del crédito durante la posguerra y abrió un entorno donde los precios comenzaron a condensar expectativas, noticias y cálculos probabilísticos con mayor inmediatez que las tendencias productivas de largo plazo (Vogl, 2022). La flotación cambiaria, la proliferación de instrumentos derivados y la internacionalización de los flujos de capital no fueron solo consecuencias técnicas de ese cambio: fueron las condiciones de posibilidad de una nueva gramática de acumulación.</w:t>
      </w:r>
    </w:p>
    <w:p>
      <w:pPr>
        <w:spacing w:after="80" w:before="0"/>
      </w:pPr>
    </w:p>
    <w:p>
      <w:pPr>
        <w:spacing w:after="140" w:before="0"/>
        <w:jc w:val="both"/>
      </w:pPr>
      <w:r>
        <w:rPr>
          <w:rFonts w:ascii="Calibri" w:cs="Calibri" w:eastAsia="Calibri" w:hAnsi="Calibri"/>
          <w:sz w:val="21"/>
          <w:szCs w:val="21"/>
        </w:rPr>
        <w:t xml:space="preserve">Sobre esa base, la corporación comenzó a reorganizarse en torno a la valorización bursátil de corto plazo. La doctrina del shareholder value —administrar la empresa en interés exclusivo del accionista— se institucionalizó durante los años ochenta como criterio rector de gobernanza corporativa. La Business Roundtable redefinió públicamente el propósito corporativo; los esquemas de compensación vinculados a la cotización alinearon los intereses de los directivos con los del mercado; y el mercado de control corporativo convirtió la amenaza de adquisición hostil en un disciplinador permanente (Ho, 2009). El resultado fue la sustitución progresiva de la lógica del retain and reinvest —retener ganancias e invertirlas en capacidad productiva— por la del downsize and distribute: reducir compromisos organizacionales y redistribuir excedentes hacia los propietarios del capital (Lazonick y O'Sullivan, 2000).</w:t>
      </w:r>
    </w:p>
    <w:p>
      <w:pPr>
        <w:spacing w:after="80" w:before="0"/>
      </w:pPr>
    </w:p>
    <w:p>
      <w:pPr>
        <w:spacing w:after="140" w:before="0"/>
        <w:jc w:val="both"/>
      </w:pPr>
      <w:r>
        <w:rPr>
          <w:rFonts w:ascii="Calibri" w:cs="Calibri" w:eastAsia="Calibri" w:hAnsi="Calibri"/>
          <w:sz w:val="21"/>
          <w:szCs w:val="21"/>
        </w:rPr>
        <w:t xml:space="preserve">Entre 2012 y 2017, las empresas del S&amp;P 500 destinaron aproximadamente el 98% de sus ganancias a recompras de acciones y dividendos (Durand, 2021). La cifra no es una anomalía sino la cristalización de un régimen: bajo la primacía accionarial, la mejora del balance puede sostenerse mediante prácticas que deterioran las condiciones de reproducción a largo plazo. La firma aprende a producir señales de valor para el mercado —no necesariamente valor en el sentido de capacidades organizacionales o productivas acumuladas. La temporalidad se comprime: lo que cuenta es lo que puede leerse en la próxima ventana trimestral.</w:t>
      </w:r>
    </w:p>
    <w:p>
      <w:pPr>
        <w:spacing w:after="80" w:before="0"/>
      </w:pPr>
    </w:p>
    <w:p>
      <w:pPr>
        <w:spacing w:after="140" w:before="0"/>
        <w:jc w:val="both"/>
      </w:pPr>
      <w:r>
        <w:rPr>
          <w:rFonts w:ascii="Calibri" w:cs="Calibri" w:eastAsia="Calibri" w:hAnsi="Calibri"/>
          <w:sz w:val="21"/>
          <w:szCs w:val="21"/>
        </w:rPr>
        <w:t xml:space="preserve">Este régimen de valorización no se limita al mundo de las grandes corporaciones. Se estabiliza y se generaliza a través de la infraestructura técnica de los mercados: la automatización financiera estandariza información, sincroniza tiempos y fija reglas de acceso que convierten al precio en instancia decisiva de legitimación (Pardo-Guerra, 2019). Cuando la verificación se integra a la infraestructura, la sanción deja de depender de deliberación y pasa a ejecutarse como evento técnico. Y esa misma lógica —evaluación continua, métricas comparables, sanción automática— comienza a filtrarse hacia el mundo del trabajo, los vínculos y la subjetividad.</w:t>
      </w:r>
    </w:p>
    <w:p>
      <w:pPr>
        <w:spacing w:after="0" w:before="160"/>
      </w:pPr>
    </w:p>
    <w:p>
      <w:pPr>
        <w:spacing w:after="100" w:before="320"/>
      </w:pPr>
      <w:r>
        <w:rPr>
          <w:rFonts w:ascii="Cambria" w:cs="Cambria" w:eastAsia="Cambria" w:hAnsi="Cambria"/>
          <w:b/>
          <w:bCs/>
          <w:color w:val="C9A961"/>
          <w:sz w:val="22"/>
          <w:szCs w:val="22"/>
        </w:rPr>
        <w:t xml:space="preserve">II.  </w:t>
      </w:r>
      <w:r>
        <w:rPr>
          <w:rFonts w:ascii="Cambria" w:cs="Cambria" w:eastAsia="Cambria" w:hAnsi="Cambria"/>
          <w:b/>
          <w:bCs/>
          <w:color w:val="1F3A5F"/>
          <w:sz w:val="22"/>
          <w:szCs w:val="22"/>
        </w:rPr>
        <w:t xml:space="preserve">LA RACIONALIDAD NEOLIBERAL COMO TECNOLOGÍA DE GOBIERNO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La transformación corporativa descrita en la sección anterior no produce por sí sola sus efectos sobre la subjetividad. Requiere un vector de transmisión que extienda su lógica más allá de las finanzas. Ese vector es lo que Wendy Brown (2015) denomina racionalidad neoliberal: no un programa de políticas públicas, sino una razón que economiza esferas de la vida que hasta entonces no eran económicas y que produce, en ese proceso, un tipo específico de sujeto.</w:t>
      </w:r>
    </w:p>
    <w:p>
      <w:pPr>
        <w:spacing w:after="80" w:before="0"/>
      </w:pPr>
    </w:p>
    <w:p>
      <w:pPr>
        <w:spacing w:after="140" w:before="0"/>
        <w:jc w:val="both"/>
      </w:pPr>
      <w:r>
        <w:rPr>
          <w:rFonts w:ascii="Calibri" w:cs="Calibri" w:eastAsia="Calibri" w:hAnsi="Calibri"/>
          <w:sz w:val="21"/>
          <w:szCs w:val="21"/>
        </w:rPr>
        <w:t xml:space="preserve">La operación central de esta racionalidad es la reconversión del ciudadano en capital humano. Si en la racionalidad liberal clásica el individuo era portador de derechos e intereses, en la racionalidad neoliberal el individuo es una empresa de sí mismo cuyo valor depende de su capacidad para competir, invertir en sus capacidades y valorizar su posición relativa. Los ámbitos que antes se organizaban bajo lógicas heterogéneas —el cuidado, la educación, la amistad, la participación política— quedan progresivamente colonizados por el lenguaje de la competencia, la eficiencia y el retorno.</w:t>
      </w:r>
    </w:p>
    <w:p>
      <w:pPr>
        <w:spacing w:after="80" w:before="0"/>
      </w:pPr>
    </w:p>
    <w:p>
      <w:pPr>
        <w:spacing w:after="140" w:before="0"/>
        <w:jc w:val="both"/>
      </w:pPr>
      <w:r>
        <w:rPr>
          <w:rFonts w:ascii="Calibri" w:cs="Calibri" w:eastAsia="Calibri" w:hAnsi="Calibri"/>
          <w:sz w:val="21"/>
          <w:szCs w:val="21"/>
        </w:rPr>
        <w:t xml:space="preserve">Esta racionalidad opera como tecnología de gobierno en el sentido foucaultiano: no impone conductas desde el exterior sino que produce disposiciones desde las cuales los sujetos se gobiernan a sí mismos (Foucault, 2007). La clave de su eficacia es que la obediencia aparece como elección: el sujeto neoliberal se experimenta como agente autónomo que decide invertir en sí mismo, asumir riesgos y optimizar su rendimiento. El control se vuelve más eficaz precisamente cuando se presenta como libertad administrable.</w:t>
      </w:r>
    </w:p>
    <w:p>
      <w:pPr>
        <w:spacing w:after="80" w:before="0"/>
      </w:pPr>
    </w:p>
    <w:p>
      <w:pPr>
        <w:spacing w:after="140" w:before="0"/>
        <w:jc w:val="both"/>
      </w:pPr>
      <w:r>
        <w:rPr>
          <w:rFonts w:ascii="Calibri" w:cs="Calibri" w:eastAsia="Calibri" w:hAnsi="Calibri"/>
          <w:sz w:val="21"/>
          <w:szCs w:val="21"/>
        </w:rPr>
        <w:t xml:space="preserve">En el contexto del capitalismo financiero, esta racionalidad amplifica y legitima las transformaciones corporativas. Si la empresa debe distribuir riesgos hacia los trabajadores, la racionalidad neoliberal provee el lenguaje que convierte esa distribución en responsabilidad individual: el trabajador precarizado no es víctima de una decisión organizacional sino emprendedor de sí mismo que acepta los riesgos propios de su proyecto. Si el mercado sanciona mediante métricas automáticas, la racionalidad neoliberal provee el relato que convierte esa sanción en prueba de mérito o de falla personal.</w:t>
      </w:r>
    </w:p>
    <w:p>
      <w:pPr>
        <w:spacing w:after="0" w:before="160"/>
      </w:pPr>
    </w:p>
    <w:p>
      <w:pPr>
        <w:spacing w:after="100" w:before="320"/>
      </w:pPr>
      <w:r>
        <w:rPr>
          <w:rFonts w:ascii="Cambria" w:cs="Cambria" w:eastAsia="Cambria" w:hAnsi="Cambria"/>
          <w:b/>
          <w:bCs/>
          <w:color w:val="C9A961"/>
          <w:sz w:val="22"/>
          <w:szCs w:val="22"/>
        </w:rPr>
        <w:t xml:space="preserve">III.  </w:t>
      </w:r>
      <w:r>
        <w:rPr>
          <w:rFonts w:ascii="Cambria" w:cs="Cambria" w:eastAsia="Cambria" w:hAnsi="Cambria"/>
          <w:b/>
          <w:bCs/>
          <w:color w:val="1F3A5F"/>
          <w:sz w:val="22"/>
          <w:szCs w:val="22"/>
        </w:rPr>
        <w:t xml:space="preserve">LOS MECANISMOS DE PRODUCCIÓN SUBJETIVA</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La articulación entre capitalismo financiero y racionalidad neoliberal produce efectos concretos sobre la subjetividad a través de tres mecanismos que se refuerzan mutuamente. Su descripción detallada es necesaria porque es precisamente en su funcionamiento articulado donde se genera la figura del sujeto evaluado que constituye el núcleo del argumento.</w:t>
      </w:r>
    </w:p>
    <w:p>
      <w:pPr>
        <w:spacing w:after="100" w:before="0"/>
      </w:pPr>
    </w:p>
    <w:p>
      <w:pPr>
        <w:spacing w:after="120" w:before="120"/>
        <w:jc w:val="both"/>
      </w:pPr>
      <w:r>
        <w:rPr>
          <w:rFonts w:ascii="Calibri" w:cs="Calibri" w:eastAsia="Calibri" w:hAnsi="Calibri"/>
          <w:b/>
          <w:bCs/>
          <w:color w:val="1F3A5F"/>
          <w:sz w:val="21"/>
          <w:szCs w:val="21"/>
        </w:rPr>
        <w:t xml:space="preserve">1. Desplazamiento del riesgo. </w:t>
      </w:r>
      <w:r>
        <w:rPr>
          <w:rFonts w:ascii="Calibri" w:cs="Calibri" w:eastAsia="Calibri" w:hAnsi="Calibri"/>
          <w:sz w:val="21"/>
          <w:szCs w:val="21"/>
        </w:rPr>
        <w:t xml:space="preserve">Las corporaciones —y luego las plataformas digitales— trasladan sistemáticamente los costos de la incertidumbre hacia los trabajadores. La sustitución del empleo estable por contratos temporales, la tercerización en cadenas de subcontratistas y el modelo del 'colaborador independiente' no son meramente estrategias de reducción de costos: son mecanismos de redistribución del riesgo que amplían la responsabilidad individual por los resultados y reducen los soportes colectivos de protección. En Uber, la coordinación algorítmica convierte la actividad laboral en datos; el conductor absorbe costos de mantenimiento, incertidumbre de demanda y riesgo de desvinculación técnica, mientras la plataforma retiene la capacidad de ordenar la asignación de viajes y de modificar las reglas unilateralmente (Rosenblat, 2018).</w:t>
      </w:r>
    </w:p>
    <w:p>
      <w:pPr>
        <w:spacing w:after="80" w:before="0"/>
      </w:pPr>
    </w:p>
    <w:p>
      <w:pPr>
        <w:spacing w:after="120" w:before="120"/>
        <w:jc w:val="both"/>
      </w:pPr>
      <w:r>
        <w:rPr>
          <w:rFonts w:ascii="Calibri" w:cs="Calibri" w:eastAsia="Calibri" w:hAnsi="Calibri"/>
          <w:b/>
          <w:bCs/>
          <w:color w:val="1F3A5F"/>
          <w:sz w:val="21"/>
          <w:szCs w:val="21"/>
        </w:rPr>
        <w:t xml:space="preserve">2. Evaluación continua. </w:t>
      </w:r>
      <w:r>
        <w:rPr>
          <w:rFonts w:ascii="Calibri" w:cs="Calibri" w:eastAsia="Calibri" w:hAnsi="Calibri"/>
          <w:sz w:val="21"/>
          <w:szCs w:val="21"/>
        </w:rPr>
        <w:t xml:space="preserve">La infraestructura técnica de los mercados financieros automatizados —y su análogo en las plataformas de trabajo y de crédito— convierte la actividad en datos comparables. Calificaciones de crédito, tasas de aceptación de viajes, puntajes de reputación, métricas de desempeño: el sujeto existe, en esta lógica, en la medida en que puede ser medido y situado en una distribución. Cuando la verificación se integra a la infraestructura, la evaluación deja de ser un episodio y se vuelve condición permanente. La sanción puede ejecutarse como evento técnico, sin deliberación y sin negociación. Este desplazamiento —de tecnologías sociales de honor y reputación a tecnologías de verificación y registro— transforma la forma del control: la confianza deja de apoyarse en vínculos negociables y pasa a reconstituirse como dependencia de sistemas que clasifican, ordenan y sancionan (Pardo-Guerra, 2019).</w:t>
      </w:r>
    </w:p>
    <w:p>
      <w:pPr>
        <w:spacing w:after="80" w:before="0"/>
      </w:pPr>
    </w:p>
    <w:p>
      <w:pPr>
        <w:spacing w:after="120" w:before="120"/>
        <w:jc w:val="both"/>
      </w:pPr>
      <w:r>
        <w:rPr>
          <w:rFonts w:ascii="Calibri" w:cs="Calibri" w:eastAsia="Calibri" w:hAnsi="Calibri"/>
          <w:b/>
          <w:bCs/>
          <w:color w:val="1F3A5F"/>
          <w:sz w:val="21"/>
          <w:szCs w:val="21"/>
        </w:rPr>
        <w:t xml:space="preserve">3. Internalización del estándar. </w:t>
      </w:r>
      <w:r>
        <w:rPr>
          <w:rFonts w:ascii="Calibri" w:cs="Calibri" w:eastAsia="Calibri" w:hAnsi="Calibri"/>
          <w:sz w:val="21"/>
          <w:szCs w:val="21"/>
        </w:rPr>
        <w:t xml:space="preserve">El emprendedorismo como lenguaje cultural cierra el circuito al convertir los efectos de los dos mecanismos anteriores en rasgos de carácter. La pedagogía de la autoayuda financiera —ampliamente diseminada a través de libros, podcasts, influencers y talleres— enseña a diagnosticar la precariedad como resultado de una subjetividad dependiente y a corregirla mediante disciplina, planificación y tolerancia al riesgo (Fridman, 2019). El fracaso se traduce en déficit personal; la incertidumbre, en prueba de mérito; la desigualdad, en distribución justa de ganadores y perdedores. El sujeto aprende a ser su propio supervisor y su propio tribunal. La ansiedad ante la evaluación permanente se convierte en acicate de más disciplina y más disponibilidad para la adaptación.</w:t>
      </w:r>
    </w:p>
    <w:p>
      <w:pPr>
        <w:spacing w:after="100" w:before="0"/>
      </w:pPr>
    </w:p>
    <w:p>
      <w:pPr>
        <w:spacing w:after="140" w:before="0"/>
        <w:jc w:val="both"/>
      </w:pPr>
      <w:r>
        <w:rPr>
          <w:rFonts w:ascii="Calibri" w:cs="Calibri" w:eastAsia="Calibri" w:hAnsi="Calibri"/>
          <w:sz w:val="21"/>
          <w:szCs w:val="21"/>
        </w:rPr>
        <w:t xml:space="preserve">El resultado de estos tres mecanismos articulados es lo que puede denominarse una libertad ambigua: se experimenta como autonomía mientras se vive como obligación permanente de rendir, adaptarse y traducirse en señales legibles. La autoexplotación no aparece como imposición externa sino como proyecto personal. Y la gamificación de las finanzas —desde aplicaciones de trading hasta plataformas de criptomonedas que prometen autonomía financiera a través de la especulación individual— refuerza ese proyecto al envolver la lógica de la evaluación continua en una interfaz lúdica que convierte cada posición en un juego de ganadores y perdedores (Nunes, 2024).</w:t>
      </w:r>
    </w:p>
    <w:p>
      <w:pPr>
        <w:spacing w:after="0" w:before="160"/>
      </w:pPr>
    </w:p>
    <w:p>
      <w:pPr>
        <w:spacing w:after="100" w:before="320"/>
      </w:pPr>
      <w:r>
        <w:rPr>
          <w:rFonts w:ascii="Cambria" w:cs="Cambria" w:eastAsia="Cambria" w:hAnsi="Cambria"/>
          <w:b/>
          <w:bCs/>
          <w:color w:val="C9A961"/>
          <w:sz w:val="22"/>
          <w:szCs w:val="22"/>
        </w:rPr>
        <w:t xml:space="preserve">IV.  </w:t>
      </w:r>
      <w:r>
        <w:rPr>
          <w:rFonts w:ascii="Cambria" w:cs="Cambria" w:eastAsia="Cambria" w:hAnsi="Cambria"/>
          <w:b/>
          <w:bCs/>
          <w:color w:val="1F3A5F"/>
          <w:sz w:val="22"/>
          <w:szCs w:val="22"/>
        </w:rPr>
        <w:t xml:space="preserve">SUBJETIVIDAD ESPECULATIVA Y VÍNCULO DEMOCRÁTICO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La conexión entre subjetividad especulativa y debilitamiento democrático no es directa ni mecánica. No hay un determinismo que vaya de la condición económica a la orientación política. Pero hay una articulación reconocible: las disposiciones producidas por los mecanismos descritos son funcionalmente incompatibles con los presupuestos de la vida democrática en dimensiones específicas.</w:t>
      </w:r>
    </w:p>
    <w:p>
      <w:pPr>
        <w:spacing w:after="80" w:before="0"/>
      </w:pPr>
    </w:p>
    <w:p>
      <w:pPr>
        <w:spacing w:after="140" w:before="0"/>
        <w:jc w:val="both"/>
      </w:pPr>
      <w:r>
        <w:rPr>
          <w:rFonts w:ascii="Calibri" w:cs="Calibri" w:eastAsia="Calibri" w:hAnsi="Calibri"/>
          <w:sz w:val="21"/>
          <w:szCs w:val="21"/>
        </w:rPr>
        <w:t xml:space="preserve">La democracia requiere, al menos, tres disposiciones básicas: la capacidad de reconocer a otros como portadores de derechos iguales; la disposición a sostener vínculos con quienes piensan diferente; y la confianza en que la mediación colectiva puede producir resultados que ningún individuo podría alcanzar en soledad. El sujeto evaluado, formado bajo la lógica de la competencia y la evaluación continua, tiende a erosionar las tres.</w:t>
      </w:r>
    </w:p>
    <w:p>
      <w:pPr>
        <w:spacing w:after="80" w:before="0"/>
      </w:pPr>
    </w:p>
    <w:p>
      <w:pPr>
        <w:spacing w:after="120" w:before="120"/>
        <w:jc w:val="both"/>
      </w:pPr>
      <w:r>
        <w:rPr>
          <w:rFonts w:ascii="Calibri" w:cs="Calibri" w:eastAsia="Calibri" w:hAnsi="Calibri"/>
          <w:b/>
          <w:bCs/>
          <w:color w:val="1F3A5F"/>
          <w:sz w:val="21"/>
          <w:szCs w:val="21"/>
        </w:rPr>
        <w:t xml:space="preserve">La temporalidad corta contra la deliberación larga. </w:t>
      </w:r>
      <w:r>
        <w:rPr>
          <w:rFonts w:ascii="Calibri" w:cs="Calibri" w:eastAsia="Calibri" w:hAnsi="Calibri"/>
          <w:sz w:val="21"/>
          <w:szCs w:val="21"/>
        </w:rPr>
        <w:t xml:space="preserve">El mercado financiero premia decisiones rápidamente legibles y penaliza compromisos de largo plazo. Ese régimen temporal se filtra hacia la percepción política: el ciudadano evaluado tiende a desacreditar la deliberación institucional —que es lenta, incierta y sin garantías inmediatas— en favor de liderazgos que prometen resultados directos y sin mediaciones. La antipolítica no es solo demagogia eficaz: es también el resultado lógico de una subjetividad que aprendió a medir el valor por su legibilidad en el presente.</w:t>
      </w:r>
    </w:p>
    <w:p>
      <w:pPr>
        <w:spacing w:after="80" w:before="0"/>
      </w:pPr>
    </w:p>
    <w:p>
      <w:pPr>
        <w:spacing w:after="120" w:before="120"/>
        <w:jc w:val="both"/>
      </w:pPr>
      <w:r>
        <w:rPr>
          <w:rFonts w:ascii="Calibri" w:cs="Calibri" w:eastAsia="Calibri" w:hAnsi="Calibri"/>
          <w:b/>
          <w:bCs/>
          <w:color w:val="1F3A5F"/>
          <w:sz w:val="21"/>
          <w:szCs w:val="21"/>
        </w:rPr>
        <w:t xml:space="preserve">La competencia individual contra la mediación colectiva. </w:t>
      </w:r>
      <w:r>
        <w:rPr>
          <w:rFonts w:ascii="Calibri" w:cs="Calibri" w:eastAsia="Calibri" w:hAnsi="Calibri"/>
          <w:sz w:val="21"/>
          <w:szCs w:val="21"/>
        </w:rPr>
        <w:t xml:space="preserve">Si la vida social se organiza como competencia entre individuos que gestionan sus propios portafolios, los sindicatos, los partidos y las organizaciones intermedias aparecen como obstáculos que capturan excedentes de quienes compiten bien o protegen a quienes compiten mal. La desconfianza hacia las instituciones no es solo una reacción a su mal funcionamiento: es también el efecto de una subjetividad para la cual la solidaridad colectiva carece de valor estratégico.</w:t>
      </w:r>
    </w:p>
    <w:p>
      <w:pPr>
        <w:spacing w:after="80" w:before="0"/>
      </w:pPr>
    </w:p>
    <w:p>
      <w:pPr>
        <w:spacing w:after="120" w:before="120"/>
        <w:jc w:val="both"/>
      </w:pPr>
      <w:r>
        <w:rPr>
          <w:rFonts w:ascii="Calibri" w:cs="Calibri" w:eastAsia="Calibri" w:hAnsi="Calibri"/>
          <w:b/>
          <w:bCs/>
          <w:color w:val="1F3A5F"/>
          <w:sz w:val="21"/>
          <w:szCs w:val="21"/>
        </w:rPr>
        <w:t xml:space="preserve">El resentimiento como afecto político. </w:t>
      </w:r>
      <w:r>
        <w:rPr>
          <w:rFonts w:ascii="Calibri" w:cs="Calibri" w:eastAsia="Calibri" w:hAnsi="Calibri"/>
          <w:sz w:val="21"/>
          <w:szCs w:val="21"/>
        </w:rPr>
        <w:t xml:space="preserve">Vogl (2022) describe el resentimiento como el afecto característico del capitalismo especulativo: cuando la promesa de movilidad individual se sostiene sin cumplirse, la frustración no se dirige contra el sistema sino contra quienes son percibidos como obstáculos o como beneficiarios injustos de ventajas inmerecidas. El optimismo cruel —el apego persistente a un ideal que no se realiza, pero que organiza la vida (Berlant, 2020)— produce, cuando fracasa, vergüenza y disciplina redoblada, no cuestionamiento de las reglas. Y produce también una solidaridad negativa: la disposición a exigir que los demás soporten lo mismo que uno soporta, combinada con hostilidad hacia quienes parecen eludir ese peso.</w:t>
      </w:r>
    </w:p>
    <w:p>
      <w:pPr>
        <w:spacing w:after="80" w:before="0"/>
      </w:pPr>
    </w:p>
    <w:p>
      <w:pPr>
        <w:spacing w:after="140" w:before="0"/>
        <w:jc w:val="both"/>
      </w:pPr>
      <w:r>
        <w:rPr>
          <w:rFonts w:ascii="Calibri" w:cs="Calibri" w:eastAsia="Calibri" w:hAnsi="Calibri"/>
          <w:sz w:val="21"/>
          <w:szCs w:val="21"/>
        </w:rPr>
        <w:t xml:space="preserve">En este marco, las fuerzas que hacen de la antipolítica su capital no necesitan engañar a los ciudadanos: hablan el lenguaje que esos ciudadanos aprendieron a hablar. El mérito individual, la eficiencia sin mediaciones, la desconfianza hacia lo que no se puede medir, la exigencia de resultados inmediatos: son el idioma del sujeto evaluado. El neoliberalismo autoritario no requiere suspender las instituciones democráticas para vaciarlas de contenido. Le basta con colonizar las subjetividades que deberían sostenerlas (Marcos y Terraf, 2023).</w:t>
      </w:r>
    </w:p>
    <w:p>
      <w:pPr>
        <w:spacing w:after="0" w:before="160"/>
      </w:pPr>
    </w:p>
    <w:p>
      <w:pPr>
        <w:spacing w:after="100" w:before="320"/>
      </w:pPr>
      <w:r>
        <w:rPr>
          <w:rFonts w:ascii="Cambria" w:cs="Cambria" w:eastAsia="Cambria" w:hAnsi="Cambria"/>
          <w:b/>
          <w:bCs/>
          <w:color w:val="C9A961"/>
          <w:sz w:val="22"/>
          <w:szCs w:val="22"/>
        </w:rPr>
        <w:t xml:space="preserve">V.  </w:t>
      </w:r>
      <w:r>
        <w:rPr>
          <w:rFonts w:ascii="Cambria" w:cs="Cambria" w:eastAsia="Cambria" w:hAnsi="Cambria"/>
          <w:b/>
          <w:bCs/>
          <w:color w:val="1F3A5F"/>
          <w:sz w:val="22"/>
          <w:szCs w:val="22"/>
        </w:rPr>
        <w:t xml:space="preserve">EL CASO LATINOAMERICANO: CONDICIONES ESPECÍFICAS</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El proceso descrito en las secciones anteriores no es universal en sus formas concretas. América Latina presenta condiciones específicas que modulan, amplifican y en algunos casos aceleran los mecanismos de producción de subjetividad especulativa.</w:t>
      </w:r>
    </w:p>
    <w:p>
      <w:pPr>
        <w:spacing w:after="80" w:before="0"/>
      </w:pPr>
    </w:p>
    <w:p>
      <w:pPr>
        <w:spacing w:after="140" w:before="0"/>
        <w:jc w:val="both"/>
      </w:pPr>
      <w:r>
        <w:rPr>
          <w:rFonts w:ascii="Calibri" w:cs="Calibri" w:eastAsia="Calibri" w:hAnsi="Calibri"/>
          <w:sz w:val="21"/>
          <w:szCs w:val="21"/>
        </w:rPr>
        <w:t xml:space="preserve">La informalidad laboral estructural —que en la región supera el 50% de la fuerza de trabajo en la mayoría de los países— predispone a formas de vida ya organizadas en torno a la gestión individual del riesgo, sin soportes institucionales estables. Para una parte significativa de la población, el emprendedorismo no es una elección sino la condición ordinaria de la subsistencia. La llegada de las plataformas de trabajo algorítmico encontró ese terreno ya preparado y lo formalizó bajo una gramática tecnológica: convirtió la informalidad en 'colaboración independiente', la precariedad en 'flexibilidad' y la ausencia de protecciones laborales en 'autonomía' (Svampa, 2019).</w:t>
      </w:r>
    </w:p>
    <w:p>
      <w:pPr>
        <w:spacing w:after="80" w:before="0"/>
      </w:pPr>
    </w:p>
    <w:p>
      <w:pPr>
        <w:spacing w:after="140" w:before="0"/>
        <w:jc w:val="both"/>
      </w:pPr>
      <w:r>
        <w:rPr>
          <w:rFonts w:ascii="Calibri" w:cs="Calibri" w:eastAsia="Calibri" w:hAnsi="Calibri"/>
          <w:sz w:val="21"/>
          <w:szCs w:val="21"/>
        </w:rPr>
        <w:t xml:space="preserve">La financiarización de los hogares adquirió formas específicas en la región: expansión del crédito al consumo, masificación de tarjetas de crédito con tasas extraordinariamente altas, endeudamiento estudiantil y, más recientemente, adopción de criptomonedas como estrategia de cobertura frente a la inestabilidad monetaria. En contextos de alta inflación —Argentina es el caso más extremo pero no el único—, la lógica especulativa se convierte en una necesidad práctica: no especular sobre el valor de los activos es una forma de perder patrimonio. El sujeto especulador no es, en ese contexto, una figura de clase media alta aspiracional; es la respuesta racional de hogares expuestos a la volatilidad de las monedas nacionales.</w:t>
      </w:r>
    </w:p>
    <w:p>
      <w:pPr>
        <w:spacing w:after="80" w:before="0"/>
      </w:pPr>
    </w:p>
    <w:p>
      <w:pPr>
        <w:spacing w:after="140" w:before="0"/>
        <w:jc w:val="both"/>
      </w:pPr>
      <w:r>
        <w:rPr>
          <w:rFonts w:ascii="Calibri" w:cs="Calibri" w:eastAsia="Calibri" w:hAnsi="Calibri"/>
          <w:sz w:val="21"/>
          <w:szCs w:val="21"/>
        </w:rPr>
        <w:t xml:space="preserve">La diseminación de la autoayuda financiera y del lenguaje emprendedor encontró en la región un vector adicional: las redes sociales de bajo costo y el acceso móvil a internet masificaron una cultura de influencers financieros, comunidades de trading amateur y canales de educación financiera que enseñan a gestionar la vida como portafolio. Esta pedagogía no se limita a las clases medias: llega también a sectores populares a través de plataformas de microtradeo, de apuestas deportivas digitalizadas y de esquemas de inversión que prometen retornos en criptomonedas. La gamificación de las finanzas encuentra en América Latina un terreno de expansión que los mercados europeos o norteamericanos no ofrecen en la misma medida.</w:t>
      </w:r>
    </w:p>
    <w:p>
      <w:pPr>
        <w:spacing w:after="80" w:before="0"/>
      </w:pPr>
    </w:p>
    <w:p>
      <w:pPr>
        <w:spacing w:after="140" w:before="0"/>
        <w:jc w:val="both"/>
      </w:pPr>
      <w:r>
        <w:rPr>
          <w:rFonts w:ascii="Calibri" w:cs="Calibri" w:eastAsia="Calibri" w:hAnsi="Calibri"/>
          <w:sz w:val="21"/>
          <w:szCs w:val="21"/>
        </w:rPr>
        <w:t xml:space="preserve">El resultado es que la subjetividad especulativa no es en la región un efecto derivado de la prosperidad sino una respuesta a la precariedad. Lo que en los países centrales puede describirse como una elección cultural —invertir en uno mismo, gestionar el riesgo individualmente, desconfiar de las protecciones colectivas— aquí aparece también como una estrategia de sobrevivencia ante Estados que no garantizan y mercados que fluctúan. Esa diferencia tiene implicaciones para el diseño de políticas: no alcanza con cambiar la cultura financiera si no se modifican las condiciones materiales que hacen racional esa cultura.</w:t>
      </w:r>
    </w:p>
    <w:p>
      <w:pPr>
        <w:spacing w:after="0" w:before="160"/>
      </w:pPr>
    </w:p>
    <w:p>
      <w:pPr>
        <w:spacing w:after="100" w:before="320"/>
      </w:pPr>
      <w:r>
        <w:rPr>
          <w:rFonts w:ascii="Cambria" w:cs="Cambria" w:eastAsia="Cambria" w:hAnsi="Cambria"/>
          <w:b/>
          <w:bCs/>
          <w:color w:val="C9A961"/>
          <w:sz w:val="22"/>
          <w:szCs w:val="22"/>
        </w:rPr>
        <w:t xml:space="preserve">VI.  </w:t>
      </w:r>
      <w:r>
        <w:rPr>
          <w:rFonts w:ascii="Cambria" w:cs="Cambria" w:eastAsia="Cambria" w:hAnsi="Cambria"/>
          <w:b/>
          <w:bCs/>
          <w:color w:val="1F3A5F"/>
          <w:sz w:val="22"/>
          <w:szCs w:val="22"/>
        </w:rPr>
        <w:t xml:space="preserve">AGENDA DE INVESTIGACIÓN E IMPLICACIONES PARA INTERVENCIONES</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El marco propuesto en este trabajo abre líneas de investigación y señala palancas de intervención que merecen desarrollo empírico y conceptual adicional.</w:t>
      </w:r>
    </w:p>
    <w:p>
      <w:pPr>
        <w:spacing w:after="100" w:before="0"/>
      </w:pPr>
    </w:p>
    <w:p>
      <w:pPr>
        <w:spacing w:after="120" w:before="120"/>
        <w:jc w:val="both"/>
      </w:pPr>
      <w:r>
        <w:rPr>
          <w:rFonts w:ascii="Calibri" w:cs="Calibri" w:eastAsia="Calibri" w:hAnsi="Calibri"/>
          <w:b/>
          <w:bCs/>
          <w:color w:val="1F3A5F"/>
          <w:sz w:val="21"/>
          <w:szCs w:val="21"/>
        </w:rPr>
        <w:t xml:space="preserve">Líneas de investigación prioritarias. </w:t>
      </w:r>
      <w:r>
        <w:rPr>
          <w:rFonts w:ascii="Calibri" w:cs="Calibri" w:eastAsia="Calibri" w:hAnsi="Calibri"/>
          <w:sz w:val="21"/>
          <w:szCs w:val="21"/>
        </w:rPr>
        <w:t xml:space="preserve">El vínculo entre condiciones materiales (tipos de trabajo, niveles de deuda, exposición a la volatilidad monetaria) y disposiciones políticas (desconfianza institucional, preferencia por liderazgos antipolíticos, rechazo de mediaciones colectivas) requiere investigación empírica sistemática en la región. Los surveys electorales existentes capturan actitudes pero no las trayectorias subjetivas que las producen. Sería necesario desarrollar metodologías mixtas que combinen análisis de datos de plataformas, trabajo etnográfico y encuestas longitudinales para mapear esas conexiones.</w:t>
      </w:r>
    </w:p>
    <w:p>
      <w:pPr>
        <w:spacing w:after="80" w:before="0"/>
      </w:pPr>
    </w:p>
    <w:p>
      <w:pPr>
        <w:spacing w:after="120" w:before="120"/>
        <w:jc w:val="both"/>
      </w:pPr>
      <w:r>
        <w:rPr>
          <w:rFonts w:ascii="Calibri" w:cs="Calibri" w:eastAsia="Calibri" w:hAnsi="Calibri"/>
          <w:b/>
          <w:bCs/>
          <w:color w:val="1F3A5F"/>
          <w:sz w:val="21"/>
          <w:szCs w:val="21"/>
        </w:rPr>
        <w:t xml:space="preserve">Bienes públicos como prácticas de subjetivación. </w:t>
      </w:r>
      <w:r>
        <w:rPr>
          <w:rFonts w:ascii="Calibri" w:cs="Calibri" w:eastAsia="Calibri" w:hAnsi="Calibri"/>
          <w:sz w:val="21"/>
          <w:szCs w:val="21"/>
        </w:rPr>
        <w:t xml:space="preserve">Si los bienes públicos son también escuelas de subjetividad —la educación, la salud y la protección social producen ciudadanos o consumidores según cómo estén diseñadas—, entonces el diseño institucional de esos bienes tiene consecuencias democráticas que los estudios de política pública convencionales no capturan. Una agenda de investigación que articule economía política con sociología de la subjetividad podría contribuir a ese campo.</w:t>
      </w:r>
    </w:p>
    <w:p>
      <w:pPr>
        <w:spacing w:after="80" w:before="0"/>
      </w:pPr>
    </w:p>
    <w:p>
      <w:pPr>
        <w:spacing w:after="120" w:before="120"/>
        <w:jc w:val="both"/>
      </w:pPr>
      <w:r>
        <w:rPr>
          <w:rFonts w:ascii="Calibri" w:cs="Calibri" w:eastAsia="Calibri" w:hAnsi="Calibri"/>
          <w:b/>
          <w:bCs/>
          <w:color w:val="1F3A5F"/>
          <w:sz w:val="21"/>
          <w:szCs w:val="21"/>
        </w:rPr>
        <w:t xml:space="preserve">Regulación algorítmica y ciudadanía. </w:t>
      </w:r>
      <w:r>
        <w:rPr>
          <w:rFonts w:ascii="Calibri" w:cs="Calibri" w:eastAsia="Calibri" w:hAnsi="Calibri"/>
          <w:sz w:val="21"/>
          <w:szCs w:val="21"/>
        </w:rPr>
        <w:t xml:space="preserve">El trabajo por plataformas es una de las mayores fuentes de producción de subjetividad financiera en la región. Las regulaciones en curso en Argentina, Brasil, Colombia y México abordan fundamentalmente la dimensión laboral. El análisis de sus efectos sobre las disposiciones políticas de los trabajadores es una línea de investigación abierta con implicaciones directas para el diseño regulatorio.</w:t>
      </w:r>
    </w:p>
    <w:p>
      <w:pPr>
        <w:spacing w:after="80" w:before="0"/>
      </w:pPr>
    </w:p>
    <w:p>
      <w:pPr>
        <w:spacing w:after="120" w:before="120"/>
        <w:jc w:val="both"/>
      </w:pPr>
      <w:r>
        <w:rPr>
          <w:rFonts w:ascii="Calibri" w:cs="Calibri" w:eastAsia="Calibri" w:hAnsi="Calibri"/>
          <w:b/>
          <w:bCs/>
          <w:color w:val="1F3A5F"/>
          <w:sz w:val="21"/>
          <w:szCs w:val="21"/>
        </w:rPr>
        <w:t xml:space="preserve">Implicaciones para intervenciones. </w:t>
      </w:r>
      <w:r>
        <w:rPr>
          <w:rFonts w:ascii="Calibri" w:cs="Calibri" w:eastAsia="Calibri" w:hAnsi="Calibri"/>
          <w:sz w:val="21"/>
          <w:szCs w:val="21"/>
        </w:rPr>
        <w:t xml:space="preserve">El diagnóstico de este trabajo sugiere que las estrategias de fortalecimiento democrático que operan exclusivamente sobre el plano institucional —reforma electoral, lucha contra la corrupción, fortalecimiento del Estado de derecho— tienen alcance limitado si no atienden simultáneamente a las condiciones materiales y culturales que producen disposiciones antidemocráticas. Intervenciones sobre el trabajo de plataformas, sobre el diseño de bienes públicos como experiencias de derechos y sobre la producción cultural de lenguajes de reciprocidad y responsabilidad compartida son complementarias —no alternativas— a las reformas institucionales convencionales.</w:t>
      </w:r>
    </w:p>
    <w:p>
      <w:pPr>
        <w:spacing w:after="0" w:before="160"/>
      </w:pPr>
    </w:p>
    <w:p>
      <w:pPr>
        <w:spacing w:after="100" w:before="320"/>
      </w:pPr>
      <w:r>
        <w:rPr>
          <w:rFonts w:ascii="Cambria" w:cs="Cambria" w:eastAsia="Cambria" w:hAnsi="Cambria"/>
          <w:b/>
          <w:bCs/>
          <w:color w:val="C9A961"/>
          <w:sz w:val="22"/>
          <w:szCs w:val="22"/>
        </w:rPr>
        <w:t xml:space="preserve">  </w:t>
      </w:r>
      <w:r>
        <w:rPr>
          <w:rFonts w:ascii="Cambria" w:cs="Cambria" w:eastAsia="Cambria" w:hAnsi="Cambria"/>
          <w:b/>
          <w:bCs/>
          <w:color w:val="1F3A5F"/>
          <w:sz w:val="22"/>
          <w:szCs w:val="22"/>
        </w:rPr>
        <w:t xml:space="preserve">CONCLUSIÓN</w:t>
      </w:r>
    </w:p>
    <w:p>
      <w:pPr>
        <w:pBdr>
          <w:bottom w:val="single" w:color="1F3A5F" w:sz="4" w:space="1"/>
        </w:pBdr>
        <w:spacing w:after="0" w:before="0"/>
      </w:pPr>
    </w:p>
    <w:p>
      <w:pPr>
        <w:spacing w:after="80" w:before="80"/>
      </w:pPr>
    </w:p>
    <w:p>
      <w:pPr>
        <w:spacing w:after="140" w:before="0"/>
        <w:jc w:val="both"/>
      </w:pPr>
      <w:r>
        <w:rPr>
          <w:rFonts w:ascii="Calibri" w:cs="Calibri" w:eastAsia="Calibri" w:hAnsi="Calibri"/>
          <w:sz w:val="21"/>
          <w:szCs w:val="21"/>
        </w:rPr>
        <w:t xml:space="preserve">La tesis central de este trabajo es que la erosión democrática contemporánea no puede comprenderse sin atender a la dimensión subjetiva del capitalismo financiero. El sujeto evaluado —formado por el desplazamiento del riesgo, la evaluación continua y la internalización del estándar competitivo— no es el efecto secundario de transformaciones económicas que tendrían consecuencias políticas solo de manera indirecta. Es un resultado buscado, o al menos funcional, de un régimen de acumulación que requiere individuos que gestionen en soledad la incertidumbre, que desconfíen de las mediaciones colectivas y que evalúen todo —incluida la política— con criterios de rendimiento inmediato.</w:t>
      </w:r>
    </w:p>
    <w:p>
      <w:pPr>
        <w:spacing w:after="80" w:before="0"/>
      </w:pPr>
    </w:p>
    <w:p>
      <w:pPr>
        <w:spacing w:after="140" w:before="0"/>
        <w:jc w:val="both"/>
      </w:pPr>
      <w:r>
        <w:rPr>
          <w:rFonts w:ascii="Calibri" w:cs="Calibri" w:eastAsia="Calibri" w:hAnsi="Calibri"/>
          <w:sz w:val="21"/>
          <w:szCs w:val="21"/>
        </w:rPr>
        <w:t xml:space="preserve">El alcance de ese argumento no es determinista: no todo sujeto formado en esas condiciones deviene antipolítico, ni toda experiencia de precariedad produce resentimiento. Pero la dirección de los efectos es reconocible, y su relevancia para el diseño de intervenciones es directa. Si la disputa por la democracia es también una disputa por las subjetividades que la sostienen, entonces la agenda de fortalecimiento democrático debe incluir —de manera explícita y articulada— intervenciones sobre las condiciones materiales y culturales que producen esas subjetividades.</w:t>
      </w:r>
    </w:p>
    <w:p>
      <w:pPr>
        <w:spacing w:after="0" w:before="160"/>
      </w:pPr>
    </w:p>
    <w:p>
      <w:pPr>
        <w:spacing w:after="60" w:before="160"/>
      </w:pPr>
      <w:r>
        <w:rPr>
          <w:rFonts w:ascii="Calibri" w:cs="Calibri" w:eastAsia="Calibri" w:hAnsi="Calibri"/>
          <w:b/>
          <w:bCs/>
          <w:color w:val="1F3A5F"/>
          <w:sz w:val="18"/>
          <w:szCs w:val="18"/>
        </w:rPr>
        <w:t xml:space="preserve">REFERENCIAS</w:t>
      </w:r>
    </w:p>
    <w:p>
      <w:pPr>
        <w:pBdr>
          <w:bottom w:val="single" w:color="555555" w:sz="2" w:space="1"/>
        </w:pBdr>
        <w:spacing w:after="0" w:before="0"/>
      </w:pPr>
    </w:p>
    <w:p>
      <w:pPr>
        <w:spacing w:after="0" w:before="60"/>
      </w:pPr>
    </w:p>
    <w:p>
      <w:pPr>
        <w:spacing w:after="0" w:before="60"/>
        <w:jc w:val="left"/>
      </w:pPr>
      <w:r>
        <w:rPr>
          <w:rFonts w:ascii="Calibri" w:cs="Calibri" w:eastAsia="Calibri" w:hAnsi="Calibri"/>
          <w:color w:val="555555"/>
          <w:sz w:val="18"/>
          <w:szCs w:val="18"/>
        </w:rPr>
        <w:t xml:space="preserve">Berlant, L. (2020). El optimismo cruel. Caja Negra.</w:t>
      </w:r>
    </w:p>
    <w:p>
      <w:pPr>
        <w:spacing w:after="0" w:before="60"/>
        <w:jc w:val="left"/>
      </w:pPr>
      <w:r>
        <w:rPr>
          <w:rFonts w:ascii="Calibri" w:cs="Calibri" w:eastAsia="Calibri" w:hAnsi="Calibri"/>
          <w:color w:val="555555"/>
          <w:sz w:val="18"/>
          <w:szCs w:val="18"/>
        </w:rPr>
        <w:t xml:space="preserve">Brown, W. (2015). El pueblo sin atributos: La secreta revolución del neoliberalismo. Malpaso.</w:t>
      </w:r>
    </w:p>
    <w:p>
      <w:pPr>
        <w:spacing w:after="0" w:before="60"/>
        <w:jc w:val="left"/>
      </w:pPr>
      <w:r>
        <w:rPr>
          <w:rFonts w:ascii="Calibri" w:cs="Calibri" w:eastAsia="Calibri" w:hAnsi="Calibri"/>
          <w:color w:val="555555"/>
          <w:sz w:val="18"/>
          <w:szCs w:val="18"/>
        </w:rPr>
        <w:t xml:space="preserve">Carcanholo, M. D. y Sabadini, M. (2017). Capital ficticio y ganancias ficticias. Herramienta.</w:t>
      </w:r>
    </w:p>
    <w:p>
      <w:pPr>
        <w:spacing w:after="0" w:before="60"/>
        <w:jc w:val="left"/>
      </w:pPr>
      <w:r>
        <w:rPr>
          <w:rFonts w:ascii="Calibri" w:cs="Calibri" w:eastAsia="Calibri" w:hAnsi="Calibri"/>
          <w:color w:val="555555"/>
          <w:sz w:val="18"/>
          <w:szCs w:val="18"/>
        </w:rPr>
        <w:t xml:space="preserve">Durand, C. (2021). Tecnofeudalismo: Crítica de la economía digital. Ediciones La Cebra.</w:t>
      </w:r>
    </w:p>
    <w:p>
      <w:pPr>
        <w:spacing w:after="0" w:before="60"/>
        <w:jc w:val="left"/>
      </w:pPr>
      <w:r>
        <w:rPr>
          <w:rFonts w:ascii="Calibri" w:cs="Calibri" w:eastAsia="Calibri" w:hAnsi="Calibri"/>
          <w:color w:val="555555"/>
          <w:sz w:val="18"/>
          <w:szCs w:val="18"/>
        </w:rPr>
        <w:t xml:space="preserve">Foucault, M. (2007). Nacimiento de la biopolítica. Fondo de Cultura Económica.</w:t>
      </w:r>
    </w:p>
    <w:p>
      <w:pPr>
        <w:spacing w:after="0" w:before="60"/>
        <w:jc w:val="left"/>
      </w:pPr>
      <w:r>
        <w:rPr>
          <w:rFonts w:ascii="Calibri" w:cs="Calibri" w:eastAsia="Calibri" w:hAnsi="Calibri"/>
          <w:color w:val="555555"/>
          <w:sz w:val="18"/>
          <w:szCs w:val="18"/>
        </w:rPr>
        <w:t xml:space="preserve">Fridman, D. (2019). El sueño de vivir sin trabajar. Siglo XXI Editores.</w:t>
      </w:r>
    </w:p>
    <w:p>
      <w:pPr>
        <w:spacing w:after="0" w:before="60"/>
        <w:jc w:val="left"/>
      </w:pPr>
      <w:r>
        <w:rPr>
          <w:rFonts w:ascii="Calibri" w:cs="Calibri" w:eastAsia="Calibri" w:hAnsi="Calibri"/>
          <w:color w:val="555555"/>
          <w:sz w:val="18"/>
          <w:szCs w:val="18"/>
        </w:rPr>
        <w:t xml:space="preserve">Ho, K. (2009). Liquidated: An ethnography of Wall Street. Duke University Press.</w:t>
      </w:r>
    </w:p>
    <w:p>
      <w:pPr>
        <w:spacing w:after="0" w:before="60"/>
        <w:jc w:val="left"/>
      </w:pPr>
      <w:r>
        <w:rPr>
          <w:rFonts w:ascii="Calibri" w:cs="Calibri" w:eastAsia="Calibri" w:hAnsi="Calibri"/>
          <w:color w:val="555555"/>
          <w:sz w:val="18"/>
          <w:szCs w:val="18"/>
        </w:rPr>
        <w:t xml:space="preserve">Lazonick, W. y O'Sullivan, M. (2000). Maximizing shareholder value: a new ideology for corporate governance. Economy and Society, 29(1), 13–35.</w:t>
      </w:r>
    </w:p>
    <w:p>
      <w:pPr>
        <w:spacing w:after="0" w:before="60"/>
        <w:jc w:val="left"/>
      </w:pPr>
      <w:r>
        <w:rPr>
          <w:rFonts w:ascii="Calibri" w:cs="Calibri" w:eastAsia="Calibri" w:hAnsi="Calibri"/>
          <w:color w:val="555555"/>
          <w:sz w:val="18"/>
          <w:szCs w:val="18"/>
        </w:rPr>
        <w:t xml:space="preserve">Marcos, D. y Terraf, M. (2023). Democracia y autoritarismo bajo la dominación neoliberal. Ágora Philosophica, 47.</w:t>
      </w:r>
    </w:p>
    <w:p>
      <w:pPr>
        <w:spacing w:after="0" w:before="60"/>
        <w:jc w:val="left"/>
      </w:pPr>
      <w:r>
        <w:rPr>
          <w:rFonts w:ascii="Calibri" w:cs="Calibri" w:eastAsia="Calibri" w:hAnsi="Calibri"/>
          <w:color w:val="555555"/>
          <w:sz w:val="18"/>
          <w:szCs w:val="18"/>
        </w:rPr>
        <w:t xml:space="preserve">Marx, K. (2008). El Capital: Tomo III. Siglo XXI Editores. (Trabajo original publicado en 1894.)</w:t>
      </w:r>
    </w:p>
    <w:p>
      <w:pPr>
        <w:spacing w:after="0" w:before="60"/>
        <w:jc w:val="left"/>
      </w:pPr>
      <w:r>
        <w:rPr>
          <w:rFonts w:ascii="Calibri" w:cs="Calibri" w:eastAsia="Calibri" w:hAnsi="Calibri"/>
          <w:color w:val="555555"/>
          <w:sz w:val="18"/>
          <w:szCs w:val="18"/>
        </w:rPr>
        <w:t xml:space="preserve">Nunes, R. (2024). Bolsonarismo y extrema derecha global. Tinta Limón.</w:t>
      </w:r>
    </w:p>
    <w:p>
      <w:pPr>
        <w:spacing w:after="0" w:before="60"/>
        <w:jc w:val="left"/>
      </w:pPr>
      <w:r>
        <w:rPr>
          <w:rFonts w:ascii="Calibri" w:cs="Calibri" w:eastAsia="Calibri" w:hAnsi="Calibri"/>
          <w:color w:val="555555"/>
          <w:sz w:val="18"/>
          <w:szCs w:val="18"/>
        </w:rPr>
        <w:t xml:space="preserve">Pardo-Guerra, J. P. (2019). Automating finance: Infrastructures, engineers, and the making of electronic markets. Cambridge University Press.</w:t>
      </w:r>
    </w:p>
    <w:p>
      <w:pPr>
        <w:spacing w:after="0" w:before="60"/>
        <w:jc w:val="left"/>
      </w:pPr>
      <w:r>
        <w:rPr>
          <w:rFonts w:ascii="Calibri" w:cs="Calibri" w:eastAsia="Calibri" w:hAnsi="Calibri"/>
          <w:color w:val="555555"/>
          <w:sz w:val="18"/>
          <w:szCs w:val="18"/>
        </w:rPr>
        <w:t xml:space="preserve">Rosenblat, A. (2018). Uberland: How algorithms are rewriting the rules of work. University of California Press.</w:t>
      </w:r>
    </w:p>
    <w:p>
      <w:pPr>
        <w:spacing w:after="0" w:before="60"/>
        <w:jc w:val="left"/>
      </w:pPr>
      <w:r>
        <w:rPr>
          <w:rFonts w:ascii="Calibri" w:cs="Calibri" w:eastAsia="Calibri" w:hAnsi="Calibri"/>
          <w:color w:val="555555"/>
          <w:sz w:val="18"/>
          <w:szCs w:val="18"/>
        </w:rPr>
        <w:t xml:space="preserve">Svampa, M. (2019). Las fronteras del neoextractivismo en América Latina. CALAS.</w:t>
      </w:r>
    </w:p>
    <w:p>
      <w:pPr>
        <w:spacing w:after="0" w:before="60"/>
        <w:jc w:val="left"/>
      </w:pPr>
      <w:r>
        <w:rPr>
          <w:rFonts w:ascii="Calibri" w:cs="Calibri" w:eastAsia="Calibri" w:hAnsi="Calibri"/>
          <w:color w:val="555555"/>
          <w:sz w:val="18"/>
          <w:szCs w:val="18"/>
        </w:rPr>
        <w:t xml:space="preserve">Terraf, M. (2023). Capitalismo informacional: el retroceso de la democracia bajo la racionalidad neoliberal. Humánitas, 41.</w:t>
      </w:r>
    </w:p>
    <w:p>
      <w:pPr>
        <w:spacing w:after="0" w:before="60"/>
        <w:jc w:val="left"/>
      </w:pPr>
      <w:r>
        <w:rPr>
          <w:rFonts w:ascii="Calibri" w:cs="Calibri" w:eastAsia="Calibri" w:hAnsi="Calibri"/>
          <w:color w:val="555555"/>
          <w:sz w:val="18"/>
          <w:szCs w:val="18"/>
        </w:rPr>
        <w:t xml:space="preserve">Terraf, M. (2026). Del valor accionista al sujeto evaluado: la expansión de la lógica financiera en el trabajo y la subjetividad. III Jornadas de Ética Política y Sociedad, UNT.</w:t>
      </w:r>
    </w:p>
    <w:p>
      <w:pPr>
        <w:spacing w:after="0" w:before="60"/>
        <w:jc w:val="left"/>
      </w:pPr>
      <w:r>
        <w:rPr>
          <w:rFonts w:ascii="Calibri" w:cs="Calibri" w:eastAsia="Calibri" w:hAnsi="Calibri"/>
          <w:color w:val="555555"/>
          <w:sz w:val="18"/>
          <w:szCs w:val="18"/>
        </w:rPr>
        <w:t xml:space="preserve">Vogl, J. (2022). Capital and ressentiment: A short theory of the present. Polity Press.</w:t>
      </w:r>
    </w:p>
    <w:sectPr>
      <w:headerReference w:type="default" r:id="rId7"/>
      <w:footerReference w:type="default" r:id="rId8"/>
      <w:pgSz w:w="11906" w:h="16838" w:orient="portrait"/>
      <w:pgMar w:top="1334" w:right="1134" w:bottom="13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Calibri" w:cs="Calibri" w:eastAsia="Calibri" w:hAnsi="Calibri"/>
        <w:color w:val="AAAAAA"/>
        <w:sz w:val="16"/>
        <w:szCs w:val="16"/>
      </w:rPr>
      <w:t xml:space="preserve">Capitalismo especulativo, subjetividad financiera y erosión democrática</w:t>
    </w:r>
    <w:r>
      <w:rPr>
        <w:sz w:val="16"/>
        <w:szCs w:val="16"/>
      </w:rPr>
      <w:t xml:space="preserve">	</w:t>
    </w:r>
    <w:r>
      <w:rPr>
        <w:rFonts w:ascii="Calibri" w:cs="Calibri" w:eastAsia="Calibri" w:hAnsi="Calibri"/>
        <w:color w:val="555555"/>
        <w:sz w:val="16"/>
        <w:szCs w:val="16"/>
      </w:rPr>
      <w:t xml:space="preserve">Pág.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6"/>
      </w:pBdr>
      <w:tabs>
        <w:tab w:val="right" w:pos="9026"/>
      </w:tabs>
      <w:spacing w:after="80" w:before="0"/>
    </w:pPr>
    <w:r>
      <w:rPr>
        <w:rFonts w:ascii="Calibri" w:cs="Calibri" w:eastAsia="Calibri" w:hAnsi="Calibri"/>
        <w:color w:val="555555"/>
        <w:sz w:val="17"/>
        <w:szCs w:val="17"/>
      </w:rPr>
      <w:t xml:space="preserve">Mariano N. Terraf</w:t>
    </w:r>
    <w:r>
      <w:rPr>
        <w:sz w:val="17"/>
        <w:szCs w:val="17"/>
      </w:rPr>
      <w:t xml:space="preserve">	</w:t>
    </w:r>
    <w:r>
      <w:rPr>
        <w:rFonts w:ascii="Calibri" w:cs="Calibri" w:eastAsia="Calibri" w:hAnsi="Calibri"/>
        <w:i/>
        <w:iCs/>
        <w:color w:val="555555"/>
        <w:sz w:val="17"/>
        <w:szCs w:val="17"/>
      </w:rPr>
      <w:t xml:space="preserve">White Paper  ·  Capitalismo especulativo y erosión democrática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Calibri" w:cs="Calibri" w:eastAsia="Calibri" w:hAnsi="Calibri"/>
        <w:color w:val="1F3A5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2026-05-05T17:39:10.196Z</dcterms:created>
  <dcterms:modified xsi:type="dcterms:W3CDTF">2026-05-05T17:39:10.198Z</dcterms:modified>
</cp:coreProperties>
</file>

<file path=docProps/custom.xml><?xml version="1.0" encoding="utf-8"?>
<Properties xmlns="http://schemas.openxmlformats.org/officeDocument/2006/custom-properties" xmlns:vt="http://schemas.openxmlformats.org/officeDocument/2006/docPropsVTypes"/>
</file>