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2F7FB677" w14:textId="77777777" w:rsidR="005302BB" w:rsidRDefault="006736C3" w:rsidP="00ED7A14">
      <w:pPr>
        <w:pStyle w:val="Ttulo2"/>
        <w:pageBreakBefore/>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4144F72" w14:textId="77777777" w:rsidR="005302BB" w:rsidRDefault="006736C3" w:rsidP="003D0944">
      <w:pPr>
        <w:pStyle w:val="Ttulo2"/>
        <w:pageBreakBefore/>
        <w:spacing w:after="129"/>
        <w:ind w:left="0" w:firstLine="0"/>
      </w:pPr>
      <w:r>
        <w:lastRenderedPageBreak/>
        <w:t>ÍNDICE</w:t>
      </w:r>
      <w:r>
        <w:rPr>
          <w:color w:val="2E74B5"/>
          <w:sz w:val="30"/>
        </w:rPr>
        <w:t xml:space="preserve"> </w:t>
      </w:r>
    </w:p>
    <w:p w14:paraId="1A38881B" w14:textId="42FE481B"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D67ECE">
        <w:rPr>
          <w:noProof/>
        </w:rPr>
        <w:t>5</w:t>
      </w:r>
      <w:r>
        <w:fldChar w:fldCharType="end"/>
      </w:r>
    </w:p>
    <w:p w14:paraId="05CA366C" w14:textId="12DC7F4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D67ECE">
        <w:rPr>
          <w:noProof/>
        </w:rPr>
        <w:t>5</w:t>
      </w:r>
      <w:r>
        <w:fldChar w:fldCharType="end"/>
      </w:r>
    </w:p>
    <w:p w14:paraId="39969311" w14:textId="6477F9B2"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D67ECE">
        <w:rPr>
          <w:noProof/>
        </w:rPr>
        <w:t>5</w:t>
      </w:r>
      <w:r>
        <w:fldChar w:fldCharType="end"/>
      </w:r>
    </w:p>
    <w:p w14:paraId="6094D81A" w14:textId="523B1820"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D67ECE">
        <w:rPr>
          <w:noProof/>
        </w:rPr>
        <w:t>6</w:t>
      </w:r>
      <w:r>
        <w:fldChar w:fldCharType="end"/>
      </w:r>
    </w:p>
    <w:p w14:paraId="493350FC" w14:textId="00D97ED1"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D67ECE">
        <w:rPr>
          <w:noProof/>
        </w:rPr>
        <w:t>6</w:t>
      </w:r>
      <w:r>
        <w:fldChar w:fldCharType="end"/>
      </w:r>
    </w:p>
    <w:p w14:paraId="50B6B0D5" w14:textId="01A2C86F"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D67ECE">
        <w:rPr>
          <w:noProof/>
        </w:rPr>
        <w:t>7</w:t>
      </w:r>
      <w:r>
        <w:fldChar w:fldCharType="end"/>
      </w:r>
    </w:p>
    <w:p w14:paraId="0BAABAB1" w14:textId="61B65BE5"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D67ECE">
        <w:rPr>
          <w:noProof/>
        </w:rPr>
        <w:t>7</w:t>
      </w:r>
      <w:r>
        <w:fldChar w:fldCharType="end"/>
      </w:r>
    </w:p>
    <w:p w14:paraId="2FC8CD93" w14:textId="22DE864B"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D67ECE">
        <w:rPr>
          <w:noProof/>
        </w:rPr>
        <w:t>9</w:t>
      </w:r>
      <w:r>
        <w:fldChar w:fldCharType="end"/>
      </w:r>
    </w:p>
    <w:p w14:paraId="45835FDC" w14:textId="5CF623C2"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D67ECE">
        <w:rPr>
          <w:noProof/>
        </w:rPr>
        <w:t>9</w:t>
      </w:r>
      <w:r>
        <w:fldChar w:fldCharType="end"/>
      </w:r>
    </w:p>
    <w:p w14:paraId="5C01647F" w14:textId="182AFDE6"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D67ECE">
        <w:rPr>
          <w:noProof/>
        </w:rPr>
        <w:t>9</w:t>
      </w:r>
      <w:r>
        <w:fldChar w:fldCharType="end"/>
      </w:r>
    </w:p>
    <w:p w14:paraId="3C79335B" w14:textId="5E3BA16F"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D67ECE">
        <w:rPr>
          <w:noProof/>
        </w:rPr>
        <w:t>10</w:t>
      </w:r>
      <w:r>
        <w:fldChar w:fldCharType="end"/>
      </w:r>
    </w:p>
    <w:p w14:paraId="10B3EE06" w14:textId="3297C839"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D67ECE">
        <w:rPr>
          <w:noProof/>
        </w:rPr>
        <w:t>11</w:t>
      </w:r>
      <w:r>
        <w:fldChar w:fldCharType="end"/>
      </w:r>
    </w:p>
    <w:p w14:paraId="61BF05FD" w14:textId="72C93370"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D67ECE">
        <w:rPr>
          <w:noProof/>
        </w:rPr>
        <w:t>12</w:t>
      </w:r>
      <w:r>
        <w:fldChar w:fldCharType="end"/>
      </w:r>
    </w:p>
    <w:p w14:paraId="7855A262" w14:textId="3F1EDB65"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D67ECE">
        <w:rPr>
          <w:noProof/>
        </w:rPr>
        <w:t>13</w:t>
      </w:r>
      <w:r>
        <w:fldChar w:fldCharType="end"/>
      </w:r>
    </w:p>
    <w:p w14:paraId="084383E3" w14:textId="724EBAF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D67ECE">
        <w:rPr>
          <w:noProof/>
        </w:rPr>
        <w:t>13</w:t>
      </w:r>
      <w:r>
        <w:fldChar w:fldCharType="end"/>
      </w:r>
    </w:p>
    <w:p w14:paraId="21275FBA" w14:textId="7FE6DE55"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D67ECE">
        <w:rPr>
          <w:noProof/>
        </w:rPr>
        <w:t>13</w:t>
      </w:r>
      <w:r>
        <w:fldChar w:fldCharType="end"/>
      </w:r>
    </w:p>
    <w:p w14:paraId="7E902840" w14:textId="4EDC52F4"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D67ECE">
        <w:rPr>
          <w:noProof/>
        </w:rPr>
        <w:t>14</w:t>
      </w:r>
      <w:r>
        <w:fldChar w:fldCharType="end"/>
      </w:r>
    </w:p>
    <w:p w14:paraId="7B651C9A" w14:textId="57E79239"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D67ECE">
        <w:rPr>
          <w:noProof/>
        </w:rPr>
        <w:t>15</w:t>
      </w:r>
      <w:r>
        <w:fldChar w:fldCharType="end"/>
      </w:r>
    </w:p>
    <w:p w14:paraId="71073BCD" w14:textId="66AF1F19"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D67ECE">
        <w:rPr>
          <w:noProof/>
        </w:rPr>
        <w:t>16</w:t>
      </w:r>
      <w:r>
        <w:fldChar w:fldCharType="end"/>
      </w:r>
    </w:p>
    <w:p w14:paraId="3D8E0B0E" w14:textId="00A09CD2"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D67ECE">
        <w:rPr>
          <w:noProof/>
        </w:rPr>
        <w:t>16</w:t>
      </w:r>
      <w:r>
        <w:fldChar w:fldCharType="end"/>
      </w:r>
    </w:p>
    <w:p w14:paraId="0D4ADB00" w14:textId="014C7306"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D67ECE">
        <w:rPr>
          <w:noProof/>
        </w:rPr>
        <w:t>16</w:t>
      </w:r>
      <w:r>
        <w:fldChar w:fldCharType="end"/>
      </w:r>
    </w:p>
    <w:p w14:paraId="0BC04A59" w14:textId="04E2780F"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D67ECE">
        <w:rPr>
          <w:noProof/>
        </w:rPr>
        <w:t>17</w:t>
      </w:r>
      <w:r>
        <w:fldChar w:fldCharType="end"/>
      </w:r>
    </w:p>
    <w:p w14:paraId="6AF0E669" w14:textId="2CC7CE07"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D67ECE">
        <w:rPr>
          <w:noProof/>
        </w:rPr>
        <w:t>17</w:t>
      </w:r>
      <w:r>
        <w:fldChar w:fldCharType="end"/>
      </w:r>
    </w:p>
    <w:p w14:paraId="36C43F2F" w14:textId="0EF5749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D67ECE">
        <w:rPr>
          <w:noProof/>
        </w:rPr>
        <w:t>20</w:t>
      </w:r>
      <w:r>
        <w:fldChar w:fldCharType="end"/>
      </w:r>
    </w:p>
    <w:p w14:paraId="21B8BD47" w14:textId="5EB9DD97"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D67ECE">
        <w:rPr>
          <w:noProof/>
        </w:rPr>
        <w:t>21</w:t>
      </w:r>
      <w:r>
        <w:fldChar w:fldCharType="end"/>
      </w:r>
    </w:p>
    <w:p w14:paraId="4742000B" w14:textId="4A813CEF"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D67ECE">
        <w:rPr>
          <w:noProof/>
        </w:rPr>
        <w:t>22</w:t>
      </w:r>
      <w:r>
        <w:fldChar w:fldCharType="end"/>
      </w:r>
    </w:p>
    <w:p w14:paraId="4A088920" w14:textId="010D8F2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D67ECE">
        <w:rPr>
          <w:noProof/>
        </w:rPr>
        <w:t>23</w:t>
      </w:r>
      <w:r>
        <w:fldChar w:fldCharType="end"/>
      </w:r>
    </w:p>
    <w:p w14:paraId="44817661" w14:textId="4FBB5276"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D67ECE">
        <w:rPr>
          <w:noProof/>
        </w:rPr>
        <w:t>23</w:t>
      </w:r>
      <w:r>
        <w:fldChar w:fldCharType="end"/>
      </w:r>
    </w:p>
    <w:p w14:paraId="35A73457" w14:textId="243F4A0A"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D67ECE">
        <w:rPr>
          <w:noProof/>
        </w:rPr>
        <w:t>25</w:t>
      </w:r>
      <w:r>
        <w:fldChar w:fldCharType="end"/>
      </w:r>
    </w:p>
    <w:p w14:paraId="6A8FC3EC" w14:textId="47FB2CF2"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D67ECE">
        <w:rPr>
          <w:noProof/>
        </w:rPr>
        <w:t>25</w:t>
      </w:r>
      <w:r>
        <w:fldChar w:fldCharType="end"/>
      </w:r>
    </w:p>
    <w:p w14:paraId="285C182A" w14:textId="5FA10868"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D67ECE">
        <w:rPr>
          <w:noProof/>
        </w:rPr>
        <w:t>25</w:t>
      </w:r>
      <w:r>
        <w:fldChar w:fldCharType="end"/>
      </w:r>
    </w:p>
    <w:p w14:paraId="7017DE85" w14:textId="381FFEC7"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D67ECE">
        <w:rPr>
          <w:noProof/>
        </w:rPr>
        <w:t>28</w:t>
      </w:r>
      <w:r>
        <w:fldChar w:fldCharType="end"/>
      </w:r>
    </w:p>
    <w:p w14:paraId="5EC0774C" w14:textId="3FC55187"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D67ECE">
        <w:rPr>
          <w:noProof/>
        </w:rPr>
        <w:t>28</w:t>
      </w:r>
      <w:r>
        <w:fldChar w:fldCharType="end"/>
      </w:r>
    </w:p>
    <w:p w14:paraId="18AD7681" w14:textId="753B8B43"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D67ECE">
        <w:rPr>
          <w:noProof/>
        </w:rPr>
        <w:t>31</w:t>
      </w:r>
      <w:r>
        <w:fldChar w:fldCharType="end"/>
      </w:r>
    </w:p>
    <w:p w14:paraId="51A7E8D0" w14:textId="3FEC5C4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D67ECE">
        <w:rPr>
          <w:noProof/>
        </w:rPr>
        <w:t>34</w:t>
      </w:r>
      <w:r>
        <w:fldChar w:fldCharType="end"/>
      </w:r>
    </w:p>
    <w:p w14:paraId="319B4503" w14:textId="31E2D6FD"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r>
      <w:r>
        <w:fldChar w:fldCharType="begin"/>
      </w:r>
      <w:r>
        <w:instrText xml:space="preserve"> PAGEREF sec4_6 \h </w:instrText>
      </w:r>
      <w:r>
        <w:fldChar w:fldCharType="separate"/>
      </w:r>
      <w:r w:rsidR="00D67ECE">
        <w:rPr>
          <w:noProof/>
        </w:rPr>
        <w:t>36</w:t>
      </w:r>
      <w:r>
        <w:fldChar w:fldCharType="end"/>
      </w:r>
    </w:p>
    <w:p w14:paraId="2CB34893" w14:textId="7606AB26"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D67ECE">
        <w:rPr>
          <w:noProof/>
        </w:rPr>
        <w:t>39</w:t>
      </w:r>
      <w:r>
        <w:fldChar w:fldCharType="end"/>
      </w:r>
    </w:p>
    <w:p w14:paraId="74F409FD" w14:textId="30A318CA"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D67ECE">
        <w:rPr>
          <w:noProof/>
        </w:rPr>
        <w:t>39</w:t>
      </w:r>
      <w:r>
        <w:fldChar w:fldCharType="end"/>
      </w:r>
    </w:p>
    <w:p w14:paraId="51301FE7" w14:textId="721D2B78"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D67ECE">
        <w:rPr>
          <w:noProof/>
        </w:rPr>
        <w:t>42</w:t>
      </w:r>
      <w:r>
        <w:fldChar w:fldCharType="end"/>
      </w:r>
    </w:p>
    <w:p w14:paraId="3E44B776" w14:textId="5AAEDAE2"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D67ECE">
        <w:rPr>
          <w:noProof/>
        </w:rPr>
        <w:t>44</w:t>
      </w:r>
      <w:r>
        <w:fldChar w:fldCharType="end"/>
      </w:r>
    </w:p>
    <w:p w14:paraId="6D3EFBD6" w14:textId="4C8AF5EA"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D67ECE">
        <w:rPr>
          <w:noProof/>
        </w:rPr>
        <w:t>44</w:t>
      </w:r>
      <w:r>
        <w:fldChar w:fldCharType="end"/>
      </w:r>
    </w:p>
    <w:p w14:paraId="24503602" w14:textId="5CF1CB69"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D67ECE">
        <w:rPr>
          <w:noProof/>
        </w:rPr>
        <w:t>45</w:t>
      </w:r>
      <w:r>
        <w:fldChar w:fldCharType="end"/>
      </w:r>
    </w:p>
    <w:p w14:paraId="3434A88B" w14:textId="48BF5E70"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D67ECE">
        <w:rPr>
          <w:noProof/>
        </w:rPr>
        <w:t>50</w:t>
      </w:r>
      <w:r>
        <w:fldChar w:fldCharType="end"/>
      </w:r>
    </w:p>
    <w:p w14:paraId="6332B0B7" w14:textId="7E13A662"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D67ECE">
        <w:rPr>
          <w:noProof/>
        </w:rPr>
        <w:t>50</w:t>
      </w:r>
      <w:r>
        <w:fldChar w:fldCharType="end"/>
      </w:r>
    </w:p>
    <w:p w14:paraId="2AB23C9D" w14:textId="7D167224"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D67ECE">
        <w:rPr>
          <w:noProof/>
        </w:rPr>
        <w:t>51</w:t>
      </w:r>
      <w:r>
        <w:fldChar w:fldCharType="end"/>
      </w:r>
    </w:p>
    <w:p w14:paraId="12CC2E9A" w14:textId="0FF088D7"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D67ECE">
        <w:rPr>
          <w:noProof/>
        </w:rPr>
        <w:t>52</w:t>
      </w:r>
      <w:r>
        <w:fldChar w:fldCharType="end"/>
      </w:r>
    </w:p>
    <w:p w14:paraId="3E247C13" w14:textId="7F1676E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D67ECE">
        <w:rPr>
          <w:noProof/>
        </w:rPr>
        <w:t>55</w:t>
      </w:r>
      <w:r>
        <w:fldChar w:fldCharType="end"/>
      </w:r>
    </w:p>
    <w:p w14:paraId="18B8AC3D" w14:textId="6745BE17"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D67ECE">
        <w:rPr>
          <w:noProof/>
        </w:rPr>
        <w:t>55</w:t>
      </w:r>
      <w:r>
        <w:fldChar w:fldCharType="end"/>
      </w:r>
    </w:p>
    <w:p w14:paraId="7FB450A3" w14:textId="78A37FF9"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D67ECE">
        <w:rPr>
          <w:noProof/>
        </w:rPr>
        <w:t>57</w:t>
      </w:r>
      <w:r>
        <w:fldChar w:fldCharType="end"/>
      </w:r>
    </w:p>
    <w:p w14:paraId="43866B0F" w14:textId="0C83C5B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D67ECE">
        <w:rPr>
          <w:noProof/>
        </w:rPr>
        <w:t>58</w:t>
      </w:r>
      <w:r>
        <w:fldChar w:fldCharType="end"/>
      </w:r>
    </w:p>
    <w:p w14:paraId="16C6033B" w14:textId="2021851F"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D67ECE">
        <w:rPr>
          <w:noProof/>
        </w:rPr>
        <w:t>58</w:t>
      </w:r>
      <w:r>
        <w:fldChar w:fldCharType="end"/>
      </w:r>
    </w:p>
    <w:p w14:paraId="4576ADAC" w14:textId="596A2D0C"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D67ECE">
        <w:rPr>
          <w:noProof/>
        </w:rPr>
        <w:t>59</w:t>
      </w:r>
      <w:r>
        <w:fldChar w:fldCharType="end"/>
      </w:r>
    </w:p>
    <w:p w14:paraId="74F18502" w14:textId="39DA3274"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anxF \h </w:instrText>
      </w:r>
      <w:r>
        <w:fldChar w:fldCharType="separate"/>
      </w:r>
      <w:r w:rsidR="00D67ECE">
        <w:rPr>
          <w:noProof/>
        </w:rPr>
        <w:t>59</w:t>
      </w:r>
      <w:r>
        <w:fldChar w:fldCharType="end"/>
      </w:r>
    </w:p>
    <w:p w14:paraId="7088A2A6" w14:textId="175DC272"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D67ECE">
        <w:rPr>
          <w:noProof/>
        </w:rPr>
        <w:t>59</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50E3958C"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las oportunidades de rediseño de procesos que la adopción de tecnología abre para las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lastRenderedPageBreak/>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56B63C7B" w:rsidR="005302BB" w:rsidRDefault="006736C3">
      <w:pPr>
        <w:ind w:left="-5" w:right="841"/>
      </w:pPr>
      <w:r>
        <w:t xml:space="preserve">El sistema desarrollado abarca la gestión de productos, clientes y ventas —estas últimas registradas como pedidos confirmados—, así como la automatización del proceso de recepción y registro de pedidos mediante la integración con la plataforma Telegram. La vinculación de los clientes con sus pedidos quedó planificada (sección 4.3).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w:t>
      </w:r>
      <w:r>
        <w:lastRenderedPageBreak/>
        <w:t xml:space="preserve">demanda, errores de conectividad en campo) requiere una validación de campo posterior, que se plantea como trabajo futuro prioritario (sección 7.2). </w:t>
      </w:r>
    </w:p>
    <w:p w14:paraId="6A366EFA" w14:textId="77777777" w:rsidR="005302BB" w:rsidRDefault="006736C3">
      <w:pPr>
        <w:pStyle w:val="Ttulo2"/>
        <w:pageBreakBefore/>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44EEB168"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abordan barreras de este tipo en un estudio Delphi con 12 expertos sobre la Industria 4.0 y el desempeño industrial de las PyMEs. Identifican como principales riesgos la falta de experticia y una mentalidad estratégica de corto plazo, y señalan la capacitación como el factor de éxito más importante y la conveniencia de que las PyMEs cuenten con apoyo de expertos externos.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lastRenderedPageBreak/>
        <w:t xml:space="preserve">La adopción de este estilo arquitectónico permite desarrollar aplicaciones altamente escalables y flexibles, facilitando la interoperabilidad entre sistemas heterogéneos. El uso del protocolo 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F07E8D1" w14:textId="77777777" w:rsidR="005302BB" w:rsidRDefault="006736C3">
      <w:pPr>
        <w:spacing w:after="338"/>
        <w:ind w:left="-5" w:right="841"/>
      </w:pPr>
      <w:r>
        <w:lastRenderedPageBreak/>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w:t>
      </w:r>
      <w:r>
        <w:lastRenderedPageBreak/>
        <w:t xml:space="preserve">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lastRenderedPageBreak/>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2B6BF19E" w:rsidR="005302BB" w:rsidRDefault="006736C3">
      <w:pPr>
        <w:ind w:left="-5" w:right="841"/>
      </w:pPr>
      <w:r>
        <w:t xml:space="preserve">Moeuf et al. (2020), mediante un estudio Delphi con 12 expertos, identifican los riesgos, oportunidades y factores críticos de éxito de la Industria 4.0 en PyMEs. Entre los riesgos destacan la falta de experticia; entre los factores de éxito, la capacitación y el apoyo de expertos externos. Esta conclusión es pertinente para el artefacto desarrollado en este trabajo, cuyo diseño busca reducir la experticia técnica necesaria para operarlo: una interfaz web guiada y un bot que el cliente usa solo mediante botones. Esta lectura es una interpretación de los autores.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w:t>
      </w:r>
      <w:r>
        <w:lastRenderedPageBreak/>
        <w:t>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lastRenderedPageBreak/>
        <w:t>2.7.3 Vacío de conocimiento identificado</w:t>
      </w:r>
      <w:bookmarkEnd w:id="35"/>
      <w:r>
        <w:rPr>
          <w:color w:val="1F4D78"/>
          <w:sz w:val="23"/>
        </w:rPr>
        <w:t xml:space="preserve"> </w:t>
      </w:r>
    </w:p>
    <w:p w14:paraId="0774E9C6" w14:textId="5B969C44" w:rsidR="005302BB" w:rsidRDefault="006736C3">
      <w:pPr>
        <w:ind w:left="-5" w:right="841"/>
      </w:pPr>
      <w:r>
        <w:t xml:space="preserve">La revisión de la literatura permite identificar con claridad el vacío de conocimiento que este trabajo pretende cubrir. Existen estudios sobre la adopción de tecnología y los factores de éxito de la transformación digital en PyMEs (Moeuf et al., 2020; Gao et al., 2026),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838E85A" w14:textId="77777777" w:rsidR="005302BB" w:rsidRDefault="006736C3" w:rsidP="002E3EFE">
      <w:pPr>
        <w:pStyle w:val="Ttulo2"/>
        <w:pageBreakBefore/>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w:t>
      </w:r>
      <w:r>
        <w:lastRenderedPageBreak/>
        <w:t xml:space="preserve">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el contraste permite estimar la diferencia entre condiciones; su atribución al sistema queda acotada por las amenazas discutidas en las secciones 3.9 y 6.2.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w:t>
      </w:r>
      <w:r>
        <w:lastRenderedPageBreak/>
        <w:t xml:space="preserve">unidades a condiciones, se clasifica en sentido estricto como preexperimental, y no como 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rPr>
          <w:tblHeader/>
        </w:trPr>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lastRenderedPageBreak/>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w:t>
      </w:r>
      <w:r>
        <w:lastRenderedPageBreak/>
        <w:t>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inicio y de fin de cada escenario (sección 3.5)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el inicio de la gestión del pedido y su registro confirmado, delimitado en cada condición por los eventos que se detallan al final de este ítem. Se midió con un instrumento único en ambas condiciones: una grabación de pantalla con el reloj del sistema operativo visible (con segundos). Sobre esa grabación se identificó, para cada escenario, el instante de inicio y el de fin,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Los eventos que delimitan TPP difieren entre condiciones. En el pretest, el inicio es el instante en que el operador empieza a escribir el pedido en la planilla y el fin, el instante en que termina de actualizar el stock y vuelve a la hoja de registro de pedidos (Ledger). En el postest, el inicio es el envío del primer mensaje del cliente al bot, visible en la grabación unos segundos antes de la primera ejecución de n8n de la ventana (2 s en el escenario 1), y el fin, la llegada al cliente del mensaje de Telegram que confirma el pedido, que el bot envía unos segundos después de que el operador lo confirma en el panel (también 2 s en ese escenario); esa confirmación es la que descuenta el stock (sección 4.4). En los tres escenarios de stock insuficiente, en los que no corresponde descontar stock, el fin es el registro del rechazo: en el pretest, cuando el operador marca el pedido como rechazado en la hoja Ledger; en el postest, cuando el bot informa la cancelación, ya que el pedido queda registrado como CANCELADO sin intervención del operador. En ambas condiciones, el mismo autor simuló al cliente y operó el registro. Las dos ventanas incluyen, por lo tanto, el registro del pedido y el descuento del stock, pero la del postest abarca además dos tramos que la del pretest no cronometra: el tiempo en que el cliente arma el pedido con los botones del bot, antes de que el operador intervenga, y el envío de la confirmación al cliente. La del pretest, en cambio, comienza cuando el operador ya empieza a transcribir el pedido, sin incluir su recepción ni su lectura. Estas diferencias juegan en contra de la condición </w:t>
      </w:r>
      <w:r>
        <w:lastRenderedPageBreak/>
        <w:t xml:space="preserve">automatizada, de modo que, en este aspecto, la reducción informada es conservadora; las amenazas que la favorecen se discuten en las secciones 3.9 y 6.2.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lastRenderedPageBreak/>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inicio y del instante de fin de cada escenario (sección 3.5),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lastRenderedPageBreak/>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120E9A61" w:rsidR="005302BB" w:rsidRDefault="006736C3">
      <w:pPr>
        <w:numPr>
          <w:ilvl w:val="0"/>
          <w:numId w:val="5"/>
        </w:numPr>
        <w:spacing w:after="63"/>
        <w:ind w:right="846" w:hanging="207"/>
        <w:jc w:val="left"/>
      </w:pPr>
      <w:r>
        <w:t xml:space="preserve">Etapa 4 – Desarrollo del frontend: se implementó la interfaz de usuario para la gestión de productos, categorías, pedidos y stock,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304"/>
        <w:ind w:right="846" w:hanging="207"/>
        <w:jc w:val="left"/>
      </w:pPr>
      <w:r>
        <w:t xml:space="preserve">Etapa 7 – Evaluación del sistema: se midieron las variables operativas definidas en la sección 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w:t>
      </w:r>
      <w:r>
        <w:lastRenderedPageBreak/>
        <w:t xml:space="preserve">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D71372E" w14:textId="77777777" w:rsidR="005302BB" w:rsidRDefault="006736C3">
      <w:pPr>
        <w:pStyle w:val="Ttulo2"/>
        <w:pageBreakBefore/>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8"/>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9"/>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10"/>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1"/>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5E8CE73D" w:rsidR="005302BB" w:rsidRPr="00095CEC" w:rsidRDefault="006736C3">
      <w:pPr>
        <w:ind w:left="-5" w:right="841"/>
        <w:rPr>
          <w:u w:val="single"/>
        </w:rPr>
      </w:pPr>
      <w:r>
        <w:t xml:space="preserve">Se definieron endpoints específicos para la gestión de las principales entidades del sistema: productos, categorías, pedidos (junto con sus ítems) y usuarios, que representan a los clientes del comercio.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consulta de pedidos y el CRUD completo de usuarios)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 clave solo se valida en esas rutas y no otorga acceso a ningún otro endpoint: fuera de ellas, el filtro no autentica la petición, que queda sujeta a la exigencia de JWT.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lastRenderedPageBreak/>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La entidad usuarios sí dispone de endpoints CRUD propios (sección 4.2): los clientes pueden darse de alta, consultarse, modificarse y eliminarse, pero esos registros todavía no se vinculan con los pedidos.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2"/>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3"/>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4"/>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5"/>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Los endpoints de usuarios, que no tienen pantalla en la SPA ni tests automatizados, no se verificaron formalmente; su prueba queda pendiente (sección 7.2).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El carrito vacío, en cambio, puede alcanzarse desde el bot, aunque no por el flujo normal: el botón de confirmación solo se ofrece después de agregar un producto y finalizar vacía el carrito sin confirmar un pedido (Anexo E), pero los botones de mensajes anteriores siguen activos en Telegram, de modo que el cliente puede pulsar una confirmación previa con el carrito ya vacío. En ese caso la API responde con un error HTTP 400 y el bot informa que el pedido no puede confirmarse porque el carrito está vacío, comportamiento que se comprobó desde el bot. La verificación exploratoria de este caso, previa al experimento, había expuesto una excepción no controlada en el backend, corregida el 11/08/2026 (sección 4.6), y la suite automatizada descripta en el párrafo anterior cubre hoy su regresión. Los casos que dependen directamente de la API —cantidad fuera de rango (1 a 10 unidades) y confirmación repetida del mismo pedido— se verificaron invocando directamente los endpoints, mediante esa misma suite. </w:t>
      </w:r>
      <w:r>
        <w:lastRenderedPageBreak/>
        <w:t xml:space="preserve">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w:t>
      </w:r>
      <w:r>
        <w:lastRenderedPageBreak/>
        <w:t xml:space="preserve">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w:t>
      </w:r>
      <w:r>
        <w:lastRenderedPageBreak/>
        <w:t xml:space="preserve">genera Hibernate coincide con el documentado (commit 15625b8 del repositorio, Anexo F). Las Figuras 4.2 y 4.3 reflejan estos tipos. </w:t>
      </w:r>
    </w:p>
    <w:p w14:paraId="025B06AC" w14:textId="77777777" w:rsidR="005302BB" w:rsidRDefault="006736C3">
      <w:pPr>
        <w:pStyle w:val="Ttulo2"/>
        <w:pageBreakBefore/>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w:t>
      </w:r>
      <w:r>
        <w:lastRenderedPageBreak/>
        <w:t xml:space="preserve">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A84FD79" w14:textId="77777777" w:rsidR="005302BB" w:rsidRDefault="006736C3">
      <w:pPr>
        <w:spacing w:after="0"/>
        <w:ind w:left="-5" w:right="841"/>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el inicio y el fin definidos en la sección 3.5.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caso de carrito vacío no forma parte de los 20 escenarios cuantitativos, por no tener equivalente en la modalidad manual; su verificación se describe en la sección 4.5.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7"/>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8"/>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r>
      <w:r>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pageBreakBefore/>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5BC7B706"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Sufi (2023) sobre las plataformas low-code/no-code como n8n, que permiten construir automatizaciones sin formación avanzada en programación, y con la observación de Moeuf et al. (2020) de que la falta de experticia es uno de los principales riesgos para la adopción de tecnología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w:t>
      </w:r>
      <w:r>
        <w:lastRenderedPageBreak/>
        <w:t xml:space="preserve">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lastRenderedPageBreak/>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w:t>
      </w:r>
      <w:r>
        <w:lastRenderedPageBreak/>
        <w:t xml:space="preserve">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w:t>
      </w:r>
      <w:r>
        <w:lastRenderedPageBreak/>
        <w:t>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inicio y el de fin de cada escenario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lastRenderedPageBreak/>
        <w:t xml:space="preserve">Por último, el caso de carrito vacío se excluyó del análisis cuantitativo por no tener un equivalente válido en la modalidad manual. Cómo se alcanza desde el bot y cómo se verificó se describe en la sección 4.5.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56AB908D" w14:textId="77777777" w:rsidR="005302BB" w:rsidRDefault="006736C3">
      <w:pPr>
        <w:pStyle w:val="Ttulo2"/>
        <w:pageBreakBefore/>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269D5D91" w:rsidR="005302BB" w:rsidRDefault="006736C3">
      <w:pPr>
        <w:ind w:left="-5" w:right="841"/>
      </w:pPr>
      <w:r>
        <w:t xml:space="preserve">OE1 (arquitectura cliente-servidor) y OE2 (API REST en Java con operaciones CRUD) se alcanzaron: el sistema implementado, descripto en las secciones 4.1 y 4.2, expone operaciones CRUD sobre productos, categorías, pedidos y usuarios (clientes), y las ventas se registran como pedidos en estado CONFIRMADO. OE2 tiene una salvedad: los usuarios todavía no se vinculan con los pedidos, relación planificada pero no implementada (sección 4.3). El sistema fue, además, el artefacto sobre el que se ejecutó el experimento, con la salvedad declarada en la sección 6.2: no se conserva registro de si la corrección de la confirmación de pedidos ya estaba aplicada durante la corrida cronometrada. </w:t>
      </w:r>
    </w:p>
    <w:p w14:paraId="20797194" w14:textId="62BF3E80" w:rsidR="005302BB" w:rsidRDefault="006736C3">
      <w:pPr>
        <w:ind w:left="-5" w:right="841"/>
      </w:pPr>
      <w:r>
        <w:t xml:space="preserve">OE3 (interfaz de usuario en JavaScript) se alcanzó en lo relativo a productos, categorías, pedidos y stock: la SPA descripta en la sección 4.1.1 cubre esas funciones, tal como se documenta en las capturas del Anexo E. La gestión de clientes está disponible en la API (sección 4.2), pero todavía no tiene una pantalla en la SPA.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El alta del pedido es automática; su confirmación, de la que depende el descuento de stock, sigue siendo una acción deliberada del operador desde el panel (secciones 4.4 y 6.1).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w:t>
      </w:r>
      <w:r>
        <w:lastRenderedPageBreak/>
        <w:t xml:space="preserve">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045A7816"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la incorporación de un token anti-CSRF (Anexo F), la vinculación de los usuarios con sus pedidos (relación planificada en la sección 4.3), una pantalla de gestión de clientes en la SPA y la verificación formal de los endpoints de usuarios, que hoy no tienen pruebas (sección 4.5).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r>
      <w:r>
        <w:tab/>
        <w:t xml:space="preserve"> </w:t>
      </w:r>
      <w:r>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r>
      <w:r>
        <w:rPr>
          <w:i/>
          <w:lang w:val="en-US"/>
        </w:rPr>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095CEC"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28E9090"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r>
      <w:r>
        <w:tab/>
        <w:t xml:space="preserve"> </w:t>
      </w:r>
      <w:r>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47189E08"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r>
      <w:r>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66C39285" w:rsidR="0052622E" w:rsidRDefault="0052622E">
      <w:pPr>
        <w:spacing w:after="200" w:line="259" w:lineRule="auto"/>
        <w:ind w:left="-5" w:right="0" w:firstLine="0"/>
      </w:pPr>
      <w:hyperlink r:id="rId19"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r>
      <w:r>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vaciado del carrito desde el bot al finalizar sin confirmar un pedido (el intento de confirmar con el carrito vacío se describe en la sección 4.5); y el historial de pedidos con sus filtros de búsqueda. </w:t>
      </w:r>
    </w:p>
    <w:p w14:paraId="034B9F13" w14:textId="77777777" w:rsidR="005302BB" w:rsidRDefault="006736C3">
      <w:pPr>
        <w:spacing w:after="4"/>
        <w:ind w:left="-5" w:right="841"/>
      </w:pPr>
      <w:r>
        <w:t xml:space="preserve">Referencia: </w:t>
      </w:r>
    </w:p>
    <w:p w14:paraId="07224AD0" w14:textId="592D5EB6" w:rsidR="005302BB" w:rsidRPr="00C14F94" w:rsidRDefault="005302BB">
      <w:pPr>
        <w:spacing w:after="360" w:line="265" w:lineRule="auto"/>
        <w:ind w:left="-5" w:right="712"/>
        <w:jc w:val="left"/>
        <w:rPr>
          <w:rStyle w:val="Hipervnculo"/>
        </w:rPr>
      </w:pPr>
      <w:hyperlink r:id="rId20"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anxF"/>
      <w:bookmarkStart w:id="105" w:name="_Anexo_F._Repositorio"/>
      <w:bookmarkEnd w:id="104"/>
      <w:bookmarkEnd w:id="105"/>
      <w:r>
        <w:t>Anexo F. Repositorio de código fuente</w:t>
      </w:r>
      <w:r>
        <w:rPr>
          <w:color w:val="2E74B5"/>
        </w:rPr>
        <w:t xml:space="preserve"> </w:t>
      </w:r>
    </w:p>
    <w:p w14:paraId="7B129068" w14:textId="15B67366" w:rsidR="005302BB" w:rsidRDefault="006736C3">
      <w:pPr>
        <w:spacing w:after="329" w:line="259" w:lineRule="auto"/>
        <w:ind w:left="0" w:right="0" w:firstLine="0"/>
        <w:jc w:val="left"/>
      </w:pPr>
      <w:r>
        <w:t xml:space="preserve">Repositorio: </w:t>
      </w:r>
      <w:hyperlink r:id="rId21"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6" w:name="_Nota_sobre_herramientas"/>
      <w:bookmarkStart w:id="107" w:name="anxNota"/>
      <w:bookmarkEnd w:id="106"/>
      <w:r>
        <w:t>Nota sobre herramientas de prueba de API</w:t>
      </w:r>
      <w:bookmarkEnd w:id="107"/>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w:t>
      </w:r>
      <w:r>
        <w:lastRenderedPageBreak/>
        <w:t xml:space="preserve">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Además de esas pruebas manuales, los endpoints de carrito, confirmación de pedido, historial, catálogo y autenticación se prueban con una suite de pruebas de integración automatizadas (JUnit 5, Spring Boot Test y MockMvc) que los invoca directamente, sin pasar por el frontend ni por el bot (sección 4.5). </w:t>
      </w:r>
    </w:p>
    <w:sectPr w:rsidR="005302BB">
      <w:footerReference w:type="default" r:id="rId22"/>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E8F09A" w14:textId="77777777" w:rsidR="00134356" w:rsidRDefault="00134356">
      <w:pPr>
        <w:spacing w:after="0" w:line="240" w:lineRule="auto"/>
      </w:pPr>
      <w:r>
        <w:separator/>
      </w:r>
    </w:p>
  </w:endnote>
  <w:endnote w:type="continuationSeparator" w:id="0">
    <w:p w14:paraId="3A0959AD" w14:textId="77777777" w:rsidR="00134356" w:rsidRDefault="00134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BA7C0B" w14:textId="77777777" w:rsidR="00134356" w:rsidRDefault="00134356">
      <w:pPr>
        <w:spacing w:after="0" w:line="240" w:lineRule="auto"/>
      </w:pPr>
      <w:r>
        <w:separator/>
      </w:r>
    </w:p>
  </w:footnote>
  <w:footnote w:type="continuationSeparator" w:id="0">
    <w:p w14:paraId="743BC91F" w14:textId="77777777" w:rsidR="00134356" w:rsidRDefault="00134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95CEC"/>
    <w:rsid w:val="000C11A3"/>
    <w:rsid w:val="00134356"/>
    <w:rsid w:val="001A7925"/>
    <w:rsid w:val="00201BA8"/>
    <w:rsid w:val="00225E60"/>
    <w:rsid w:val="00246AE3"/>
    <w:rsid w:val="00252E71"/>
    <w:rsid w:val="002B4CF8"/>
    <w:rsid w:val="002E3EFE"/>
    <w:rsid w:val="00312A07"/>
    <w:rsid w:val="003412AD"/>
    <w:rsid w:val="00351BFB"/>
    <w:rsid w:val="00370287"/>
    <w:rsid w:val="0038322E"/>
    <w:rsid w:val="0038606D"/>
    <w:rsid w:val="003D0944"/>
    <w:rsid w:val="00430577"/>
    <w:rsid w:val="0045655A"/>
    <w:rsid w:val="0046462A"/>
    <w:rsid w:val="00472589"/>
    <w:rsid w:val="00496DEB"/>
    <w:rsid w:val="004C0B0D"/>
    <w:rsid w:val="004E7061"/>
    <w:rsid w:val="0052622E"/>
    <w:rsid w:val="005302BB"/>
    <w:rsid w:val="005722E1"/>
    <w:rsid w:val="0057728C"/>
    <w:rsid w:val="006736C3"/>
    <w:rsid w:val="006C25B8"/>
    <w:rsid w:val="006F07B1"/>
    <w:rsid w:val="00747464"/>
    <w:rsid w:val="00775C8F"/>
    <w:rsid w:val="007A425F"/>
    <w:rsid w:val="00830910"/>
    <w:rsid w:val="00842680"/>
    <w:rsid w:val="0086745B"/>
    <w:rsid w:val="009463C6"/>
    <w:rsid w:val="00993347"/>
    <w:rsid w:val="009F73BF"/>
    <w:rsid w:val="00AB19FF"/>
    <w:rsid w:val="00AF5FF2"/>
    <w:rsid w:val="00B04380"/>
    <w:rsid w:val="00B147BC"/>
    <w:rsid w:val="00B60723"/>
    <w:rsid w:val="00BA78CE"/>
    <w:rsid w:val="00BE4C3C"/>
    <w:rsid w:val="00BF43D3"/>
    <w:rsid w:val="00C14F94"/>
    <w:rsid w:val="00C329DA"/>
    <w:rsid w:val="00CA0C08"/>
    <w:rsid w:val="00CD1A9C"/>
    <w:rsid w:val="00CE6687"/>
    <w:rsid w:val="00D061AD"/>
    <w:rsid w:val="00D32E85"/>
    <w:rsid w:val="00D519CD"/>
    <w:rsid w:val="00D67ECE"/>
    <w:rsid w:val="00D73583"/>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github.com/marianovidela1988-svg/integrador_fina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gv1ZH7xTSmKyMZwvJ69vLzcdClqsTjYU?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drive.google.com/file/d/1QNbTc3_xuVtLR0x_DRRYvVw3qM5kZDuA/view?usp=drive_link"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6A4BE-1105-46BC-B6C9-E190711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60</Pages>
  <Words>22282</Words>
  <Characters>122110</Characters>
  <Application>Microsoft Office Word</Application>
  <DocSecurity>0</DocSecurity>
  <Lines>2348</Lines>
  <Paragraphs>995</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143397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Juan Ignacio Juarez</cp:lastModifiedBy>
  <cp:revision>7</cp:revision>
  <cp:lastPrinted>2026-09-21T22:26:00Z</cp:lastPrinted>
  <dcterms:created xsi:type="dcterms:W3CDTF">2026-08-12T19:37:00Z</dcterms:created>
  <dcterms:modified xsi:type="dcterms:W3CDTF">2026-09-24T03:14:00Z</dcterms:modified>
</cp:coreProperties>
</file>