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4"/>
          <w:szCs w:val="24"/>
        </w:rPr>
        <w:t xml:space="preserve">UNIVERSIDAD TECNOLÓGICA NACIONAL · FACULTAD REGIONAL MENDOZA</w:t>
      </w:r>
    </w:p>
    <w:p>
      <w:pPr>
        <w:spacing w:after="400"/>
        <w:jc w:val="center"/>
      </w:pPr>
      <w:r>
        <w:rPr>
          <w:rFonts w:ascii="Calibri" w:cs="Calibri" w:eastAsia="Calibri" w:hAnsi="Calibri"/>
          <w:sz w:val="22"/>
          <w:szCs w:val="22"/>
        </w:rPr>
        <w:t xml:space="preserve">Tecnicatura Universitaria en Programación</w:t>
      </w:r>
    </w:p>
    <w:p>
      <w:pPr>
        <w:spacing w:after="100"/>
        <w:jc w:val="center"/>
      </w:pPr>
      <w:r>
        <w:rPr>
          <w:rFonts w:ascii="Calibri" w:cs="Calibri" w:eastAsia="Calibri" w:hAnsi="Calibri"/>
          <w:b/>
          <w:bCs/>
          <w:sz w:val="32"/>
          <w:szCs w:val="32"/>
        </w:rPr>
        <w:t xml:space="preserve">Auditoría de seguimiento — Informe_Tesis_v12</w:t>
      </w:r>
    </w:p>
    <w:p>
      <w:pPr>
        <w:spacing w:after="400"/>
        <w:jc w:val="center"/>
      </w:pPr>
      <w:r>
        <w:rPr>
          <w:rFonts w:ascii="Calibri" w:cs="Calibri" w:eastAsia="Calibri" w:hAnsi="Calibri"/>
          <w:i/>
          <w:iCs/>
          <w:sz w:val="24"/>
          <w:szCs w:val="24"/>
        </w:rPr>
        <w:t xml:space="preserve">Sistema de Gestión de Stock Integrado con API REST y Automatización de Pedidos</w:t>
      </w:r>
    </w:p>
    <w:p>
      <w:pPr>
        <w:spacing w:after="60"/>
        <w:jc w:val="center"/>
      </w:pPr>
      <w:r>
        <w:rPr>
          <w:rFonts w:ascii="Calibri" w:cs="Calibri" w:eastAsia="Calibri" w:hAnsi="Calibri"/>
          <w:sz w:val="22"/>
          <w:szCs w:val="22"/>
        </w:rPr>
        <w:t xml:space="preserve">Juan Ignacio Juarez · Mariano Videla</w:t>
      </w:r>
    </w:p>
    <w:p>
      <w:pPr>
        <w:spacing w:after="60"/>
        <w:jc w:val="center"/>
      </w:pPr>
      <w:r>
        <w:rPr>
          <w:rFonts w:ascii="Calibri" w:cs="Calibri" w:eastAsia="Calibri" w:hAnsi="Calibri"/>
          <w:sz w:val="22"/>
          <w:szCs w:val="22"/>
        </w:rPr>
        <w:t xml:space="preserve">Director: Mag. en Ing. de Software Alberto Cortez</w:t>
      </w:r>
    </w:p>
    <w:p>
      <w:pPr>
        <w:spacing w:after="400"/>
        <w:jc w:val="center"/>
      </w:pPr>
      <w:r>
        <w:rPr>
          <w:rFonts w:ascii="Calibri" w:cs="Calibri" w:eastAsia="Calibri" w:hAnsi="Calibri"/>
          <w:sz w:val="22"/>
          <w:szCs w:val="22"/>
        </w:rPr>
        <w:t xml:space="preserve">Archivo auditado: Informe_Tesis_v12.docx · Mendoza, 14 de septiembre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Ficha técnica de la auditoría de seguimiento</w:t>
            </w:r>
          </w:p>
        </w:tc>
        <w:tc>
          <w:tcPr>
            <w:tcW w:type="pct" w:w="7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Auditoría de referencia</w:t>
            </w:r>
          </w:p>
        </w:tc>
        <w:tc>
          <w:tcPr>
            <w:tcW w:type="pct" w:w="7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Informe de auditoría integral sobre Informe_Tesis_v11.docx (20/08/2026) — puntaje 5,0/10, "Requiere una revisión profunda antes de la defensa"</w:t>
            </w:r>
          </w:p>
        </w:tc>
      </w:tr>
      <w:tr>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Documento auditado ahora</w:t>
            </w:r>
          </w:p>
        </w:tc>
        <w:tc>
          <w:tcPr>
            <w:tcW w:type="pct" w:w="7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Informe_Tesis_v12.docx — 48 páginas, título de metadatos corregido a v12 (antes declaraba v06)</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Método</w:t>
            </w:r>
          </w:p>
        </w:tc>
        <w:tc>
          <w:tcPr>
            <w:tcW w:type="pct" w:w="7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Comparación línea por línea contra v11 y contra el informe de auditoría anterior; clonado y re-verificación del repositorio (25 commits, antes 19); re-ejecución independiente del script estadístico; reconstrucción de los indicadores TPP/TED/NAS desde los datos crudos del nuevo Anexo A</w:t>
            </w:r>
          </w:p>
        </w:tc>
      </w:tr>
      <w:tr>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Repositorio auditado</w:t>
            </w:r>
          </w:p>
        </w:tc>
        <w:tc>
          <w:tcPr>
            <w:tcW w:type="pct" w:w="7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github.com/marianovidela1988-svg/integrador_final — público, 25 commits</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Reproducibilidad estadística</w:t>
            </w:r>
          </w:p>
        </w:tc>
        <w:tc>
          <w:tcPr>
            <w:tcW w:type="pct" w:w="70%"/>
            <w:tcMar>
              <w:top w:type="dxa" w:w="80"/>
              <w:left w:type="dxa" w:w="100"/>
              <w:bottom w:type="dxa" w:w="80"/>
              <w:right w:type="dxa" w:w="100"/>
            </w:tcMar>
            <w:vAlign w:val="center"/>
          </w:tcPr>
          <w:p>
            <w:r>
              <w:rPr>
                <w:rFonts w:ascii="Calibri" w:cs="Calibri" w:eastAsia="Calibri" w:hAnsi="Calibri"/>
                <w:b w:val="false"/>
                <w:bCs w:val="false"/>
                <w:sz w:val="20"/>
                <w:szCs w:val="20"/>
              </w:rPr>
              <w:t xml:space="preserve">Reejecutada de forma independiente por esta auditoría: coincide al dígito con la Tabla 5.1</w:t>
            </w:r>
          </w:p>
        </w:tc>
      </w:tr>
      <w:tr>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Hallazgos críticos de la auditoría anterior</w:t>
            </w:r>
          </w:p>
        </w:tc>
        <w:tc>
          <w:tcPr>
            <w:tcW w:type="pct" w:w="7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21 — resueltos: 18 · parcialmente resueltos: 2 · sin resolver: 1 (ver Sección 2)</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Hallazgos nuevos de esta auditoría</w:t>
            </w:r>
          </w:p>
        </w:tc>
        <w:tc>
          <w:tcPr>
            <w:tcW w:type="pct" w:w="70%"/>
            <w:tcMar>
              <w:top w:type="dxa" w:w="80"/>
              <w:left w:type="dxa" w:w="100"/>
              <w:bottom w:type="dxa" w:w="80"/>
              <w:right w:type="dxa" w:w="100"/>
            </w:tcMar>
            <w:vAlign w:val="center"/>
          </w:tcPr>
          <w:p>
            <w:r>
              <w:rPr>
                <w:rFonts w:ascii="Calibri" w:cs="Calibri" w:eastAsia="Calibri" w:hAnsi="Calibri"/>
                <w:b w:val="false"/>
                <w:bCs w:val="false"/>
                <w:sz w:val="20"/>
                <w:szCs w:val="20"/>
              </w:rPr>
              <w:t xml:space="preserve">1 alto (evidencia de video pendiente de publicar) + 3 menores (ver Sección 4)</w:t>
            </w:r>
          </w:p>
        </w:tc>
      </w:tr>
      <w:tr>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Puntaje anterior → puntaje actual</w:t>
            </w:r>
          </w:p>
        </w:tc>
        <w:tc>
          <w:tcPr>
            <w:tcW w:type="pct" w:w="7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5,0 / 10 → 7,9 / 10</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Dictamen anterior → dictamen actual</w:t>
            </w:r>
          </w:p>
        </w:tc>
        <w:tc>
          <w:tcPr>
            <w:tcW w:type="pct" w:w="7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Requiere una revisión profunda antes de la defensa → Aprobada con observaciones menores</w:t>
            </w:r>
          </w:p>
        </w:tc>
      </w:tr>
    </w:tbl>
    <w:p>
      <w:r>
        <w:br w:type="page"/>
      </w:r>
    </w:p>
    <w:p>
      <w:pPr>
        <w:pStyle w:val="Heading1"/>
        <w:spacing w:after="180" w:before="360"/>
      </w:pPr>
      <w:r>
        <w:t xml:space="preserve">1. Resumen ejecutivo</w:t>
      </w:r>
    </w:p>
    <w:p>
      <w:pPr>
        <w:spacing w:after="160" w:line="276"/>
      </w:pPr>
      <w:r>
        <w:rPr>
          <w:rFonts w:ascii="Calibri" w:cs="Calibri" w:eastAsia="Calibri" w:hAnsi="Calibri"/>
          <w:b w:val="false"/>
          <w:bCs w:val="false"/>
          <w:i w:val="false"/>
          <w:iCs w:val="false"/>
          <w:sz w:val="22"/>
          <w:szCs w:val="22"/>
        </w:rPr>
        <w:t xml:space="preserve">Esta es una auditoría de seguimiento, no una auditoría integral desde cero: parte de los 21 hallazgos críticos y los 78 hallazgos totales de la auditoría sobre Informe_Tesis_v11.docx, y verifica, hallazgo por hallazgo, qué se corrigió en Informe_Tesis_v12.docx y con qué evidencia. Se complementa con una re-verificación técnica del repositorio (que pasó de 19 a 25 commits) y con la reejecución independiente, por esta auditoría, del script estadístico del Anexo B.</w:t>
      </w:r>
    </w:p>
    <w:p>
      <w:pPr>
        <w:spacing w:after="160" w:line="276"/>
      </w:pPr>
      <w:r>
        <w:rPr>
          <w:rFonts w:ascii="Calibri" w:cs="Calibri" w:eastAsia="Calibri" w:hAnsi="Calibri"/>
          <w:b w:val="false"/>
          <w:bCs w:val="false"/>
          <w:i w:val="false"/>
          <w:iCs w:val="false"/>
          <w:sz w:val="22"/>
          <w:szCs w:val="22"/>
        </w:rPr>
        <w:t xml:space="preserve">La conclusión central es clara: los autores no reescribieron el documento para maquillar los hallazgos anteriores — volvieron a ejecutar el experimento completo, con un instrumento de medición único y consistente, corrigieron un defecto de concurrencia real que la propia re-ejecución hizo emerger, y aceptaron un resultado menos favorable (una reducción de TPP del 34,9%-35,9%, por debajo del 50% hipotetizado, en lugar del 75,2% de la versión anterior) en lugar de conservar la cifra más favorable. Esa disposición a informar un resultado peor pero verificable, en vez de uno mejor pero no reconstruible, es la evidencia más fuerte de buena fe metodológica en este trabajo.</w:t>
      </w:r>
    </w:p>
    <w:p>
      <w:pPr>
        <w:spacing w:after="160" w:line="276"/>
      </w:pPr>
      <w:r>
        <w:rPr>
          <w:rFonts w:ascii="Calibri" w:cs="Calibri" w:eastAsia="Calibri" w:hAnsi="Calibri"/>
          <w:b w:val="false"/>
          <w:bCs w:val="false"/>
          <w:i w:val="false"/>
          <w:iCs w:val="false"/>
          <w:sz w:val="22"/>
          <w:szCs w:val="22"/>
        </w:rPr>
        <w:t xml:space="preserve">De los 21 hallazgos críticos de la auditoría anterior, 18 están resueltos con evidencia verificable (código, datos crudos reejecutados, o texto corregido), 2 están parcialmente resueltos, y 1 sigue abierto en los términos originales pero ahora es irrelevante porque la hipótesis que lo generaba (H1b) fue eliminada del diseño. No queda ningún hallazgo crítico pendiente que, por sí solo, impida la defensa.</w:t>
      </w:r>
    </w:p>
    <w:p>
      <w:pPr>
        <w:spacing w:after="160" w:line="276"/>
      </w:pPr>
      <w:r>
        <w:rPr>
          <w:rFonts w:ascii="Calibri" w:cs="Calibri" w:eastAsia="Calibri" w:hAnsi="Calibri"/>
          <w:b w:val="false"/>
          <w:bCs w:val="false"/>
          <w:i w:val="false"/>
          <w:iCs w:val="false"/>
          <w:sz w:val="22"/>
          <w:szCs w:val="22"/>
        </w:rPr>
        <w:t xml:space="preserve">Esta auditoría identifica un hallazgo nuevo de severidad alta que el equipo debe resolver antes de la entrega definitiva: la Hoja Metadatos_corrida del propio Anexo A declara que el enlace público a los videos de pantalla que respaldan la medición de TPP —el instrumento que la Sección 3.5 presenta como único y consistente entre condiciones— está "PENDIENTE: subir antes de la entrega". Mientras ese enlace no se publique, el instrumento central del experimento reejecutado no es verificable por el tribunal, aunque los tiempos que arroja sean internamente consistentes y reproduzcan la Tabla 5.1 al dígito.</w:t>
      </w:r>
    </w:p>
    <w:p>
      <w:pPr>
        <w:spacing w:after="160" w:line="276"/>
      </w:pPr>
      <w:r>
        <w:rPr>
          <w:rFonts w:ascii="Calibri" w:cs="Calibri" w:eastAsia="Calibri" w:hAnsi="Calibri"/>
          <w:b w:val="false"/>
          <w:bCs w:val="false"/>
          <w:i w:val="false"/>
          <w:iCs w:val="false"/>
          <w:sz w:val="22"/>
          <w:szCs w:val="22"/>
        </w:rPr>
        <w:t xml:space="preserve">Con ese único punto pendiente y un puñado de observaciones menores, el dictamen pasa de "Requiere una revisión profunda antes de la defensa" a "Aprobada con observaciones menores", con un puntaje de 7,9/10 (antes 5,0/10).</w:t>
      </w:r>
    </w:p>
    <w:p>
      <w:pPr>
        <w:pStyle w:val="Heading1"/>
        <w:spacing w:after="180" w:before="360"/>
      </w:pPr>
      <w:r>
        <w:t xml:space="preserve">2. Estado de los 21 hallazgos críticos de la auditoría anterior</w:t>
      </w:r>
    </w:p>
    <w:p>
      <w:pPr>
        <w:spacing w:after="160" w:line="276"/>
      </w:pPr>
      <w:r>
        <w:rPr>
          <w:rFonts w:ascii="Calibri" w:cs="Calibri" w:eastAsia="Calibri" w:hAnsi="Calibri"/>
          <w:b w:val="false"/>
          <w:bCs w:val="false"/>
          <w:i w:val="false"/>
          <w:iCs w:val="false"/>
          <w:sz w:val="22"/>
          <w:szCs w:val="22"/>
        </w:rPr>
        <w:t xml:space="preserve">La tabla siguiente resume, hallazgo por hallazgo, la verificación realizada sobre v12. "Resuelto" significa que esta auditoría encontró evidencia directa e independiente del cambio (código re-clonado y leído, datos crudos recalculados, o texto corregido y cotejado). "Parcial" significa que el cambio existe pero no cierra el problema por completo. "Abierto" significa que el problema original sigue presente.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w:t>
            </w:r>
          </w:p>
        </w:tc>
        <w:tc>
          <w:tcPr>
            <w:tcW w:type="pct" w:w="3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Hallazgo crítico (v11)</w:t>
            </w:r>
          </w:p>
        </w:tc>
        <w:tc>
          <w:tcPr>
            <w:tcW w:type="pct" w:w="14%"/>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Estado en v12</w:t>
            </w:r>
          </w:p>
        </w:tc>
        <w:tc>
          <w:tcPr>
            <w:tcW w:type="pct" w:w="50%"/>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Evidencia verificada</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C1</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Protocolo temporal incompatible con el Anexo A (postest antes que pretest)</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Nueva corrida con fechas y horas reales y consistentes: pretest 10/09/2026 21:44–22:00; postest 12/09/2026 21:08–21:21 (hoja Metadatos_corrida, verificado por esta auditoría).</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C2</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Granularidad de tiempos incompatible con cronómetro/logs (todos múltiplos de 5 o en :00)</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Los 20 tiempos de inicio y fin de cada condición ahora caen en segundos irregulares (ej. 21:44:57, 21:45:39); ya no hay patrón de redondeo.</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C3</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Conteos de stock del postest no reconstruibles</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Auditoria_Stock ahora cubre los 17 productos del catálogo en ambas condiciones y el stock físico esperado coincide exactamente con el registrado en las 34 filas (verificado por esta auditoría).</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C4</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Anexo A no contenía los cálculos (columnas vacías)</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Anexo A crudo ahora alimenta compute_stats.py, que se reejecutó de forma independiente en esta auditoría y reprodujo la Tabla 5.1 al dígito.</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C5</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El Anexo A contenía directivas de un tercero dirigidas a los autores</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No se encontraron notas de ese tipo en las hojas del nuevo Anexo A.</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C6</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H1b se declaraba falsable y a la vez inmunizada contra la refutación</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H1b se eliminó. La H1 única (TPP) es falsable sin calificaciones; TED y NAS se reportan como indicadores descriptivos sin hipótesis asociada, de forma consistente en 1.2, 3.1 y 5.2.</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C7</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NAS declarada "atribuible a la automatización" sin contraste, con n=5</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NAS ahora se audita sobre los 17 productos del catálogo (no una muestra de 5) y no muestra diferencia entre condiciones (100% en ambas); ya no se atribuye una mejora inexistente a la automatización.</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C8</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r=0,88 usaba n=20 pares; Rosenthal (1991) exige N=observaciones totales</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compute_stats.py calcula ahora r=z/√N con N=40; el valor reportado (r=0,60) coincide con la reejecución independiente de esta auditoría.</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C9</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La nota de la Tabla 5.1 y el Anexo B describían procedimientos distintos para el valor p</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Se informa el valor exacto de Wilcoxon como principal y la aproximación normal como contraste secundario, de forma consistente en el texto y en la salida del script.</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C10</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compute_stats.py fijaba el estadístico de Wilcoxon por constante</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script ahora llama a scipy.stats.wilcoxon sobre los datos reales; el comentario del propio script cita este hallazgo (C10) como motivo del cambio.</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C11</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El estimador cambiaba entre el contraste (medianas) y la cifra titular (medias)</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La Tabla 5.1 y el texto informan ambas reducciones (34,9% sobre medias, 35,9% sobre la mediana de las diferencias) y aclaran explícitamente que no son la resta de las medianas por separado.</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C12</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La dimensión "cliente nuevo vs. recurrente" no era representable en el artefacto</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 retiró del diseño de escenarios; la Sección 3.4 explica por qué (el sistema no vincula clientes con pedidos).</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C13</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El mecanismo causal de NAS (descuento "inmediato y automático") no existía en el código</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La Sección 6.1 corrige la explicación: el descuento ocurre al confirmar el pedido en el panel, no al recibirlo. Verificado contra PedidoService.java.</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C14</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§4.1.1 afirmaba que todo endpoint exige sesión; SecurityConfig lo desmentía</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texto ahora distingue los tres regímenes de acceso (JWT, API key de n8n, catálogo público); coincide con SecurityConfig.java verificado en el repositorio.</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C15</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Validación de cantidad evadible por acumulación en el carrito</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Se investigó y se determinó que el límite de 10 es solo de la interfaz de botones, no una regla de negocio; el stock se valida contra la cantidad acumulada real al confirmar. Verificado en CarritoService.java/PedidoService.java y cubierto por 2 tests nuevos.</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C16</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Figura 4.3 rotulaba 400 para stock insuficiente; el backend responde 200</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La figura 4.4 (renumerada) ya no aparece con ese rótulo incorrecto en el cuerpo revisado.</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C17</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§4.2 declaraba PATCH y eliminación lógica inexistentes</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El texto ahora dice "actualización (PUT)" y "eliminación física (DELETE)", que coincide con el código (0 @PatchMapping, ProductoService.eliminar() usa delete()).</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C18</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Misatribución a Cui et al. (2017) como revisión del estado del arte</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La cita se retiró por completo del marco teórico.</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C19</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Misatribución a Sebesta (2016) para arquitectura web y MVC</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Se retiró y se reemplazó por Fowler (2002), Patterns of Enterprise Application Architecture, verificado como fuente pertinente para ese contenido.</w:t>
            </w:r>
          </w:p>
        </w:tc>
      </w:tr>
      <w:tr>
        <w:tc>
          <w:tcPr>
            <w:tcW w:type="pct" w:w="6%"/>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C20</w:t>
            </w:r>
          </w:p>
        </w:tc>
        <w:tc>
          <w:tcPr>
            <w:tcW w:type="pct" w:w="3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Fuente incorrecta para el dato de usuarios de Telegram</w:t>
            </w:r>
          </w:p>
        </w:tc>
        <w:tc>
          <w:tcPr>
            <w:tcW w:type="pct" w:w="14%"/>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 reemplazó por Mehta (2024), TechCrunch, verificado como fuente real y consistente con la cifra citada.</w:t>
            </w:r>
          </w:p>
        </w:tc>
      </w:tr>
      <w:tr>
        <w:tc>
          <w:tcPr>
            <w:tcW w:type="pct" w:w="6%"/>
            <w:tcMar>
              <w:top w:type="dxa" w:w="80"/>
              <w:left w:type="dxa" w:w="100"/>
              <w:bottom w:type="dxa" w:w="80"/>
              <w:right w:type="dxa" w:w="100"/>
            </w:tcMar>
            <w:vAlign w:val="center"/>
          </w:tcPr>
          <w:p>
            <w:r>
              <w:rPr>
                <w:rFonts w:ascii="Calibri" w:cs="Calibri" w:eastAsia="Calibri" w:hAnsi="Calibri"/>
                <w:b w:val="false"/>
                <w:bCs w:val="false"/>
                <w:sz w:val="20"/>
                <w:szCs w:val="20"/>
              </w:rPr>
              <w:t xml:space="preserve">C21</w:t>
            </w:r>
          </w:p>
        </w:tc>
        <w:tc>
          <w:tcPr>
            <w:tcW w:type="pct" w:w="30%"/>
            <w:tcMar>
              <w:top w:type="dxa" w:w="80"/>
              <w:left w:type="dxa" w:w="100"/>
              <w:bottom w:type="dxa" w:w="80"/>
              <w:right w:type="dxa" w:w="100"/>
            </w:tcMar>
            <w:vAlign w:val="center"/>
          </w:tcPr>
          <w:p>
            <w:r>
              <w:rPr>
                <w:rFonts w:ascii="Calibri" w:cs="Calibri" w:eastAsia="Calibri" w:hAnsi="Calibri"/>
                <w:b w:val="false"/>
                <w:bCs w:val="false"/>
                <w:sz w:val="20"/>
                <w:szCs w:val="20"/>
              </w:rPr>
              <w:t xml:space="preserve">n8n descripta como "código abierto (licencia Sustainable Use)" — contradictorio</w:t>
            </w:r>
          </w:p>
        </w:tc>
        <w:tc>
          <w:tcPr>
            <w:tcW w:type="pct" w:w="14%"/>
            <w:tcMar>
              <w:top w:type="dxa" w:w="80"/>
              <w:left w:type="dxa" w:w="100"/>
              <w:bottom w:type="dxa" w:w="80"/>
              <w:right w:type="dxa" w:w="100"/>
            </w:tcMar>
            <w:vAlign w:val="center"/>
          </w:tcPr>
          <w:p>
            <w:r>
              <w:rPr>
                <w:rFonts w:ascii="Calibri" w:cs="Calibri" w:eastAsia="Calibri" w:hAnsi="Calibri"/>
                <w:b w:val="false"/>
                <w:bCs w:val="false"/>
                <w:sz w:val="20"/>
                <w:szCs w:val="20"/>
              </w:rPr>
              <w:t xml:space="preserve">Resuelto</w:t>
            </w:r>
          </w:p>
        </w:tc>
        <w:tc>
          <w:tcPr>
            <w:tcW w:type="pct" w:w="50%"/>
            <w:tcMar>
              <w:top w:type="dxa" w:w="80"/>
              <w:left w:type="dxa" w:w="100"/>
              <w:bottom w:type="dxa" w:w="80"/>
              <w:right w:type="dxa" w:w="100"/>
            </w:tcMar>
            <w:vAlign w:val="center"/>
          </w:tcPr>
          <w:p>
            <w:r>
              <w:rPr>
                <w:rFonts w:ascii="Calibri" w:cs="Calibri" w:eastAsia="Calibri" w:hAnsi="Calibri"/>
                <w:b w:val="false"/>
                <w:bCs w:val="false"/>
                <w:sz w:val="20"/>
                <w:szCs w:val="20"/>
              </w:rPr>
              <w:t xml:space="preserve">El texto ahora explica correctamente el modelo fair-code y cita n8n (2022) para la aclaración explícita de que no es código abierto en sentido estricto.</w:t>
            </w:r>
          </w:p>
        </w:tc>
      </w:tr>
    </w:tbl>
    <w:p>
      <w:pPr>
        <w:spacing w:after="160" w:line="276"/>
      </w:pPr>
      <w:r>
        <w:rPr>
          <w:rFonts w:ascii="Calibri" w:cs="Calibri" w:eastAsia="Calibri" w:hAnsi="Calibri"/>
          <w:b w:val="false"/>
          <w:bCs w:val="false"/>
          <w:i w:val="false"/>
          <w:iCs w:val="false"/>
          <w:sz w:val="22"/>
          <w:szCs w:val="22"/>
        </w:rPr>
        <w:t xml:space="preserve">Dos matices sobre la tabla anterior. Primero, el hallazgo C7 se cuenta como resuelto en un sentido más amplio que "se agregó el contraste que faltaba": los autores no forzaron un contraste sobre datos que ya no tenían variación (NAS quedó en 100%/100% tras la re-ejecución), así que no hay nada que contrastar — y eso es preferible a mantener una diferencia inventada. Segundo, C6 se resuelve por eliminación de H1b en lugar de por corrección de H1b; esto es una simplificación honesta del diseño, no un rodeo: TED se sigue midiendo y discutiendo, solo que sin la pretensión de una hipótesis formal que el propio diseño no podía sostener.</w:t>
      </w:r>
    </w:p>
    <w:p>
      <w:pPr>
        <w:pStyle w:val="Heading1"/>
        <w:spacing w:after="180" w:before="360"/>
      </w:pPr>
      <w:r>
        <w:t xml:space="preserve">3. Verificación técnica independiente</w:t>
      </w:r>
    </w:p>
    <w:p>
      <w:pPr>
        <w:pStyle w:val="Heading2"/>
        <w:spacing w:after="140" w:before="260"/>
      </w:pPr>
      <w:r>
        <w:t xml:space="preserve">3.1 Reproducción estadística</w:t>
      </w:r>
    </w:p>
    <w:p>
      <w:pPr>
        <w:spacing w:after="160" w:line="276"/>
      </w:pPr>
      <w:r>
        <w:rPr>
          <w:rFonts w:ascii="Calibri" w:cs="Calibri" w:eastAsia="Calibri" w:hAnsi="Calibri"/>
          <w:b w:val="false"/>
          <w:bCs w:val="false"/>
          <w:i w:val="false"/>
          <w:iCs w:val="false"/>
          <w:sz w:val="22"/>
          <w:szCs w:val="22"/>
        </w:rPr>
        <w:t xml:space="preserve">Se clonó el repositorio y se reejecutó docs/analisis/compute_stats.py contra el Anexo A incluido en el propio repositorio, sin modificar ni el script ni los datos. La salida coincide dígito por dígito con la Tabla 5.1 y con docs/analisis/salida_compute_stats.txt: TPP pretest 39,30 ± 19,51 s (mediana 32,00 s), TPP postest 25,60 ± 10,52 s (mediana 21,50 s), Wilcoxon exacto p = 9,537×10⁻⁶, r = 0,5996 con N = 40. También se verificó manualmente la suma de los 20 tiempos de procesamiento del pretest (786 s ÷ 20 = 39,3 s), que coincide con el valor informado.</w:t>
      </w:r>
    </w:p>
    <w:p>
      <w:pPr>
        <w:pStyle w:val="Heading2"/>
        <w:spacing w:after="140" w:before="260"/>
      </w:pPr>
      <w:r>
        <w:t xml:space="preserve">3.2 Verificación del código fuente</w:t>
      </w:r>
    </w:p>
    <w:p>
      <w:pPr>
        <w:spacing w:after="160" w:line="276"/>
      </w:pPr>
      <w:r>
        <w:rPr>
          <w:rFonts w:ascii="Calibri" w:cs="Calibri" w:eastAsia="Calibri" w:hAnsi="Calibri"/>
          <w:b w:val="false"/>
          <w:bCs w:val="false"/>
          <w:i w:val="false"/>
          <w:iCs w:val="false"/>
          <w:sz w:val="22"/>
          <w:szCs w:val="22"/>
        </w:rPr>
        <w:t xml:space="preserve">Se clonó github.com/marianovidela1988-svg/integrador_final (25 commits, frente a los 19 de la auditoría anterior) y se leyeron directamente los archivos relevantes.</w:t>
      </w:r>
    </w:p>
    <w:p>
      <w:pPr>
        <w:pStyle w:val="ListParagraph"/>
        <w:numPr>
          <w:ilvl w:val="0"/>
          <w:numId w:val="1"/>
        </w:numPr>
        <w:spacing w:after="100" w:line="276"/>
      </w:pPr>
      <w:r>
        <w:rPr>
          <w:rFonts w:ascii="Calibri" w:cs="Calibri" w:eastAsia="Calibri" w:hAnsi="Calibri"/>
          <w:sz w:val="22"/>
          <w:szCs w:val="22"/>
        </w:rPr>
        <w:t xml:space="preserve">PedidoService.cambiarEstado() ya no hace un chequeo en memoria seguido de una escritura: usa pedidoRepository.marcarComoConfirmadoSiNoLoEstaba(id, estado), un UPDATE condicional atómico a nivel de base, exactamente como describe la Sección 6.1. Esto corrige el defecto de concurrencia (doble descuento de stock ante dos confirmaciones casi simultáneas) que la propia re-ejecución del experimento hizo emerger.</w:t>
      </w:r>
    </w:p>
    <w:p>
      <w:pPr>
        <w:pStyle w:val="ListParagraph"/>
        <w:numPr>
          <w:ilvl w:val="0"/>
          <w:numId w:val="1"/>
        </w:numPr>
        <w:spacing w:after="100" w:line="276"/>
      </w:pPr>
      <w:r>
        <w:rPr>
          <w:rFonts w:ascii="Calibri" w:cs="Calibri" w:eastAsia="Calibri" w:hAnsi="Calibri"/>
          <w:sz w:val="22"/>
          <w:szCs w:val="22"/>
        </w:rPr>
        <w:t xml:space="preserve">application.properties ya no trae credenciales por defecto: las variables sensibles (DB_URL, DB_USERNAME, DB_PASSWORD, JWT_SECRET, N8N_API_KEY) se leen por variable de entorno sin valor de respaldo, y el arranque falla si no están definidas. Los valores de conveniencia para desarrollo local se movieron a un perfil separado (application-dev.properties), activo por defecto pero claramente documentado como no apto para producción.</w:t>
      </w:r>
    </w:p>
    <w:p>
      <w:pPr>
        <w:pStyle w:val="ListParagraph"/>
        <w:numPr>
          <w:ilvl w:val="0"/>
          <w:numId w:val="1"/>
        </w:numPr>
        <w:spacing w:after="100" w:line="276"/>
      </w:pPr>
      <w:r>
        <w:rPr>
          <w:rFonts w:ascii="Calibri" w:cs="Calibri" w:eastAsia="Calibri" w:hAnsi="Calibri"/>
          <w:sz w:val="22"/>
          <w:szCs w:val="22"/>
        </w:rPr>
        <w:t xml:space="preserve">SecurityConfig.java coincide exactamente con la descripción corregida del texto (§4.1.1 y §4.2): JWT para el panel de administración, X-N8N-Api-Key para los endpoints que consume n8n, acceso público de solo lectura sobre /categorias/** y /productos/**.</w:t>
      </w:r>
    </w:p>
    <w:p>
      <w:pPr>
        <w:pStyle w:val="ListParagraph"/>
        <w:numPr>
          <w:ilvl w:val="0"/>
          <w:numId w:val="1"/>
        </w:numPr>
        <w:spacing w:after="100" w:line="276"/>
      </w:pPr>
      <w:r>
        <w:rPr>
          <w:rFonts w:ascii="Calibri" w:cs="Calibri" w:eastAsia="Calibri" w:hAnsi="Calibri"/>
          <w:sz w:val="22"/>
          <w:szCs w:val="22"/>
        </w:rPr>
        <w:t xml:space="preserve">CarritoService.agregarItem() acumula la cantidad en un único ítem por producto (no crea entradas duplicadas), por lo que PedidoService.recibirPedido() valida el stock contra la cantidad acumulada real al confirmar el pedido — consistente con lo que la Sección 7.2 explica sobre por qué ese comportamiento no necesitaba corrección.</w:t>
      </w:r>
    </w:p>
    <w:p>
      <w:pPr>
        <w:pStyle w:val="ListParagraph"/>
        <w:numPr>
          <w:ilvl w:val="0"/>
          <w:numId w:val="1"/>
        </w:numPr>
        <w:spacing w:after="100" w:line="276"/>
      </w:pPr>
      <w:r>
        <w:rPr>
          <w:rFonts w:ascii="Calibri" w:cs="Calibri" w:eastAsia="Calibri" w:hAnsi="Calibri"/>
          <w:sz w:val="22"/>
          <w:szCs w:val="22"/>
        </w:rPr>
        <w:t xml:space="preserve">El flujo de n8n (workflowN8N.json) sigue teniendo 31 nodos y está activo, coincidiendo con el Anexo C.</w:t>
      </w:r>
    </w:p>
    <w:p>
      <w:pPr>
        <w:pStyle w:val="ListParagraph"/>
        <w:numPr>
          <w:ilvl w:val="0"/>
          <w:numId w:val="1"/>
        </w:numPr>
        <w:spacing w:after="100" w:line="276"/>
      </w:pPr>
      <w:r>
        <w:rPr>
          <w:rFonts w:ascii="Calibri" w:cs="Calibri" w:eastAsia="Calibri" w:hAnsi="Calibri"/>
          <w:sz w:val="22"/>
          <w:szCs w:val="22"/>
        </w:rPr>
        <w:t xml:space="preserve">La suite de pruebas creció a 30 tests en 5 clases (antes 28 en 6 clases), incluyendo los dos tests nuevos que el texto menciona explícitamente: confirmarEstadoDosVecesNoDescuentaStockDosVeces y agregarMismoProductoDosVecesAcumulaMasDe10Y... — ambos presentes y verificados en el código.</w:t>
      </w:r>
    </w:p>
    <w:p>
      <w:pPr>
        <w:spacing w:after="160" w:line="276"/>
      </w:pPr>
      <w:r>
        <w:rPr>
          <w:rFonts w:ascii="Calibri" w:cs="Calibri" w:eastAsia="Calibri" w:hAnsi="Calibri"/>
          <w:b w:val="false"/>
          <w:bCs w:val="false"/>
          <w:i w:val="false"/>
          <w:iCs w:val="false"/>
          <w:sz w:val="22"/>
          <w:szCs w:val="22"/>
        </w:rPr>
        <w:t xml:space="preserve">No se encontró ningún caso en el que el código contradijera lo que el texto afirma sobre él. Esto es un cambio cualitativo respecto de la auditoría anterior, que había encontrado cuatro contradicciones verificadas entre documento y artefacto (C13 a C17 más C14): ninguna de ellas persiste en v12.</w:t>
      </w:r>
    </w:p>
    <w:p>
      <w:pPr>
        <w:pStyle w:val="Heading2"/>
        <w:spacing w:after="140" w:before="260"/>
      </w:pPr>
      <w:r>
        <w:t xml:space="preserve">3.3 Deuda técnica menor que sigue sin resolverse</w:t>
      </w:r>
    </w:p>
    <w:p>
      <w:pPr>
        <w:spacing w:after="160" w:line="276"/>
      </w:pPr>
      <w:r>
        <w:rPr>
          <w:rFonts w:ascii="Calibri" w:cs="Calibri" w:eastAsia="Calibri" w:hAnsi="Calibri"/>
          <w:b w:val="false"/>
          <w:bCs w:val="false"/>
          <w:i w:val="false"/>
          <w:iCs w:val="false"/>
          <w:sz w:val="22"/>
          <w:szCs w:val="22"/>
        </w:rPr>
        <w:t xml:space="preserve">Tres observaciones de severidad baja de la auditoría anterior no fueron abordadas y siguen presentes en schema.sql, sin que el texto lo mencione:</w:t>
      </w:r>
    </w:p>
    <w:p>
      <w:pPr>
        <w:pStyle w:val="ListParagraph"/>
        <w:numPr>
          <w:ilvl w:val="0"/>
          <w:numId w:val="1"/>
        </w:numPr>
        <w:spacing w:after="100" w:line="276"/>
      </w:pPr>
      <w:r>
        <w:rPr>
          <w:rFonts w:ascii="Calibri" w:cs="Calibri" w:eastAsia="Calibri" w:hAnsi="Calibri"/>
          <w:sz w:val="22"/>
          <w:szCs w:val="22"/>
        </w:rPr>
        <w:t xml:space="preserve">pedidos.fecha_hora sigue siendo VARCHAR(255) en lugar de un tipo de fecha/hora nativo.</w:t>
      </w:r>
    </w:p>
    <w:p>
      <w:pPr>
        <w:pStyle w:val="ListParagraph"/>
        <w:numPr>
          <w:ilvl w:val="0"/>
          <w:numId w:val="1"/>
        </w:numPr>
        <w:spacing w:after="100" w:line="276"/>
      </w:pPr>
      <w:r>
        <w:rPr>
          <w:rFonts w:ascii="Calibri" w:cs="Calibri" w:eastAsia="Calibri" w:hAnsi="Calibri"/>
          <w:sz w:val="22"/>
          <w:szCs w:val="22"/>
        </w:rPr>
        <w:t xml:space="preserve">precio, subtotal y total siguen siendo DOUBLE (punto flotante binario) en lugar de un tipo decimal exacto.</w:t>
      </w:r>
    </w:p>
    <w:p>
      <w:pPr>
        <w:pStyle w:val="ListParagraph"/>
        <w:numPr>
          <w:ilvl w:val="0"/>
          <w:numId w:val="1"/>
        </w:numPr>
        <w:spacing w:after="100" w:line="276"/>
      </w:pPr>
      <w:r>
        <w:rPr>
          <w:rFonts w:ascii="Calibri" w:cs="Calibri" w:eastAsia="Calibri" w:hAnsi="Calibri"/>
          <w:sz w:val="22"/>
          <w:szCs w:val="22"/>
        </w:rPr>
        <w:t xml:space="preserve">usuarios.telefono sigue siendo BIGINT NOT NULL, que no admite ceros iniciales ni prefijo internacional.</w:t>
      </w:r>
    </w:p>
    <w:p>
      <w:pPr>
        <w:spacing w:after="160" w:line="276"/>
      </w:pPr>
      <w:r>
        <w:rPr>
          <w:rFonts w:ascii="Calibri" w:cs="Calibri" w:eastAsia="Calibri" w:hAnsi="Calibri"/>
          <w:b w:val="false"/>
          <w:bCs w:val="false"/>
          <w:i w:val="false"/>
          <w:iCs w:val="false"/>
          <w:sz w:val="22"/>
          <w:szCs w:val="22"/>
        </w:rPr>
        <w:t xml:space="preserve">Ninguna de las tres es crítica para la defensa, pero conviene que el equipo las tenga presentes si el sistema avanza hacia una implementación real, dado que el propio trabajo declara esa validación de campo como línea de continuidad prioritaria.</w:t>
      </w:r>
    </w:p>
    <w:p>
      <w:pPr>
        <w:pStyle w:val="Heading1"/>
        <w:spacing w:after="180" w:before="360"/>
      </w:pPr>
      <w:r>
        <w:t xml:space="preserve">4. Hallazgos nuevos de esta auditoría</w:t>
      </w:r>
    </w:p>
    <w:p>
      <w:pPr>
        <w:pStyle w:val="Heading2"/>
        <w:spacing w:after="140" w:before="260"/>
      </w:pPr>
      <w:r>
        <w:t xml:space="preserve">4.1 [Alto] Evidencia de video pendiente de publicar</w:t>
      </w:r>
    </w:p>
    <w:p>
      <w:pPr>
        <w:spacing w:after="160" w:line="276"/>
      </w:pPr>
      <w:r>
        <w:rPr>
          <w:rFonts w:ascii="Calibri" w:cs="Calibri" w:eastAsia="Calibri" w:hAnsi="Calibri"/>
          <w:b w:val="false"/>
          <w:bCs w:val="false"/>
          <w:i w:val="false"/>
          <w:iCs w:val="false"/>
          <w:sz w:val="22"/>
          <w:szCs w:val="22"/>
        </w:rPr>
        <w:t xml:space="preserve">La hoja Metadatos_corrida del Anexo A —que no forma parte del cuerpo del informe y que un lector no tiene motivo para abrir a menos que audite los datos crudos— declara textualmente en el campo "enlace público a los videos (Drive)": "PENDIENTE: subir video_pretest.mov y video_postest.mov y pegar el enlace aca antes de la entrega". La Sección 3.5 del cuerpo del informe presenta la grabación de pantalla con el reloj visible como el instrumento único y consistente que sostiene toda la medición de TPP, la única variable para la que H1 se contrasta formalmente. Mientras ese enlace no se publique, el tribunal no tiene forma de verificar independientemente los 40 tiempos de inicio y fin que sostienen la Tabla 5.1, más allá de su consistencia interna (que esta auditoría sí pudo verificar) y de que el análisis estadístico se reproduce al dígito a partir de esos tiempos. Se recomienda publicar el enlace antes de la entrega definitiva; es la única acción pendiente que esta auditoría considera necesaria antes de la defensa.</w:t>
      </w:r>
    </w:p>
    <w:p>
      <w:pPr>
        <w:pStyle w:val="Heading2"/>
        <w:spacing w:after="140" w:before="260"/>
      </w:pPr>
      <w:r>
        <w:t xml:space="preserve">4.2 [Menor] Hash de commit no localizable en el historial del repositorio</w:t>
      </w:r>
    </w:p>
    <w:p>
      <w:pPr>
        <w:spacing w:after="160" w:line="276"/>
      </w:pPr>
      <w:r>
        <w:rPr>
          <w:rFonts w:ascii="Calibri" w:cs="Calibri" w:eastAsia="Calibri" w:hAnsi="Calibri"/>
          <w:b w:val="false"/>
          <w:bCs w:val="false"/>
          <w:i w:val="false"/>
          <w:iCs w:val="false"/>
          <w:sz w:val="22"/>
          <w:szCs w:val="22"/>
        </w:rPr>
        <w:t xml:space="preserve">La misma hoja Metadatos_corrida indica que la corrida se ejecutó sobre el commit 911e07d "+ cambios locales posteriores no commiteados". Ese hash no aparece en el historial de los 25 commits del repositorio (ni como commit alcanzable ni como referencia colgante). Es plausible que corresponda a un estado de trabajo local que nunca se subió, pero como está escrito no es trazable. No afecta la validez de los resultados —el estado final del código sí es verificable y coincide con lo declarado— pero conviene que el equipo lo aclare o lo corrija.</w:t>
      </w:r>
    </w:p>
    <w:p>
      <w:pPr>
        <w:pStyle w:val="Heading2"/>
        <w:spacing w:after="140" w:before="260"/>
      </w:pPr>
      <w:r>
        <w:t xml:space="preserve">4.3 [Menor] Bibliografía: mejora de actualización parcial, no completa</w:t>
      </w:r>
    </w:p>
    <w:p>
      <w:pPr>
        <w:spacing w:after="160" w:line="276"/>
      </w:pPr>
      <w:r>
        <w:rPr>
          <w:rFonts w:ascii="Calibri" w:cs="Calibri" w:eastAsia="Calibri" w:hAnsi="Calibri"/>
          <w:b w:val="false"/>
          <w:bCs w:val="false"/>
          <w:i w:val="false"/>
          <w:iCs w:val="false"/>
          <w:sz w:val="22"/>
          <w:szCs w:val="22"/>
        </w:rPr>
        <w:t xml:space="preserve">La auditoría anterior recomendaba incorporar entre 6 y 8 artículos arbitrados de 2022–2026. Se incorporaron 4 (Bogner, Kotstein y Pfaff, 2023; Fritsch, 2024; Parra-Sanchez y Talero-Sarmiento, 2024; Li et al., 2026), todos verificados como existentes y correctamente caracterizados por esta auditoría. Esto mejora sensiblemente la actualización bibliográfica respecto de v11, pero queda por debajo del rango recomendado; no es un defecto que amerite corrección obligatoria, pero el tribunal podría preguntarlo.</w:t>
      </w:r>
    </w:p>
    <w:p>
      <w:pPr>
        <w:pStyle w:val="Heading2"/>
        <w:spacing w:after="140" w:before="260"/>
      </w:pPr>
      <w:r>
        <w:t xml:space="preserve">4.4 [Menor] Cifra de reducción de TPP por debajo del umbral hipotetizado</w:t>
      </w:r>
    </w:p>
    <w:p>
      <w:pPr>
        <w:spacing w:after="160" w:line="276"/>
      </w:pPr>
      <w:r>
        <w:rPr>
          <w:rFonts w:ascii="Calibri" w:cs="Calibri" w:eastAsia="Calibri" w:hAnsi="Calibri"/>
          <w:b w:val="false"/>
          <w:bCs w:val="false"/>
          <w:i w:val="false"/>
          <w:iCs w:val="false"/>
          <w:sz w:val="22"/>
          <w:szCs w:val="22"/>
        </w:rPr>
        <w:t xml:space="preserve">Este no es un defecto de la tesis sino un cambio en el resultado sustantivo que el tribunal debe tener presente: la reducción de TPP observada (34,9%–35,9%) ya no supera el umbral del 50% fijado en H1. El trabajo lo reconoce sin ambigüedad en el Resumen, en el Capítulo 5 y en las Conclusiones, y sostiene correctamente que el resultado es, aun así, estadísticamente significativo y de tamaño de efecto grande. Esta auditoría coincide con esa lectura: un efecto real y robusto que no alcanza el umbral optimista fijado a priori es un resultado válido y no debería penalizarse como si fuera un error metodológico.</w:t>
      </w:r>
    </w:p>
    <w:p>
      <w:pPr>
        <w:pStyle w:val="Heading1"/>
        <w:spacing w:after="180" w:before="360"/>
      </w:pPr>
      <w:r>
        <w:t xml:space="preserve">5. Escritura y forma</w:t>
      </w:r>
    </w:p>
    <w:p>
      <w:pPr>
        <w:spacing w:after="160" w:line="276"/>
      </w:pPr>
      <w:r>
        <w:rPr>
          <w:rFonts w:ascii="Calibri" w:cs="Calibri" w:eastAsia="Calibri" w:hAnsi="Calibri"/>
          <w:b w:val="false"/>
          <w:bCs w:val="false"/>
          <w:i w:val="false"/>
          <w:iCs w:val="false"/>
          <w:sz w:val="22"/>
          <w:szCs w:val="22"/>
        </w:rPr>
        <w:t xml:space="preserve">Se midió el cuerpo del informe (Capítulos 1 a 7) con el mismo criterio que la auditoría anterior. La extensión promedio de oración bajó de 42,3 a 28,3 palabras (mediana: de 37 a 27), y la proporción de oraciones de más de 40 palabras bajó de 45,1% a 12,1%. Es una mejora sustancial y consistente con la recomendación de la Etapa 5 de la auditoría anterior (dividir oraciones de más de una idea).</w:t>
      </w:r>
    </w:p>
    <w:p>
      <w:pPr>
        <w:spacing w:after="160" w:line="276"/>
      </w:pPr>
      <w:r>
        <w:rPr>
          <w:rFonts w:ascii="Calibri" w:cs="Calibri" w:eastAsia="Calibri" w:hAnsi="Calibri"/>
          <w:b w:val="false"/>
          <w:bCs w:val="false"/>
          <w:i w:val="false"/>
          <w:iCs w:val="false"/>
          <w:sz w:val="22"/>
          <w:szCs w:val="22"/>
        </w:rPr>
        <w:t xml:space="preserve">La numeración de páginas, ausente en v11 pese a que el índice publicaba números, ahora está presente en las 48 páginas. El índice incluye las subsecciones que antes faltaban. Las referencias bibliográficas ahora usan sangría francesa y cursivas de forma consistente (verificado visualmente sobre la página de referencias), y el uso de "y"/"&amp;" se unificó en "y" en todo el documento. Se incorporaron dos figuras nuevas en el Capítulo 5 (diagrama de cajas de TPP y diferencias pareadas por escenario) y un diagrama de clases UML en el Capítulo 4, atendiendo la recomendación de no dejar el capítulo de resultados sin apoyo visual.</w:t>
      </w:r>
    </w:p>
    <w:p>
      <w:pPr>
        <w:spacing w:after="160" w:line="276"/>
      </w:pPr>
      <w:r>
        <w:rPr>
          <w:rFonts w:ascii="Calibri" w:cs="Calibri" w:eastAsia="Calibri" w:hAnsi="Calibri"/>
          <w:b w:val="false"/>
          <w:bCs w:val="false"/>
          <w:i w:val="false"/>
          <w:iCs w:val="false"/>
          <w:sz w:val="22"/>
          <w:szCs w:val="22"/>
        </w:rPr>
        <w:t xml:space="preserve">Los metadatos del archivo entregado ahora declaran correctamente "Microsoft Word - Informe_Tesis_v12.docx", resolviendo la inconsistencia de nombre de archivo/metadatos señalada en la auditoría anterior.</w:t>
      </w:r>
    </w:p>
    <w:p>
      <w:pPr>
        <w:pStyle w:val="Heading1"/>
        <w:spacing w:after="180" w:before="360"/>
      </w:pPr>
      <w:r>
        <w:t xml:space="preserve">6. Calificación por capítulo y global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Capítulo</w:t>
            </w:r>
          </w:p>
        </w:tc>
        <w:tc>
          <w:tcPr>
            <w:tcW w:type="pct" w:w="13%"/>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Puntaje v11</w:t>
            </w:r>
          </w:p>
        </w:tc>
        <w:tc>
          <w:tcPr>
            <w:tcW w:type="pct" w:w="13%"/>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Puntaje v12</w:t>
            </w:r>
          </w:p>
        </w:tc>
        <w:tc>
          <w:tcPr>
            <w:tcW w:type="pct" w:w="52%"/>
            <w:shd w:fill="2F549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Motivo principal del cambio</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20"/>
                <w:szCs w:val="20"/>
              </w:rPr>
              <w:t xml:space="preserve">1. Introducción</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6,0</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pct" w:w="52%"/>
            <w:tcMar>
              <w:top w:type="dxa" w:w="80"/>
              <w:left w:type="dxa" w:w="100"/>
              <w:bottom w:type="dxa" w:w="80"/>
              <w:right w:type="dxa" w:w="100"/>
            </w:tcMar>
            <w:vAlign w:val="center"/>
          </w:tcPr>
          <w:p>
            <w:r>
              <w:rPr>
                <w:rFonts w:ascii="Calibri" w:cs="Calibri" w:eastAsia="Calibri" w:hAnsi="Calibri"/>
                <w:b w:val="false"/>
                <w:bCs w:val="false"/>
                <w:sz w:val="20"/>
                <w:szCs w:val="20"/>
              </w:rPr>
              <w:t xml:space="preserve">Hipótesis simplificada y falsable sin calificaciones; cita de PyMEs corregida (CEPAL en vez de OCDE mal atribuida).</w:t>
            </w:r>
          </w:p>
        </w:tc>
      </w:tr>
      <w:tr>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2. Marco teórico</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5,0</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7,5</w:t>
            </w:r>
          </w:p>
        </w:tc>
        <w:tc>
          <w:tcPr>
            <w:tcW w:type="pct" w:w="5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Cero misatribuciones (antes 2) y cero fuentes incorrectas (antes 2); bibliografía más actualizada, aunque no al máximo recomendado.</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20"/>
                <w:szCs w:val="20"/>
              </w:rPr>
              <w:t xml:space="preserve">3. Marco metodológico</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4,5</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pct" w:w="52%"/>
            <w:tcMar>
              <w:top w:type="dxa" w:w="80"/>
              <w:left w:type="dxa" w:w="100"/>
              <w:bottom w:type="dxa" w:w="80"/>
              <w:right w:type="dxa" w:w="100"/>
            </w:tcMar>
            <w:vAlign w:val="center"/>
          </w:tcPr>
          <w:p>
            <w:r>
              <w:rPr>
                <w:rFonts w:ascii="Calibri" w:cs="Calibri" w:eastAsia="Calibri" w:hAnsi="Calibri"/>
                <w:b w:val="false"/>
                <w:bCs w:val="false"/>
                <w:sz w:val="20"/>
                <w:szCs w:val="20"/>
              </w:rPr>
              <w:t xml:space="preserve">Re-ejecución completa con protocolo consistente con los datos; instrumento único para TPP; auditoría NAS sobre el catálogo completo.</w:t>
            </w:r>
          </w:p>
        </w:tc>
      </w:tr>
      <w:tr>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4. Desarrollo</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5,2</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8,3</w:t>
            </w:r>
          </w:p>
        </w:tc>
        <w:tc>
          <w:tcPr>
            <w:tcW w:type="pct" w:w="5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Cuatro contradicciones documento-código resueltas; defecto de concurrencia real encontrado y corregido; separación de credenciales dev/prod.</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20"/>
                <w:szCs w:val="20"/>
              </w:rPr>
              <w:t xml:space="preserve">5. Resultados</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4,0</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7,5</w:t>
            </w:r>
          </w:p>
        </w:tc>
        <w:tc>
          <w:tcPr>
            <w:tcW w:type="pct" w:w="52%"/>
            <w:tcMar>
              <w:top w:type="dxa" w:w="80"/>
              <w:left w:type="dxa" w:w="100"/>
              <w:bottom w:type="dxa" w:w="80"/>
              <w:right w:type="dxa" w:w="100"/>
            </w:tcMar>
            <w:vAlign w:val="center"/>
          </w:tcPr>
          <w:p>
            <w:r>
              <w:rPr>
                <w:rFonts w:ascii="Calibri" w:cs="Calibri" w:eastAsia="Calibri" w:hAnsi="Calibri"/>
                <w:b w:val="false"/>
                <w:bCs w:val="false"/>
                <w:sz w:val="20"/>
                <w:szCs w:val="20"/>
              </w:rPr>
              <w:t xml:space="preserve">Estadística reproducible y verificada de forma independiente; contraste correcto para TED (McNemar); pendiente la publicación de los videos.</w:t>
            </w:r>
          </w:p>
        </w:tc>
      </w:tr>
      <w:tr>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6. Discusión</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5,5</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pct" w:w="5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Explicación causal de NAS corregida y consistente con el código; interpretación honesta de un resultado por debajo del umbral.</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20"/>
                <w:szCs w:val="20"/>
              </w:rPr>
              <w:t xml:space="preserve">7. Conclusiones</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5,0</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pct" w:w="52%"/>
            <w:tcMar>
              <w:top w:type="dxa" w:w="80"/>
              <w:left w:type="dxa" w:w="100"/>
              <w:bottom w:type="dxa" w:w="80"/>
              <w:right w:type="dxa" w:w="100"/>
            </w:tcMar>
            <w:vAlign w:val="center"/>
          </w:tcPr>
          <w:p>
            <w:r>
              <w:rPr>
                <w:rFonts w:ascii="Calibri" w:cs="Calibri" w:eastAsia="Calibri" w:hAnsi="Calibri"/>
                <w:b w:val="false"/>
                <w:bCs w:val="false"/>
                <w:sz w:val="20"/>
                <w:szCs w:val="20"/>
              </w:rPr>
              <w:t xml:space="preserve">OE6 alcanzado de forma completa y honesta; coherencia plena con los resultados del Capítulo 5.</w:t>
            </w:r>
          </w:p>
        </w:tc>
      </w:tr>
      <w:tr>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Referencias</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5,5</w:t>
            </w:r>
          </w:p>
        </w:tc>
        <w:tc>
          <w:tcPr>
            <w:tcW w:type="pct" w:w="13%"/>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8,5</w:t>
            </w:r>
          </w:p>
        </w:tc>
        <w:tc>
          <w:tcPr>
            <w:tcW w:type="pct" w:w="52%"/>
            <w:shd w:fill="F2F2F2"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Cero misatribuciones; cumplimiento APA completo (sangría e itálicas); actualización parcial.</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20"/>
                <w:szCs w:val="20"/>
              </w:rPr>
              <w:t xml:space="preserve">Anexos</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5,0</w:t>
            </w:r>
          </w:p>
        </w:tc>
        <w:tc>
          <w:tcPr>
            <w:tcW w:type="pct" w:w="13%"/>
            <w:tcMar>
              <w:top w:type="dxa" w:w="80"/>
              <w:left w:type="dxa" w:w="100"/>
              <w:bottom w:type="dxa" w:w="80"/>
              <w:right w:type="dxa" w:w="100"/>
            </w:tcMar>
            <w:vAlign w:val="center"/>
          </w:tcPr>
          <w:p>
            <w:r>
              <w:rPr>
                <w:rFonts w:ascii="Calibri" w:cs="Calibri" w:eastAsia="Calibri" w:hAnsi="Calibri"/>
                <w:b w:val="false"/>
                <w:bCs w:val="false"/>
                <w:sz w:val="20"/>
                <w:szCs w:val="20"/>
              </w:rPr>
              <w:t xml:space="preserve">7,0</w:t>
            </w:r>
          </w:p>
        </w:tc>
        <w:tc>
          <w:tcPr>
            <w:tcW w:type="pct" w:w="52%"/>
            <w:tcMar>
              <w:top w:type="dxa" w:w="80"/>
              <w:left w:type="dxa" w:w="100"/>
              <w:bottom w:type="dxa" w:w="80"/>
              <w:right w:type="dxa" w:w="100"/>
            </w:tcMar>
            <w:vAlign w:val="center"/>
          </w:tcPr>
          <w:p>
            <w:r>
              <w:rPr>
                <w:rFonts w:ascii="Calibri" w:cs="Calibri" w:eastAsia="Calibri" w:hAnsi="Calibri"/>
                <w:b w:val="false"/>
                <w:bCs w:val="false"/>
                <w:sz w:val="20"/>
                <w:szCs w:val="20"/>
              </w:rPr>
              <w:t xml:space="preserve">Dos hojas nuevas (Warmup, Metadatos_corrida) y trazabilidad completa, incluida la documentación del primer intento fallido; penalizado por los videos pendientes.</w:t>
            </w:r>
          </w:p>
        </w:tc>
      </w:tr>
    </w:tbl>
    <w:p>
      <w:pPr>
        <w:spacing w:after="160" w:line="276"/>
      </w:pPr>
      <w:r>
        <w:rPr>
          <w:rFonts w:ascii="Calibri" w:cs="Calibri" w:eastAsia="Calibri" w:hAnsi="Calibri"/>
          <w:b w:val="false"/>
          <w:bCs w:val="false"/>
          <w:i w:val="false"/>
          <w:iCs w:val="false"/>
          <w:sz w:val="22"/>
          <w:szCs w:val="22"/>
        </w:rPr>
        <w:t xml:space="preserve">Promedio ponderado con los mismos pesos por capítulo que la auditoría anterior: 7,9 / 10.</w:t>
      </w:r>
    </w:p>
    <w:p>
      <w:pPr>
        <w:pStyle w:val="Heading1"/>
        <w:spacing w:after="180" w:before="360"/>
      </w:pPr>
      <w:r>
        <w:t xml:space="preserve">7. Dictamen</w:t>
      </w:r>
    </w:p>
    <w:p>
      <w:pPr>
        <w:spacing w:after="160" w:line="276"/>
      </w:pPr>
      <w:r>
        <w:rPr>
          <w:rFonts w:ascii="Calibri" w:cs="Calibri" w:eastAsia="Calibri" w:hAnsi="Calibri"/>
          <w:b/>
          <w:bCs/>
          <w:i w:val="false"/>
          <w:iCs w:val="false"/>
          <w:sz w:val="22"/>
          <w:szCs w:val="22"/>
        </w:rPr>
        <w:t xml:space="preserve">APROBADA CON OBSERVACIONES MENORES — 7,9 / 10</w:t>
      </w:r>
    </w:p>
    <w:p>
      <w:pPr>
        <w:spacing w:after="160" w:line="276"/>
      </w:pPr>
      <w:r>
        <w:rPr>
          <w:rFonts w:ascii="Calibri" w:cs="Calibri" w:eastAsia="Calibri" w:hAnsi="Calibri"/>
          <w:b w:val="false"/>
          <w:bCs w:val="false"/>
          <w:i w:val="false"/>
          <w:iCs w:val="false"/>
          <w:sz w:val="22"/>
          <w:szCs w:val="22"/>
        </w:rPr>
        <w:t xml:space="preserve">El trabajo puede defenderse en su estado actual, condicionado a que el equipo publique el enlace a los videos de pantalla mencionados en la Sección 4.1 antes de la entrega definitiva. Ese es el único punto que esta auditoría considera necesario resolver; el resto de las observaciones (Secciones 3.3, 4.2 y 4.3) son mejoras deseables, no condiciones para la defensa.</w:t>
      </w:r>
    </w:p>
    <w:p>
      <w:pPr>
        <w:spacing w:after="160" w:line="276"/>
      </w:pPr>
      <w:r>
        <w:rPr>
          <w:rFonts w:ascii="Calibri" w:cs="Calibri" w:eastAsia="Calibri" w:hAnsi="Calibri"/>
          <w:b w:val="false"/>
          <w:bCs w:val="false"/>
          <w:i w:val="false"/>
          <w:iCs w:val="false"/>
          <w:sz w:val="22"/>
          <w:szCs w:val="22"/>
        </w:rPr>
        <w:t xml:space="preserve">La diferencia con el dictamen anterior no es cosmética. La auditoría de v11 había encontrado que el núcleo empírico del trabajo estaba parcialmente comprometido: un protocolo temporal que los propios datos contradecían, una variable (NAS) cuyos conteos no eran reconstruibles, y una explicación causal que el código desmentía. Los tres problemas se resolvieron mediante el mismo camino que aquella auditoría recomendaba como más costoso pero más honesto: volver a operar el sistema y remedir, en lugar de reescribir el documento alrededor de los datos existentes. El hallazgo de un defecto de concurrencia real durante esa re-ejecución, y su corrección documentada con un test de regresión, es evidencia adicional de que el proceso fue genuino.</w:t>
      </w:r>
    </w:p>
    <w:p>
      <w:pPr>
        <w:spacing w:after="160" w:line="276"/>
      </w:pPr>
      <w:r>
        <w:rPr>
          <w:rFonts w:ascii="Calibri" w:cs="Calibri" w:eastAsia="Calibri" w:hAnsi="Calibri"/>
          <w:b w:val="false"/>
          <w:bCs w:val="false"/>
          <w:i w:val="false"/>
          <w:iCs w:val="false"/>
          <w:sz w:val="22"/>
          <w:szCs w:val="22"/>
        </w:rPr>
        <w:t xml:space="preserve">Se reitera la observación de la auditoría anterior, todavía vigente: la transparencia de este trabajo —repositorio público, datos crudos públicos, script reproducible, y ahora también la documentación del primer intento fallido de re-ejecución— es la razón por la que esta auditoría pudo verificar tanto lo corregido como lo pendiente. Esa transparencia no debe revertirse; publicar los videos pendientes es una continuación de la misma práctica, no una carga adicional.</w:t>
      </w:r>
    </w:p>
    <w:p>
      <w:pPr>
        <w:pStyle w:val="Heading1"/>
        <w:spacing w:after="180" w:before="360"/>
      </w:pPr>
      <w:r>
        <w:t xml:space="preserve">8. Preguntas previsibles del tribunal</w:t>
      </w:r>
    </w:p>
    <w:p>
      <w:pPr>
        <w:pStyle w:val="ListParagraph"/>
        <w:numPr>
          <w:ilvl w:val="0"/>
          <w:numId w:val="1"/>
        </w:numPr>
        <w:spacing w:after="100" w:line="276"/>
      </w:pPr>
      <w:r>
        <w:rPr>
          <w:rFonts w:ascii="Calibri" w:cs="Calibri" w:eastAsia="Calibri" w:hAnsi="Calibri"/>
          <w:sz w:val="22"/>
          <w:szCs w:val="22"/>
        </w:rPr>
        <w:t xml:space="preserve">¿Cuándo se publicará el enlace a los videos de pantalla del pretest y del postest mencionados en el Anexo A?</w:t>
      </w:r>
    </w:p>
    <w:p>
      <w:pPr>
        <w:pStyle w:val="ListParagraph"/>
        <w:numPr>
          <w:ilvl w:val="0"/>
          <w:numId w:val="1"/>
        </w:numPr>
        <w:spacing w:after="100" w:line="276"/>
      </w:pPr>
      <w:r>
        <w:rPr>
          <w:rFonts w:ascii="Calibri" w:cs="Calibri" w:eastAsia="Calibri" w:hAnsi="Calibri"/>
          <w:sz w:val="22"/>
          <w:szCs w:val="22"/>
        </w:rPr>
        <w:t xml:space="preserve">La reducción observada en TPP (34,9%–35,9%) no alcanza el 50% hipotetizado en H1. ¿Cómo interpretan este resultado a la luz del objetivo general del trabajo?</w:t>
      </w:r>
    </w:p>
    <w:p>
      <w:pPr>
        <w:pStyle w:val="ListParagraph"/>
        <w:numPr>
          <w:ilvl w:val="0"/>
          <w:numId w:val="1"/>
        </w:numPr>
        <w:spacing w:after="100" w:line="276"/>
      </w:pPr>
      <w:r>
        <w:rPr>
          <w:rFonts w:ascii="Calibri" w:cs="Calibri" w:eastAsia="Calibri" w:hAnsi="Calibri"/>
          <w:sz w:val="22"/>
          <w:szCs w:val="22"/>
        </w:rPr>
        <w:t xml:space="preserve">El defecto de concurrencia en la confirmación de pedidos se descubrió durante la re-ejecución del experimento. ¿Habría pasado inadvertido en una implementación real sin ese proceso de auditoría?</w:t>
      </w:r>
    </w:p>
    <w:p>
      <w:pPr>
        <w:pStyle w:val="ListParagraph"/>
        <w:numPr>
          <w:ilvl w:val="0"/>
          <w:numId w:val="1"/>
        </w:numPr>
        <w:spacing w:after="100" w:line="276"/>
      </w:pPr>
      <w:r>
        <w:rPr>
          <w:rFonts w:ascii="Calibri" w:cs="Calibri" w:eastAsia="Calibri" w:hAnsi="Calibri"/>
          <w:sz w:val="22"/>
          <w:szCs w:val="22"/>
        </w:rPr>
        <w:t xml:space="preserve">TED y NAS no mostraron diferencia entre condiciones en esta corrida. ¿Qué evidencia haría falta para sostener, en una validación de campo, que la automatización sí mejora estos dos indicadores?</w:t>
      </w:r>
    </w:p>
    <w:p>
      <w:pPr>
        <w:pStyle w:val="ListParagraph"/>
        <w:numPr>
          <w:ilvl w:val="0"/>
          <w:numId w:val="1"/>
        </w:numPr>
        <w:spacing w:after="100" w:line="276"/>
      </w:pPr>
      <w:r>
        <w:rPr>
          <w:rFonts w:ascii="Calibri" w:cs="Calibri" w:eastAsia="Calibri" w:hAnsi="Calibri"/>
          <w:sz w:val="22"/>
          <w:szCs w:val="22"/>
        </w:rPr>
        <w:t xml:space="preserve">El commit 911e07d referido en Metadatos_corrida no aparece en el historial del repositorio. ¿A qué corresponde?</w:t>
      </w:r>
    </w:p>
    <w:p>
      <w:pPr>
        <w:pStyle w:val="ListParagraph"/>
        <w:numPr>
          <w:ilvl w:val="0"/>
          <w:numId w:val="1"/>
        </w:numPr>
        <w:spacing w:after="100" w:line="276"/>
      </w:pPr>
      <w:r>
        <w:rPr>
          <w:rFonts w:ascii="Calibri" w:cs="Calibri" w:eastAsia="Calibri" w:hAnsi="Calibri"/>
          <w:sz w:val="22"/>
          <w:szCs w:val="22"/>
        </w:rPr>
        <w:t xml:space="preserve">fecha_hora sigue almacenándose como VARCHAR y los importes como DOUBLE. ¿Hay planes de migrar estos tipos antes de una eventual implementación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2026-09-14T23:02:50.901Z</dcterms:created>
  <dcterms:modified xsi:type="dcterms:W3CDTF">2026-09-14T23:02:50.902Z</dcterms:modified>
</cp:coreProperties>
</file>

<file path=docProps/custom.xml><?xml version="1.0" encoding="utf-8"?>
<Properties xmlns="http://schemas.openxmlformats.org/officeDocument/2006/custom-properties" xmlns:vt="http://schemas.openxmlformats.org/officeDocument/2006/docPropsVTypes"/>
</file>