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real</w:t>
            </w:r>
            }
            <w:r>
              <w:rPr>
                <w:rFonts w:ascii="Calibri" w:hAnsi="Calibri"/>
                <w:sz w:val="20"/>
              </w:rPr>
              <w:t xml:space="preserve"> = 1.0</w:t>
            </w:r>
            \line 
            <w:r>
              <w:rPr>
                <w:rFonts w:ascii="Calibri" w:hAnsi="Calibri"/>
                <w:sz w:val="20"/>
              </w:rPr>
              <w:t xml:space="preserve">(No effect)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real</w:t>
            </w:r>
            }
            <w:r>
              <w:rPr>
                <w:rFonts w:ascii="Calibri" w:hAnsi="Calibri"/>
                <w:sz w:val="20"/>
              </w:rPr>
              <w:t xml:space="preserve"> = 2.0</w:t>
            </w:r>
            \line 
            <w:r>
              <w:rPr>
                <w:rFonts w:ascii="Calibri" w:hAnsi="Calibri"/>
                <w:sz w:val="20"/>
              </w:rPr>
              <w:t xml:space="preserve">(Double the risk)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real</w:t>
            </w:r>
            }
            <w:r>
              <w:rPr>
                <w:rFonts w:ascii="Calibri" w:hAnsi="Calibri"/>
                <w:sz w:val="20"/>
              </w:rPr>
              <w:t xml:space="preserve"> = 3.38</w:t>
            </w:r>
            \line 
            <w:r>
              <w:rPr>
                <w:rFonts w:ascii="Calibri" w:hAnsi="Calibri"/>
                <w:sz w:val="20"/>
              </w:rPr>
              <w:t xml:space="preserve">(SEER males)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real</w:t>
            </w:r>
            }
            <w:r>
              <w:rPr>
                <w:rFonts w:ascii="Calibri" w:hAnsi="Calibri"/>
                <w:sz w:val="20"/>
              </w:rPr>
              <w:t xml:space="preserve"> = 4.85</w:t>
            </w:r>
            \line 
            <w:r>
              <w:rPr>
                <w:rFonts w:ascii="Calibri" w:hAnsi="Calibri"/>
                <w:sz w:val="20"/>
              </w:rPr>
              <w:t xml:space="preserve">(SEER females)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b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simIARC</w:t>
            </w:r>
            }
          </w:p>
        </w:tc>
        <w:tc>
          <w:tcPr>
            <w:tcBorders>
              <w:bottom w:val="single" w:sz="16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real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simIARC</w:t>
            </w:r>
            }
          </w:p>
        </w:tc>
        <w:tc>
          <w:tcPr>
            <w:tcBorders>
              <w:bottom w:val="single" w:sz="16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real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simIARC</w:t>
            </w:r>
            }
          </w:p>
        </w:tc>
        <w:tc>
          <w:tcPr>
            <w:tcBorders>
              <w:bottom w:val="single" w:sz="16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real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simIARC</w:t>
            </w:r>
            }
          </w:p>
        </w:tc>
        <w:tc>
          <w:tcPr>
            <w:tcBorders>
              <w:bottom w:val="single" w:sz="16" w:space="0" w:color="D3D3D3"/>
            </w:tcBorders>
          </w:tcPr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small"/>
              </w:rPr>
              <w:t xml:space="preserve">SIR</w:t>
            </w:r>
            {\sub 
            <w:r>
              <w:rPr>
                <w:rFonts w:ascii="Calibri" w:hAnsi="Calibri"/>
                <w:sz w:val="small"/>
              </w:rPr>
              <w:t xml:space="preserve">real</w:t>
            </w:r>
            }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width='50.31' height='14.17' style='stroke-width: 1.07; stroke: #A9A9A9; stroke-linecap: butt; stroke-linejoin: miter; fill: #A9A9A9;' /&gt;&lt;line x1='70.87' y1='14.17' x2='70.87' y2='0.0000000000000018' style='stroke-width: 3.20; stroke: #000000;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width='49.96' height='14.17' style='stroke-width: 1.07; stroke: #A9A9A9; stroke-linecap: butt; stroke-linejoin: miter; fill: #A9A9A9;' /&gt;&lt;line x1='70.87' y1='14.17' x2='70.87' y2='0.0000000000000018' style='stroke-width: 3.20; stroke: #000000;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width='49.97' height='14.17' style='stroke-width: 1.07; stroke: #E49100; stroke-linecap: butt; stroke-linejoin: miter; fill: #E49100;' /&gt;&lt;line x1='70.87' y1='14.17' x2='70.87' y2='0.0000000000000018' style='stroke-width: 3.20; stroke: #E49100;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width='51.73' height='14.17' style='stroke-width: 1.07; stroke: #A9A9A9; stroke-linecap: butt; stroke-linejoin: miter; fill: #A9A9A9;' /&gt;&lt;line x1='70.87' y1='14.17' x2='70.87' y2='0.0000000000000018' style='stroke-width: 3.20; stroke: #000000;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width='51.38' height='14.17' style='stroke-width: 1.07; stroke: #A9A9A9; stroke-linecap: butt; stroke-linejoin: miter; fill: #A9A9A9;' /&gt;&lt;line x1='70.87' y1='14.17' x2='70.87' y2='0.0000000000000018' style='stroke-width: 3.20; stroke: #000000;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width='70.87pt' height='14.17pt' viewBox='0 0 70.87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#D3D3D3;'/&gt;&lt;defs&gt; &lt;clipPath id='cpMC4wMHw3MC44N3wwLjAwfDE0LjE3'&gt; &lt;rect x='0.00' y='0.00' width='70.87' height='14.17' /&gt; &lt;/clipPath&gt;&lt;/defs&gt;&lt;g clip-path='url(#cpMC4wMHw3MC44N3wwLjAwfDE0LjE3)'&gt;&lt;rect x='0.00' y='0.0000000000000018' width='70.87' height='14.17' style='stroke-width: 0.75; stroke: #D3D3D3; fill: #D3D3D3;' /&gt;&lt;rect x='0.00' y='0.0000000000000018' width='51.58' height='14.17' style='stroke-width: 1.07; stroke: #3B9AB2; stroke-linecap: butt; stroke-linejoin: miter; fill: #3B9AB2;' /&gt;&lt;line x1='70.87' y1='14.17' x2='70.87' y2='0.0000000000000018' style='stroke-width: 3.20; stroke: #3B9AB2; stroke-opacity: 0.70; stroke-linecap: butt;' /&gt;&lt;line x1='0.00' y1='14.17' x2='0.00' y2='0.0000000000000018' style='stroke-width: 2.13;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  <w:r>
              <w:rPr>
                <w:rFonts w:ascii="Calibri" w:hAnsi="Calibri"/>
                <w:sz w:val="20"/>
              </w:rPr>
              <w:t xml:space="default">SIR for SPLC after LC for Males in SEER according to Thakur et al. 2018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b</w:t>
            </w:r>
            <w:r>
              <w:rPr>
                <w:rFonts w:ascii="Calibri" w:hAnsi="Calibri"/>
                <w:sz w:val="20"/>
              </w:rPr>
              <w:t xml:space="default">SIR for SPLC after LC for Females in SEER according to Thakur et al. 2018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SIR</w:t>
            </w:r>
            {\sub 
            <w:r>
              <w:rPr>
                <w:rFonts w:ascii="Calibri" w:hAnsi="Calibri"/>
                <w:sz w:val="20"/>
              </w:rPr>
              <w:t xml:space="preserve">simIARC</w:t>
            </w:r>
            }
            <w:r>
              <w:rPr>
                <w:rFonts w:ascii="Calibri" w:hAnsi="Calibri"/>
                <w:sz w:val="20"/>
              </w:rPr>
              <w:t xml:space="preserve"> simulated SIR under IARC/IACR multiple primary rules, not allowing same-histology SPLC; SIR standardized incidence ratio; PYAR person-years at risk; SPC second primary cancer; SPLC second primary lung cancer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2024-03-03T20:53:33Z</dcterms:created>
  <dcterms:modified xsi:type="dcterms:W3CDTF">2024-03-03T20:53:33Z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