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B62E0" w14:textId="77777777" w:rsidR="00724B3F" w:rsidRDefault="00000000">
      <w:pPr>
        <w:spacing w:before="400" w:after="80"/>
        <w:jc w:val="center"/>
      </w:pPr>
      <w:r>
        <w:rPr>
          <w:rFonts w:ascii="Calibri" w:eastAsia="Calibri" w:hAnsi="Calibri" w:cs="Calibri"/>
          <w:b/>
          <w:bCs/>
          <w:color w:val="1F4E79"/>
          <w:sz w:val="36"/>
          <w:szCs w:val="36"/>
        </w:rPr>
        <w:t>Financial Forecasting Project – Week 2</w:t>
      </w:r>
    </w:p>
    <w:p w14:paraId="364CEEA9" w14:textId="77777777" w:rsidR="00724B3F" w:rsidRDefault="00000000">
      <w:pPr>
        <w:spacing w:after="40"/>
        <w:jc w:val="center"/>
      </w:pPr>
      <w:r>
        <w:rPr>
          <w:rFonts w:ascii="Calibri" w:eastAsia="Calibri" w:hAnsi="Calibri" w:cs="Calibri"/>
          <w:i/>
          <w:iCs/>
          <w:color w:val="444444"/>
          <w:sz w:val="26"/>
          <w:szCs w:val="26"/>
        </w:rPr>
        <w:t>Forecasting India's GDP Using Trend and Exponential Smoothing Models</w:t>
      </w:r>
    </w:p>
    <w:p w14:paraId="641D10B9" w14:textId="4A1785E3" w:rsidR="001C0B4A" w:rsidRPr="001C0B4A" w:rsidRDefault="00000000" w:rsidP="001C0B4A">
      <w:pPr>
        <w:spacing w:after="400"/>
        <w:jc w:val="center"/>
        <w:rPr>
          <w:rFonts w:ascii="Calibri" w:eastAsia="Calibri" w:hAnsi="Calibri" w:cs="Calibri"/>
          <w:color w:val="666666"/>
        </w:rPr>
      </w:pPr>
      <w:r>
        <w:rPr>
          <w:rFonts w:ascii="Calibri" w:eastAsia="Calibri" w:hAnsi="Calibri" w:cs="Calibri"/>
          <w:color w:val="666666"/>
        </w:rPr>
        <w:t xml:space="preserve">College Financial Forecasting Course | Author: </w:t>
      </w:r>
      <w:r w:rsidR="001C0B4A" w:rsidRPr="001C0B4A">
        <w:rPr>
          <w:rFonts w:ascii="Calibri" w:eastAsia="Calibri" w:hAnsi="Calibri" w:cs="Calibri" w:hint="eastAsia"/>
          <w:color w:val="666666"/>
        </w:rPr>
        <w:t>Mari Anu M</w:t>
      </w:r>
      <w:r>
        <w:rPr>
          <w:rFonts w:ascii="Calibri" w:eastAsia="Calibri" w:hAnsi="Calibri" w:cs="Calibri"/>
          <w:color w:val="666666"/>
        </w:rPr>
        <w:t xml:space="preserve"> | Date: </w:t>
      </w:r>
      <w:r w:rsidR="001C0B4A">
        <w:rPr>
          <w:rFonts w:ascii="Calibri" w:eastAsia="Calibri" w:hAnsi="Calibri" w:cs="Calibri"/>
          <w:color w:val="666666"/>
        </w:rPr>
        <w:t>27/08/2026</w:t>
      </w:r>
    </w:p>
    <w:p w14:paraId="2365BEF8" w14:textId="77777777" w:rsidR="00724B3F" w:rsidRDefault="00000000">
      <w:pPr>
        <w:pStyle w:val="Heading1"/>
        <w:spacing w:before="320" w:after="160"/>
      </w:pPr>
      <w:r>
        <w:t>1. Introduction</w:t>
      </w:r>
    </w:p>
    <w:p w14:paraId="115C00A5" w14:textId="77777777" w:rsidR="00724B3F" w:rsidRDefault="00000000">
      <w:pPr>
        <w:spacing w:after="160" w:line="276" w:lineRule="auto"/>
      </w:pPr>
      <w:r>
        <w:rPr>
          <w:rFonts w:ascii="Calibri" w:eastAsia="Calibri" w:hAnsi="Calibri" w:cs="Calibri"/>
          <w:sz w:val="22"/>
          <w:szCs w:val="22"/>
        </w:rPr>
        <w:t>Gross Domestic Product (GDP) is the total monetary value of all final goods and services produced within a country in a given period. It is the single most widely used indicator of a nation's economic health, used by governments, investors, and businesses to guide policy, budgeting, and investment decisions.</w:t>
      </w:r>
    </w:p>
    <w:p w14:paraId="11917789" w14:textId="77777777" w:rsidR="00724B3F" w:rsidRDefault="00000000">
      <w:pPr>
        <w:spacing w:after="160" w:line="276" w:lineRule="auto"/>
      </w:pPr>
      <w:r>
        <w:rPr>
          <w:rFonts w:ascii="Calibri" w:eastAsia="Calibri" w:hAnsi="Calibri" w:cs="Calibri"/>
          <w:sz w:val="22"/>
          <w:szCs w:val="22"/>
        </w:rPr>
        <w:t>This report continues the Week 1 dataset analysis by building a simple, interpretable forecasting model for India's annual GDP. The objective is to (1) understand the historical trend and growth pattern of GDP, (2) apply an appropriate time-series forecasting technique, and (3) generate a short-term (5-year) forecast that can support academic discussion of economic planning and financial decision-making.</w:t>
      </w:r>
    </w:p>
    <w:p w14:paraId="14A38216" w14:textId="77777777" w:rsidR="00724B3F" w:rsidRDefault="00000000">
      <w:pPr>
        <w:spacing w:after="160" w:line="276" w:lineRule="auto"/>
      </w:pPr>
      <w:r>
        <w:rPr>
          <w:rFonts w:ascii="Calibri" w:eastAsia="Calibri" w:hAnsi="Calibri" w:cs="Calibri"/>
          <w:sz w:val="22"/>
          <w:szCs w:val="22"/>
        </w:rPr>
        <w:t>Data source: World Bank, World Development Indicators — file API_NY_GDP_MKTP_CD_DS2_en_csv_v2_234.csv, indicator "GDP (current US$)", series NY.GDP.MKTP.CD. The India row was extracted and restricted to 2000–2025 (26 annual observations) for this analysis.</w:t>
      </w:r>
    </w:p>
    <w:p w14:paraId="5FC24C20" w14:textId="77777777" w:rsidR="00724B3F" w:rsidRDefault="00000000">
      <w:pPr>
        <w:pStyle w:val="Heading1"/>
        <w:spacing w:before="320" w:after="160"/>
      </w:pPr>
      <w:r>
        <w:t>2. Data Description</w:t>
      </w:r>
    </w:p>
    <w:p w14:paraId="3BEF4210" w14:textId="77777777" w:rsidR="00724B3F" w:rsidRDefault="00000000">
      <w:pPr>
        <w:spacing w:after="160" w:line="276" w:lineRule="auto"/>
      </w:pPr>
      <w:r>
        <w:rPr>
          <w:rFonts w:ascii="Calibri" w:eastAsia="Calibri" w:hAnsi="Calibri" w:cs="Calibri"/>
          <w:sz w:val="22"/>
          <w:szCs w:val="22"/>
        </w:rPr>
        <w:t>The dataset consists of India's annual nominal GDP (in USD Billion, converted from the source current-US-dollar figures) for 26 years (2000–2025), along with the year-over-year percentage growth rate. Table 1 shows the most recent 10 years of the series.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000"/>
      </w:tblGrid>
      <w:tr w:rsidR="00724B3F" w14:paraId="19665CCE" w14:textId="77777777">
        <w:tblPrEx>
          <w:tblCellMar>
            <w:top w:w="0" w:type="dxa"/>
            <w:bottom w:w="0" w:type="dxa"/>
          </w:tblCellMar>
        </w:tblPrEx>
        <w:trPr>
          <w:tblHeader/>
        </w:trPr>
        <w:tc>
          <w:tcPr>
            <w:tcW w:w="2500" w:type="dxa"/>
            <w:shd w:val="clear" w:color="auto" w:fill="1F4E79"/>
            <w:vAlign w:val="center"/>
          </w:tcPr>
          <w:p w14:paraId="64C642DE" w14:textId="77777777" w:rsidR="00724B3F" w:rsidRDefault="00000000">
            <w:pPr>
              <w:jc w:val="center"/>
            </w:pPr>
            <w:r>
              <w:rPr>
                <w:rFonts w:ascii="Calibri" w:eastAsia="Calibri" w:hAnsi="Calibri" w:cs="Calibri"/>
                <w:b/>
                <w:bCs/>
                <w:color w:val="FFFFFF"/>
              </w:rPr>
              <w:t>Year</w:t>
            </w:r>
          </w:p>
        </w:tc>
        <w:tc>
          <w:tcPr>
            <w:tcW w:w="3500" w:type="dxa"/>
            <w:shd w:val="clear" w:color="auto" w:fill="1F4E79"/>
            <w:vAlign w:val="center"/>
          </w:tcPr>
          <w:p w14:paraId="25001D6F" w14:textId="77777777" w:rsidR="00724B3F" w:rsidRDefault="00000000">
            <w:pPr>
              <w:jc w:val="center"/>
            </w:pPr>
            <w:r>
              <w:rPr>
                <w:rFonts w:ascii="Calibri" w:eastAsia="Calibri" w:hAnsi="Calibri" w:cs="Calibri"/>
                <w:b/>
                <w:bCs/>
                <w:color w:val="FFFFFF"/>
              </w:rPr>
              <w:t>GDP (USD Billion)</w:t>
            </w:r>
          </w:p>
        </w:tc>
        <w:tc>
          <w:tcPr>
            <w:tcW w:w="3000" w:type="dxa"/>
            <w:shd w:val="clear" w:color="auto" w:fill="1F4E79"/>
            <w:vAlign w:val="center"/>
          </w:tcPr>
          <w:p w14:paraId="1075FC8D" w14:textId="77777777" w:rsidR="00724B3F" w:rsidRDefault="00000000">
            <w:pPr>
              <w:jc w:val="center"/>
            </w:pPr>
            <w:r>
              <w:rPr>
                <w:rFonts w:ascii="Calibri" w:eastAsia="Calibri" w:hAnsi="Calibri" w:cs="Calibri"/>
                <w:b/>
                <w:bCs/>
                <w:color w:val="FFFFFF"/>
              </w:rPr>
              <w:t>Growth (%)</w:t>
            </w:r>
          </w:p>
        </w:tc>
      </w:tr>
      <w:tr w:rsidR="00724B3F" w14:paraId="6D0586A5" w14:textId="77777777">
        <w:tblPrEx>
          <w:tblCellMar>
            <w:top w:w="0" w:type="dxa"/>
            <w:bottom w:w="0" w:type="dxa"/>
          </w:tblCellMar>
        </w:tblPrEx>
        <w:tc>
          <w:tcPr>
            <w:tcW w:w="2500" w:type="dxa"/>
            <w:shd w:val="clear" w:color="auto" w:fill="FFFFFF"/>
            <w:vAlign w:val="center"/>
          </w:tcPr>
          <w:p w14:paraId="07030B6E" w14:textId="77777777" w:rsidR="00724B3F" w:rsidRDefault="00000000">
            <w:pPr>
              <w:jc w:val="center"/>
            </w:pPr>
            <w:r>
              <w:rPr>
                <w:rFonts w:ascii="Calibri" w:eastAsia="Calibri" w:hAnsi="Calibri" w:cs="Calibri"/>
              </w:rPr>
              <w:t>2016</w:t>
            </w:r>
          </w:p>
        </w:tc>
        <w:tc>
          <w:tcPr>
            <w:tcW w:w="3500" w:type="dxa"/>
            <w:shd w:val="clear" w:color="auto" w:fill="FFFFFF"/>
            <w:vAlign w:val="center"/>
          </w:tcPr>
          <w:p w14:paraId="1ADA1E1B" w14:textId="77777777" w:rsidR="00724B3F" w:rsidRDefault="00000000">
            <w:pPr>
              <w:jc w:val="center"/>
            </w:pPr>
            <w:r>
              <w:rPr>
                <w:rFonts w:ascii="Calibri" w:eastAsia="Calibri" w:hAnsi="Calibri" w:cs="Calibri"/>
              </w:rPr>
              <w:t>2294.80</w:t>
            </w:r>
          </w:p>
        </w:tc>
        <w:tc>
          <w:tcPr>
            <w:tcW w:w="3000" w:type="dxa"/>
            <w:shd w:val="clear" w:color="auto" w:fill="FFFFFF"/>
            <w:vAlign w:val="center"/>
          </w:tcPr>
          <w:p w14:paraId="3CC1AC8E" w14:textId="77777777" w:rsidR="00724B3F" w:rsidRDefault="00000000">
            <w:pPr>
              <w:jc w:val="center"/>
            </w:pPr>
            <w:r>
              <w:rPr>
                <w:rFonts w:ascii="Calibri" w:eastAsia="Calibri" w:hAnsi="Calibri" w:cs="Calibri"/>
              </w:rPr>
              <w:t>9.09</w:t>
            </w:r>
          </w:p>
        </w:tc>
      </w:tr>
      <w:tr w:rsidR="00724B3F" w14:paraId="7DEDC34A" w14:textId="77777777">
        <w:tblPrEx>
          <w:tblCellMar>
            <w:top w:w="0" w:type="dxa"/>
            <w:bottom w:w="0" w:type="dxa"/>
          </w:tblCellMar>
        </w:tblPrEx>
        <w:tc>
          <w:tcPr>
            <w:tcW w:w="2500" w:type="dxa"/>
            <w:shd w:val="clear" w:color="auto" w:fill="EEF3F8"/>
            <w:vAlign w:val="center"/>
          </w:tcPr>
          <w:p w14:paraId="080B5797" w14:textId="77777777" w:rsidR="00724B3F" w:rsidRDefault="00000000">
            <w:pPr>
              <w:jc w:val="center"/>
            </w:pPr>
            <w:r>
              <w:rPr>
                <w:rFonts w:ascii="Calibri" w:eastAsia="Calibri" w:hAnsi="Calibri" w:cs="Calibri"/>
              </w:rPr>
              <w:t>2017</w:t>
            </w:r>
          </w:p>
        </w:tc>
        <w:tc>
          <w:tcPr>
            <w:tcW w:w="3500" w:type="dxa"/>
            <w:shd w:val="clear" w:color="auto" w:fill="EEF3F8"/>
            <w:vAlign w:val="center"/>
          </w:tcPr>
          <w:p w14:paraId="362BE1D8" w14:textId="77777777" w:rsidR="00724B3F" w:rsidRDefault="00000000">
            <w:pPr>
              <w:jc w:val="center"/>
            </w:pPr>
            <w:r>
              <w:rPr>
                <w:rFonts w:ascii="Calibri" w:eastAsia="Calibri" w:hAnsi="Calibri" w:cs="Calibri"/>
              </w:rPr>
              <w:t>2651.47</w:t>
            </w:r>
          </w:p>
        </w:tc>
        <w:tc>
          <w:tcPr>
            <w:tcW w:w="3000" w:type="dxa"/>
            <w:shd w:val="clear" w:color="auto" w:fill="EEF3F8"/>
            <w:vAlign w:val="center"/>
          </w:tcPr>
          <w:p w14:paraId="4C83F8D4" w14:textId="77777777" w:rsidR="00724B3F" w:rsidRDefault="00000000">
            <w:pPr>
              <w:jc w:val="center"/>
            </w:pPr>
            <w:r>
              <w:rPr>
                <w:rFonts w:ascii="Calibri" w:eastAsia="Calibri" w:hAnsi="Calibri" w:cs="Calibri"/>
              </w:rPr>
              <w:t>15.54</w:t>
            </w:r>
          </w:p>
        </w:tc>
      </w:tr>
      <w:tr w:rsidR="00724B3F" w14:paraId="31245BE5" w14:textId="77777777">
        <w:tblPrEx>
          <w:tblCellMar>
            <w:top w:w="0" w:type="dxa"/>
            <w:bottom w:w="0" w:type="dxa"/>
          </w:tblCellMar>
        </w:tblPrEx>
        <w:tc>
          <w:tcPr>
            <w:tcW w:w="2500" w:type="dxa"/>
            <w:shd w:val="clear" w:color="auto" w:fill="FFFFFF"/>
            <w:vAlign w:val="center"/>
          </w:tcPr>
          <w:p w14:paraId="2569EBC4" w14:textId="77777777" w:rsidR="00724B3F" w:rsidRDefault="00000000">
            <w:pPr>
              <w:jc w:val="center"/>
            </w:pPr>
            <w:r>
              <w:rPr>
                <w:rFonts w:ascii="Calibri" w:eastAsia="Calibri" w:hAnsi="Calibri" w:cs="Calibri"/>
              </w:rPr>
              <w:t>2018</w:t>
            </w:r>
          </w:p>
        </w:tc>
        <w:tc>
          <w:tcPr>
            <w:tcW w:w="3500" w:type="dxa"/>
            <w:shd w:val="clear" w:color="auto" w:fill="FFFFFF"/>
            <w:vAlign w:val="center"/>
          </w:tcPr>
          <w:p w14:paraId="6B8677AC" w14:textId="77777777" w:rsidR="00724B3F" w:rsidRDefault="00000000">
            <w:pPr>
              <w:jc w:val="center"/>
            </w:pPr>
            <w:r>
              <w:rPr>
                <w:rFonts w:ascii="Calibri" w:eastAsia="Calibri" w:hAnsi="Calibri" w:cs="Calibri"/>
              </w:rPr>
              <w:t>2702.93</w:t>
            </w:r>
          </w:p>
        </w:tc>
        <w:tc>
          <w:tcPr>
            <w:tcW w:w="3000" w:type="dxa"/>
            <w:shd w:val="clear" w:color="auto" w:fill="FFFFFF"/>
            <w:vAlign w:val="center"/>
          </w:tcPr>
          <w:p w14:paraId="20A9E78A" w14:textId="77777777" w:rsidR="00724B3F" w:rsidRDefault="00000000">
            <w:pPr>
              <w:jc w:val="center"/>
            </w:pPr>
            <w:r>
              <w:rPr>
                <w:rFonts w:ascii="Calibri" w:eastAsia="Calibri" w:hAnsi="Calibri" w:cs="Calibri"/>
              </w:rPr>
              <w:t>1.94</w:t>
            </w:r>
          </w:p>
        </w:tc>
      </w:tr>
      <w:tr w:rsidR="00724B3F" w14:paraId="23753D56" w14:textId="77777777">
        <w:tblPrEx>
          <w:tblCellMar>
            <w:top w:w="0" w:type="dxa"/>
            <w:bottom w:w="0" w:type="dxa"/>
          </w:tblCellMar>
        </w:tblPrEx>
        <w:tc>
          <w:tcPr>
            <w:tcW w:w="2500" w:type="dxa"/>
            <w:shd w:val="clear" w:color="auto" w:fill="EEF3F8"/>
            <w:vAlign w:val="center"/>
          </w:tcPr>
          <w:p w14:paraId="5AE633F6" w14:textId="77777777" w:rsidR="00724B3F" w:rsidRDefault="00000000">
            <w:pPr>
              <w:jc w:val="center"/>
            </w:pPr>
            <w:r>
              <w:rPr>
                <w:rFonts w:ascii="Calibri" w:eastAsia="Calibri" w:hAnsi="Calibri" w:cs="Calibri"/>
              </w:rPr>
              <w:t>2019</w:t>
            </w:r>
          </w:p>
        </w:tc>
        <w:tc>
          <w:tcPr>
            <w:tcW w:w="3500" w:type="dxa"/>
            <w:shd w:val="clear" w:color="auto" w:fill="EEF3F8"/>
            <w:vAlign w:val="center"/>
          </w:tcPr>
          <w:p w14:paraId="4C64410E" w14:textId="77777777" w:rsidR="00724B3F" w:rsidRDefault="00000000">
            <w:pPr>
              <w:jc w:val="center"/>
            </w:pPr>
            <w:r>
              <w:rPr>
                <w:rFonts w:ascii="Calibri" w:eastAsia="Calibri" w:hAnsi="Calibri" w:cs="Calibri"/>
              </w:rPr>
              <w:t>2835.61</w:t>
            </w:r>
          </w:p>
        </w:tc>
        <w:tc>
          <w:tcPr>
            <w:tcW w:w="3000" w:type="dxa"/>
            <w:shd w:val="clear" w:color="auto" w:fill="EEF3F8"/>
            <w:vAlign w:val="center"/>
          </w:tcPr>
          <w:p w14:paraId="3D208403" w14:textId="77777777" w:rsidR="00724B3F" w:rsidRDefault="00000000">
            <w:pPr>
              <w:jc w:val="center"/>
            </w:pPr>
            <w:r>
              <w:rPr>
                <w:rFonts w:ascii="Calibri" w:eastAsia="Calibri" w:hAnsi="Calibri" w:cs="Calibri"/>
              </w:rPr>
              <w:t>4.91</w:t>
            </w:r>
          </w:p>
        </w:tc>
      </w:tr>
      <w:tr w:rsidR="00724B3F" w14:paraId="66C5B14A" w14:textId="77777777">
        <w:tblPrEx>
          <w:tblCellMar>
            <w:top w:w="0" w:type="dxa"/>
            <w:bottom w:w="0" w:type="dxa"/>
          </w:tblCellMar>
        </w:tblPrEx>
        <w:tc>
          <w:tcPr>
            <w:tcW w:w="2500" w:type="dxa"/>
            <w:shd w:val="clear" w:color="auto" w:fill="FFFFFF"/>
            <w:vAlign w:val="center"/>
          </w:tcPr>
          <w:p w14:paraId="63BEC257" w14:textId="77777777" w:rsidR="00724B3F" w:rsidRDefault="00000000">
            <w:pPr>
              <w:jc w:val="center"/>
            </w:pPr>
            <w:r>
              <w:rPr>
                <w:rFonts w:ascii="Calibri" w:eastAsia="Calibri" w:hAnsi="Calibri" w:cs="Calibri"/>
              </w:rPr>
              <w:t>2020</w:t>
            </w:r>
          </w:p>
        </w:tc>
        <w:tc>
          <w:tcPr>
            <w:tcW w:w="3500" w:type="dxa"/>
            <w:shd w:val="clear" w:color="auto" w:fill="FFFFFF"/>
            <w:vAlign w:val="center"/>
          </w:tcPr>
          <w:p w14:paraId="283262FE" w14:textId="77777777" w:rsidR="00724B3F" w:rsidRDefault="00000000">
            <w:pPr>
              <w:jc w:val="center"/>
            </w:pPr>
            <w:r>
              <w:rPr>
                <w:rFonts w:ascii="Calibri" w:eastAsia="Calibri" w:hAnsi="Calibri" w:cs="Calibri"/>
              </w:rPr>
              <w:t>2674.85</w:t>
            </w:r>
          </w:p>
        </w:tc>
        <w:tc>
          <w:tcPr>
            <w:tcW w:w="3000" w:type="dxa"/>
            <w:shd w:val="clear" w:color="auto" w:fill="FFFFFF"/>
            <w:vAlign w:val="center"/>
          </w:tcPr>
          <w:p w14:paraId="300C6684" w14:textId="77777777" w:rsidR="00724B3F" w:rsidRDefault="00000000">
            <w:pPr>
              <w:jc w:val="center"/>
            </w:pPr>
            <w:r>
              <w:rPr>
                <w:rFonts w:ascii="Calibri" w:eastAsia="Calibri" w:hAnsi="Calibri" w:cs="Calibri"/>
              </w:rPr>
              <w:t>-5.67</w:t>
            </w:r>
          </w:p>
        </w:tc>
      </w:tr>
      <w:tr w:rsidR="00724B3F" w14:paraId="7CE453CE" w14:textId="77777777">
        <w:tblPrEx>
          <w:tblCellMar>
            <w:top w:w="0" w:type="dxa"/>
            <w:bottom w:w="0" w:type="dxa"/>
          </w:tblCellMar>
        </w:tblPrEx>
        <w:tc>
          <w:tcPr>
            <w:tcW w:w="2500" w:type="dxa"/>
            <w:shd w:val="clear" w:color="auto" w:fill="EEF3F8"/>
            <w:vAlign w:val="center"/>
          </w:tcPr>
          <w:p w14:paraId="492F4DD5" w14:textId="77777777" w:rsidR="00724B3F" w:rsidRDefault="00000000">
            <w:pPr>
              <w:jc w:val="center"/>
            </w:pPr>
            <w:r>
              <w:rPr>
                <w:rFonts w:ascii="Calibri" w:eastAsia="Calibri" w:hAnsi="Calibri" w:cs="Calibri"/>
              </w:rPr>
              <w:t>2021</w:t>
            </w:r>
          </w:p>
        </w:tc>
        <w:tc>
          <w:tcPr>
            <w:tcW w:w="3500" w:type="dxa"/>
            <w:shd w:val="clear" w:color="auto" w:fill="EEF3F8"/>
            <w:vAlign w:val="center"/>
          </w:tcPr>
          <w:p w14:paraId="36C9B813" w14:textId="77777777" w:rsidR="00724B3F" w:rsidRDefault="00000000">
            <w:pPr>
              <w:jc w:val="center"/>
            </w:pPr>
            <w:r>
              <w:rPr>
                <w:rFonts w:ascii="Calibri" w:eastAsia="Calibri" w:hAnsi="Calibri" w:cs="Calibri"/>
              </w:rPr>
              <w:t>3167.27</w:t>
            </w:r>
          </w:p>
        </w:tc>
        <w:tc>
          <w:tcPr>
            <w:tcW w:w="3000" w:type="dxa"/>
            <w:shd w:val="clear" w:color="auto" w:fill="EEF3F8"/>
            <w:vAlign w:val="center"/>
          </w:tcPr>
          <w:p w14:paraId="73A7869E" w14:textId="77777777" w:rsidR="00724B3F" w:rsidRDefault="00000000">
            <w:pPr>
              <w:jc w:val="center"/>
            </w:pPr>
            <w:r>
              <w:rPr>
                <w:rFonts w:ascii="Calibri" w:eastAsia="Calibri" w:hAnsi="Calibri" w:cs="Calibri"/>
              </w:rPr>
              <w:t>18.41</w:t>
            </w:r>
          </w:p>
        </w:tc>
      </w:tr>
      <w:tr w:rsidR="00724B3F" w14:paraId="68194924" w14:textId="77777777">
        <w:tblPrEx>
          <w:tblCellMar>
            <w:top w:w="0" w:type="dxa"/>
            <w:bottom w:w="0" w:type="dxa"/>
          </w:tblCellMar>
        </w:tblPrEx>
        <w:tc>
          <w:tcPr>
            <w:tcW w:w="2500" w:type="dxa"/>
            <w:shd w:val="clear" w:color="auto" w:fill="FFFFFF"/>
            <w:vAlign w:val="center"/>
          </w:tcPr>
          <w:p w14:paraId="5E700224" w14:textId="77777777" w:rsidR="00724B3F" w:rsidRDefault="00000000">
            <w:pPr>
              <w:jc w:val="center"/>
            </w:pPr>
            <w:r>
              <w:rPr>
                <w:rFonts w:ascii="Calibri" w:eastAsia="Calibri" w:hAnsi="Calibri" w:cs="Calibri"/>
              </w:rPr>
              <w:t>2022</w:t>
            </w:r>
          </w:p>
        </w:tc>
        <w:tc>
          <w:tcPr>
            <w:tcW w:w="3500" w:type="dxa"/>
            <w:shd w:val="clear" w:color="auto" w:fill="FFFFFF"/>
            <w:vAlign w:val="center"/>
          </w:tcPr>
          <w:p w14:paraId="0A0F061C" w14:textId="77777777" w:rsidR="00724B3F" w:rsidRDefault="00000000">
            <w:pPr>
              <w:jc w:val="center"/>
            </w:pPr>
            <w:r>
              <w:rPr>
                <w:rFonts w:ascii="Calibri" w:eastAsia="Calibri" w:hAnsi="Calibri" w:cs="Calibri"/>
              </w:rPr>
              <w:t>3249.94</w:t>
            </w:r>
          </w:p>
        </w:tc>
        <w:tc>
          <w:tcPr>
            <w:tcW w:w="3000" w:type="dxa"/>
            <w:shd w:val="clear" w:color="auto" w:fill="FFFFFF"/>
            <w:vAlign w:val="center"/>
          </w:tcPr>
          <w:p w14:paraId="7D6A0A47" w14:textId="77777777" w:rsidR="00724B3F" w:rsidRDefault="00000000">
            <w:pPr>
              <w:jc w:val="center"/>
            </w:pPr>
            <w:r>
              <w:rPr>
                <w:rFonts w:ascii="Calibri" w:eastAsia="Calibri" w:hAnsi="Calibri" w:cs="Calibri"/>
              </w:rPr>
              <w:t>2.61</w:t>
            </w:r>
          </w:p>
        </w:tc>
      </w:tr>
      <w:tr w:rsidR="00724B3F" w14:paraId="092FB296" w14:textId="77777777">
        <w:tblPrEx>
          <w:tblCellMar>
            <w:top w:w="0" w:type="dxa"/>
            <w:bottom w:w="0" w:type="dxa"/>
          </w:tblCellMar>
        </w:tblPrEx>
        <w:tc>
          <w:tcPr>
            <w:tcW w:w="2500" w:type="dxa"/>
            <w:shd w:val="clear" w:color="auto" w:fill="EEF3F8"/>
            <w:vAlign w:val="center"/>
          </w:tcPr>
          <w:p w14:paraId="2D17D3F4" w14:textId="77777777" w:rsidR="00724B3F" w:rsidRDefault="00000000">
            <w:pPr>
              <w:jc w:val="center"/>
            </w:pPr>
            <w:r>
              <w:rPr>
                <w:rFonts w:ascii="Calibri" w:eastAsia="Calibri" w:hAnsi="Calibri" w:cs="Calibri"/>
              </w:rPr>
              <w:t>2023</w:t>
            </w:r>
          </w:p>
        </w:tc>
        <w:tc>
          <w:tcPr>
            <w:tcW w:w="3500" w:type="dxa"/>
            <w:shd w:val="clear" w:color="auto" w:fill="EEF3F8"/>
            <w:vAlign w:val="center"/>
          </w:tcPr>
          <w:p w14:paraId="062B045F" w14:textId="77777777" w:rsidR="00724B3F" w:rsidRDefault="00000000">
            <w:pPr>
              <w:jc w:val="center"/>
            </w:pPr>
            <w:r>
              <w:rPr>
                <w:rFonts w:ascii="Calibri" w:eastAsia="Calibri" w:hAnsi="Calibri" w:cs="Calibri"/>
              </w:rPr>
              <w:t>3500.91</w:t>
            </w:r>
          </w:p>
        </w:tc>
        <w:tc>
          <w:tcPr>
            <w:tcW w:w="3000" w:type="dxa"/>
            <w:shd w:val="clear" w:color="auto" w:fill="EEF3F8"/>
            <w:vAlign w:val="center"/>
          </w:tcPr>
          <w:p w14:paraId="3B5363FD" w14:textId="77777777" w:rsidR="00724B3F" w:rsidRDefault="00000000">
            <w:pPr>
              <w:jc w:val="center"/>
            </w:pPr>
            <w:r>
              <w:rPr>
                <w:rFonts w:ascii="Calibri" w:eastAsia="Calibri" w:hAnsi="Calibri" w:cs="Calibri"/>
              </w:rPr>
              <w:t>7.72</w:t>
            </w:r>
          </w:p>
        </w:tc>
      </w:tr>
      <w:tr w:rsidR="00724B3F" w14:paraId="39F3523A" w14:textId="77777777">
        <w:tblPrEx>
          <w:tblCellMar>
            <w:top w:w="0" w:type="dxa"/>
            <w:bottom w:w="0" w:type="dxa"/>
          </w:tblCellMar>
        </w:tblPrEx>
        <w:tc>
          <w:tcPr>
            <w:tcW w:w="2500" w:type="dxa"/>
            <w:shd w:val="clear" w:color="auto" w:fill="FFFFFF"/>
            <w:vAlign w:val="center"/>
          </w:tcPr>
          <w:p w14:paraId="05E2D786" w14:textId="77777777" w:rsidR="00724B3F" w:rsidRDefault="00000000">
            <w:pPr>
              <w:jc w:val="center"/>
            </w:pPr>
            <w:r>
              <w:rPr>
                <w:rFonts w:ascii="Calibri" w:eastAsia="Calibri" w:hAnsi="Calibri" w:cs="Calibri"/>
              </w:rPr>
              <w:t>2024</w:t>
            </w:r>
          </w:p>
        </w:tc>
        <w:tc>
          <w:tcPr>
            <w:tcW w:w="3500" w:type="dxa"/>
            <w:shd w:val="clear" w:color="auto" w:fill="FFFFFF"/>
            <w:vAlign w:val="center"/>
          </w:tcPr>
          <w:p w14:paraId="6A72D78A" w14:textId="77777777" w:rsidR="00724B3F" w:rsidRDefault="00000000">
            <w:pPr>
              <w:jc w:val="center"/>
            </w:pPr>
            <w:r>
              <w:rPr>
                <w:rFonts w:ascii="Calibri" w:eastAsia="Calibri" w:hAnsi="Calibri" w:cs="Calibri"/>
              </w:rPr>
              <w:t>3760.81</w:t>
            </w:r>
          </w:p>
        </w:tc>
        <w:tc>
          <w:tcPr>
            <w:tcW w:w="3000" w:type="dxa"/>
            <w:shd w:val="clear" w:color="auto" w:fill="FFFFFF"/>
            <w:vAlign w:val="center"/>
          </w:tcPr>
          <w:p w14:paraId="52C3BB3F" w14:textId="77777777" w:rsidR="00724B3F" w:rsidRDefault="00000000">
            <w:pPr>
              <w:jc w:val="center"/>
            </w:pPr>
            <w:r>
              <w:rPr>
                <w:rFonts w:ascii="Calibri" w:eastAsia="Calibri" w:hAnsi="Calibri" w:cs="Calibri"/>
              </w:rPr>
              <w:t>7.42</w:t>
            </w:r>
          </w:p>
        </w:tc>
      </w:tr>
      <w:tr w:rsidR="00724B3F" w14:paraId="47D35F49" w14:textId="77777777">
        <w:tblPrEx>
          <w:tblCellMar>
            <w:top w:w="0" w:type="dxa"/>
            <w:bottom w:w="0" w:type="dxa"/>
          </w:tblCellMar>
        </w:tblPrEx>
        <w:tc>
          <w:tcPr>
            <w:tcW w:w="2500" w:type="dxa"/>
            <w:shd w:val="clear" w:color="auto" w:fill="EEF3F8"/>
            <w:vAlign w:val="center"/>
          </w:tcPr>
          <w:p w14:paraId="46A65BF4" w14:textId="77777777" w:rsidR="00724B3F" w:rsidRDefault="00000000">
            <w:pPr>
              <w:jc w:val="center"/>
            </w:pPr>
            <w:r>
              <w:rPr>
                <w:rFonts w:ascii="Calibri" w:eastAsia="Calibri" w:hAnsi="Calibri" w:cs="Calibri"/>
              </w:rPr>
              <w:t>2025</w:t>
            </w:r>
          </w:p>
        </w:tc>
        <w:tc>
          <w:tcPr>
            <w:tcW w:w="3500" w:type="dxa"/>
            <w:shd w:val="clear" w:color="auto" w:fill="EEF3F8"/>
            <w:vAlign w:val="center"/>
          </w:tcPr>
          <w:p w14:paraId="77227428" w14:textId="77777777" w:rsidR="00724B3F" w:rsidRDefault="00000000">
            <w:pPr>
              <w:jc w:val="center"/>
            </w:pPr>
            <w:r>
              <w:rPr>
                <w:rFonts w:ascii="Calibri" w:eastAsia="Calibri" w:hAnsi="Calibri" w:cs="Calibri"/>
              </w:rPr>
              <w:t>3956.07</w:t>
            </w:r>
          </w:p>
        </w:tc>
        <w:tc>
          <w:tcPr>
            <w:tcW w:w="3000" w:type="dxa"/>
            <w:shd w:val="clear" w:color="auto" w:fill="EEF3F8"/>
            <w:vAlign w:val="center"/>
          </w:tcPr>
          <w:p w14:paraId="7FCF1E89" w14:textId="77777777" w:rsidR="00724B3F" w:rsidRDefault="00000000">
            <w:pPr>
              <w:jc w:val="center"/>
            </w:pPr>
            <w:r>
              <w:rPr>
                <w:rFonts w:ascii="Calibri" w:eastAsia="Calibri" w:hAnsi="Calibri" w:cs="Calibri"/>
              </w:rPr>
              <w:t>5.19</w:t>
            </w:r>
          </w:p>
        </w:tc>
      </w:tr>
    </w:tbl>
    <w:p w14:paraId="12FB548E" w14:textId="77777777" w:rsidR="00724B3F" w:rsidRDefault="00000000">
      <w:pPr>
        <w:spacing w:before="80" w:after="240"/>
        <w:jc w:val="center"/>
      </w:pPr>
      <w:r>
        <w:rPr>
          <w:rFonts w:ascii="Calibri" w:eastAsia="Calibri" w:hAnsi="Calibri" w:cs="Calibri"/>
          <w:i/>
          <w:iCs/>
          <w:color w:val="555555"/>
        </w:rPr>
        <w:t>Table 1. Sample of the GDP dataset (2016–2025).</w:t>
      </w:r>
    </w:p>
    <w:p w14:paraId="4EE787AE" w14:textId="77777777" w:rsidR="00724B3F" w:rsidRDefault="00000000">
      <w:pPr>
        <w:spacing w:before="200"/>
        <w:jc w:val="center"/>
      </w:pPr>
      <w:r>
        <w:rPr>
          <w:noProof/>
        </w:rPr>
        <w:lastRenderedPageBreak/>
        <w:drawing>
          <wp:inline distT="0" distB="0" distL="0" distR="0" wp14:anchorId="3F2DFCF2" wp14:editId="624DAEFF">
            <wp:extent cx="523875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2857500"/>
                    </a:xfrm>
                    <a:prstGeom prst="rect">
                      <a:avLst/>
                    </a:prstGeom>
                  </pic:spPr>
                </pic:pic>
              </a:graphicData>
            </a:graphic>
          </wp:inline>
        </w:drawing>
      </w:r>
    </w:p>
    <w:p w14:paraId="234CEB9D" w14:textId="77777777" w:rsidR="00724B3F" w:rsidRDefault="00000000">
      <w:pPr>
        <w:spacing w:before="80" w:after="240"/>
        <w:jc w:val="center"/>
      </w:pPr>
      <w:r>
        <w:rPr>
          <w:rFonts w:ascii="Calibri" w:eastAsia="Calibri" w:hAnsi="Calibri" w:cs="Calibri"/>
          <w:i/>
          <w:iCs/>
          <w:color w:val="555555"/>
        </w:rPr>
        <w:t>Figure 1. Historical GDP trend, India, 2000–2025.</w:t>
      </w:r>
    </w:p>
    <w:p w14:paraId="58F7B1DD" w14:textId="77777777" w:rsidR="00724B3F" w:rsidRDefault="00000000">
      <w:pPr>
        <w:spacing w:after="160" w:line="276" w:lineRule="auto"/>
      </w:pPr>
      <w:r>
        <w:rPr>
          <w:rFonts w:ascii="Calibri" w:eastAsia="Calibri" w:hAnsi="Calibri" w:cs="Calibri"/>
          <w:sz w:val="22"/>
          <w:szCs w:val="22"/>
        </w:rPr>
        <w:t>The series shows India's GDP growing roughly eightfold over the period, from about $468 Billion in 2000 to about $3,956 Billion in 2025. Growth was strongest and most volatile in the 2003–2010 window (several years of 15–29% annual growth), then settled into a more moderate 2–10% range from 2012 onward, with a sharp contraction in 2020 (-5.7%, the COVID-19 pandemic) followed by an 18.4% rebound in 2021. This shift from a fast-growth early period to a slower, steadier later period is an important feature the forecasting models must handle.</w:t>
      </w:r>
    </w:p>
    <w:p w14:paraId="316F3E3B" w14:textId="77777777" w:rsidR="00724B3F" w:rsidRDefault="00000000">
      <w:pPr>
        <w:pStyle w:val="Heading1"/>
        <w:spacing w:before="320" w:after="160"/>
      </w:pPr>
      <w:r>
        <w:t>3. Model Design</w:t>
      </w:r>
    </w:p>
    <w:p w14:paraId="13B33A33" w14:textId="77777777" w:rsidR="00724B3F" w:rsidRDefault="00000000">
      <w:pPr>
        <w:pStyle w:val="Heading2"/>
        <w:spacing w:before="240" w:after="120"/>
      </w:pPr>
      <w:r>
        <w:t>3.1 Choice of Indicator</w:t>
      </w:r>
    </w:p>
    <w:p w14:paraId="5DCC650E" w14:textId="77777777" w:rsidR="00724B3F" w:rsidRDefault="00000000">
      <w:pPr>
        <w:spacing w:after="160" w:line="276" w:lineRule="auto"/>
      </w:pPr>
      <w:r>
        <w:rPr>
          <w:rFonts w:ascii="Calibri" w:eastAsia="Calibri" w:hAnsi="Calibri" w:cs="Calibri"/>
          <w:sz w:val="22"/>
          <w:szCs w:val="22"/>
        </w:rPr>
        <w:t>GDP was selected because it is a foundational macroeconomic indicator with a strong, persistent trend component, making it well suited to demonstrate trend-based forecasting methods at an introductory level, while still requiring students to account for structural shifts (a fast-growth early period followed by slower, steadier growth) and shocks (the 2020 pandemic contraction) that create realistic forecasting error.</w:t>
      </w:r>
    </w:p>
    <w:p w14:paraId="054DC293" w14:textId="77777777" w:rsidR="00724B3F" w:rsidRDefault="00000000">
      <w:pPr>
        <w:pStyle w:val="Heading2"/>
        <w:spacing w:before="240" w:after="120"/>
      </w:pPr>
      <w:r>
        <w:t>3.2 Justification of the Forecasting Models</w:t>
      </w:r>
    </w:p>
    <w:p w14:paraId="132E37E1" w14:textId="77777777" w:rsidR="00724B3F" w:rsidRDefault="00000000">
      <w:pPr>
        <w:spacing w:after="160" w:line="276" w:lineRule="auto"/>
      </w:pPr>
      <w:r>
        <w:rPr>
          <w:rFonts w:ascii="Calibri" w:eastAsia="Calibri" w:hAnsi="Calibri" w:cs="Calibri"/>
          <w:sz w:val="22"/>
          <w:szCs w:val="22"/>
        </w:rPr>
        <w:t>Two simple, classroom-appropriate models were compared:</w:t>
      </w:r>
    </w:p>
    <w:p w14:paraId="6F22683C" w14:textId="77777777" w:rsidR="00724B3F" w:rsidRDefault="00000000">
      <w:pPr>
        <w:pStyle w:val="ListParagraph"/>
        <w:numPr>
          <w:ilvl w:val="0"/>
          <w:numId w:val="1"/>
        </w:numPr>
        <w:spacing w:after="80"/>
      </w:pPr>
      <w:r>
        <w:rPr>
          <w:rFonts w:ascii="Calibri" w:eastAsia="Calibri" w:hAnsi="Calibri" w:cs="Calibri"/>
          <w:sz w:val="22"/>
          <w:szCs w:val="22"/>
        </w:rPr>
        <w:t xml:space="preserve">Log-Linear (Compound Growth) Regression: fits a straight line to </w:t>
      </w:r>
      <w:proofErr w:type="gramStart"/>
      <w:r>
        <w:rPr>
          <w:rFonts w:ascii="Calibri" w:eastAsia="Calibri" w:hAnsi="Calibri" w:cs="Calibri"/>
          <w:sz w:val="22"/>
          <w:szCs w:val="22"/>
        </w:rPr>
        <w:t>ln(</w:t>
      </w:r>
      <w:proofErr w:type="gramEnd"/>
      <w:r>
        <w:rPr>
          <w:rFonts w:ascii="Calibri" w:eastAsia="Calibri" w:hAnsi="Calibri" w:cs="Calibri"/>
          <w:sz w:val="22"/>
          <w:szCs w:val="22"/>
        </w:rPr>
        <w:t>GDP) versus Year, which is equivalent to assuming GDP grows at a constant compound annual growth rate (CAGR). This is more appropriate than a plain linear fit for a series like GDP that compounds over time, and it serves as a transparent, interpretable baseline.</w:t>
      </w:r>
    </w:p>
    <w:p w14:paraId="1605BA2A" w14:textId="77777777" w:rsidR="00724B3F" w:rsidRDefault="00000000">
      <w:pPr>
        <w:pStyle w:val="ListParagraph"/>
        <w:numPr>
          <w:ilvl w:val="0"/>
          <w:numId w:val="1"/>
        </w:numPr>
        <w:spacing w:after="80"/>
      </w:pPr>
      <w:r>
        <w:rPr>
          <w:rFonts w:ascii="Calibri" w:eastAsia="Calibri" w:hAnsi="Calibri" w:cs="Calibri"/>
          <w:sz w:val="22"/>
          <w:szCs w:val="22"/>
        </w:rPr>
        <w:t xml:space="preserve">Holt's Linear (Double) Exponential Smoothing: extends simple exponential smoothing by tracking both a level and a trend component, which are updated adaptively as new data arrives. </w:t>
      </w:r>
      <w:r>
        <w:rPr>
          <w:rFonts w:ascii="Calibri" w:eastAsia="Calibri" w:hAnsi="Calibri" w:cs="Calibri"/>
          <w:sz w:val="22"/>
          <w:szCs w:val="22"/>
        </w:rPr>
        <w:lastRenderedPageBreak/>
        <w:t xml:space="preserve">Because </w:t>
      </w:r>
      <w:proofErr w:type="gramStart"/>
      <w:r>
        <w:rPr>
          <w:rFonts w:ascii="Calibri" w:eastAsia="Calibri" w:hAnsi="Calibri" w:cs="Calibri"/>
          <w:sz w:val="22"/>
          <w:szCs w:val="22"/>
        </w:rPr>
        <w:t>it</w:t>
      </w:r>
      <w:proofErr w:type="gramEnd"/>
      <w:r>
        <w:rPr>
          <w:rFonts w:ascii="Calibri" w:eastAsia="Calibri" w:hAnsi="Calibri" w:cs="Calibri"/>
          <w:sz w:val="22"/>
          <w:szCs w:val="22"/>
        </w:rPr>
        <w:t xml:space="preserve"> re-weights recent observations more heavily, it can adapt when the underlying growth rate changes over time, as India's did after ~2012.</w:t>
      </w:r>
    </w:p>
    <w:p w14:paraId="74C3942D" w14:textId="77777777" w:rsidR="00724B3F" w:rsidRDefault="00000000">
      <w:pPr>
        <w:spacing w:after="160" w:line="276" w:lineRule="auto"/>
      </w:pPr>
      <w:r>
        <w:rPr>
          <w:rFonts w:ascii="Calibri" w:eastAsia="Calibri" w:hAnsi="Calibri" w:cs="Calibri"/>
          <w:sz w:val="22"/>
          <w:szCs w:val="22"/>
        </w:rPr>
        <w:t xml:space="preserve">Both models are simple enough to implement without specialized forecasting libraries (no </w:t>
      </w:r>
      <w:proofErr w:type="spellStart"/>
      <w:r>
        <w:rPr>
          <w:rFonts w:ascii="Calibri" w:eastAsia="Calibri" w:hAnsi="Calibri" w:cs="Calibri"/>
          <w:sz w:val="22"/>
          <w:szCs w:val="22"/>
        </w:rPr>
        <w:t>statsmodels</w:t>
      </w:r>
      <w:proofErr w:type="spellEnd"/>
      <w:r>
        <w:rPr>
          <w:rFonts w:ascii="Calibri" w:eastAsia="Calibri" w:hAnsi="Calibri" w:cs="Calibri"/>
          <w:sz w:val="22"/>
          <w:szCs w:val="22"/>
        </w:rPr>
        <w:t>/ARIMA required), which keeps the project accessible while still illustrating the core forecasting workflow: fit → validate → select → forecast.</w:t>
      </w:r>
    </w:p>
    <w:p w14:paraId="0E188806" w14:textId="77777777" w:rsidR="00724B3F" w:rsidRDefault="00000000">
      <w:pPr>
        <w:pStyle w:val="Heading2"/>
        <w:spacing w:before="240" w:after="120"/>
      </w:pPr>
      <w:r>
        <w:t>3.3 Methodology</w:t>
      </w:r>
    </w:p>
    <w:p w14:paraId="5E270374" w14:textId="77777777" w:rsidR="00724B3F" w:rsidRDefault="00000000">
      <w:pPr>
        <w:pStyle w:val="ListParagraph"/>
        <w:numPr>
          <w:ilvl w:val="0"/>
          <w:numId w:val="1"/>
        </w:numPr>
        <w:spacing w:after="80"/>
      </w:pPr>
      <w:r>
        <w:rPr>
          <w:rFonts w:ascii="Calibri" w:eastAsia="Calibri" w:hAnsi="Calibri" w:cs="Calibri"/>
          <w:sz w:val="22"/>
          <w:szCs w:val="22"/>
        </w:rPr>
        <w:t>Split the 26-year series into a training set (2000–2020) and a hold-out test set (the last 5 years, 2021–2025).</w:t>
      </w:r>
    </w:p>
    <w:p w14:paraId="19BC589A" w14:textId="77777777" w:rsidR="00724B3F" w:rsidRDefault="00000000">
      <w:pPr>
        <w:pStyle w:val="ListParagraph"/>
        <w:numPr>
          <w:ilvl w:val="0"/>
          <w:numId w:val="1"/>
        </w:numPr>
        <w:spacing w:after="80"/>
      </w:pPr>
      <w:r>
        <w:rPr>
          <w:rFonts w:ascii="Calibri" w:eastAsia="Calibri" w:hAnsi="Calibri" w:cs="Calibri"/>
          <w:sz w:val="22"/>
          <w:szCs w:val="22"/>
        </w:rPr>
        <w:t>Fit both models on the training set only.</w:t>
      </w:r>
    </w:p>
    <w:p w14:paraId="699FCF27" w14:textId="77777777" w:rsidR="00724B3F" w:rsidRDefault="00000000">
      <w:pPr>
        <w:pStyle w:val="ListParagraph"/>
        <w:numPr>
          <w:ilvl w:val="0"/>
          <w:numId w:val="1"/>
        </w:numPr>
        <w:spacing w:after="80"/>
      </w:pPr>
      <w:r>
        <w:rPr>
          <w:rFonts w:ascii="Calibri" w:eastAsia="Calibri" w:hAnsi="Calibri" w:cs="Calibri"/>
          <w:sz w:val="22"/>
          <w:szCs w:val="22"/>
        </w:rPr>
        <w:t>Generate predictions for the test period and compare them against the actual values using MAE, RMSE, and MAPE.</w:t>
      </w:r>
    </w:p>
    <w:p w14:paraId="32DB08C0" w14:textId="77777777" w:rsidR="00724B3F" w:rsidRDefault="00000000">
      <w:pPr>
        <w:pStyle w:val="ListParagraph"/>
        <w:numPr>
          <w:ilvl w:val="0"/>
          <w:numId w:val="1"/>
        </w:numPr>
        <w:spacing w:after="80"/>
      </w:pPr>
      <w:r>
        <w:rPr>
          <w:rFonts w:ascii="Calibri" w:eastAsia="Calibri" w:hAnsi="Calibri" w:cs="Calibri"/>
          <w:sz w:val="22"/>
          <w:szCs w:val="22"/>
        </w:rPr>
        <w:t>Select the model with the lowest test-set MAPE as the final model.</w:t>
      </w:r>
    </w:p>
    <w:p w14:paraId="17EB71B6" w14:textId="77777777" w:rsidR="00724B3F" w:rsidRDefault="00000000">
      <w:pPr>
        <w:pStyle w:val="ListParagraph"/>
        <w:numPr>
          <w:ilvl w:val="0"/>
          <w:numId w:val="1"/>
        </w:numPr>
        <w:spacing w:after="80"/>
      </w:pPr>
      <w:r>
        <w:rPr>
          <w:rFonts w:ascii="Calibri" w:eastAsia="Calibri" w:hAnsi="Calibri" w:cs="Calibri"/>
          <w:sz w:val="22"/>
          <w:szCs w:val="22"/>
        </w:rPr>
        <w:t>Refit the selected model on the full dataset (2000–2025) and forecast 5 years ahead (2026–2030).</w:t>
      </w:r>
    </w:p>
    <w:p w14:paraId="3E76234A" w14:textId="77777777" w:rsidR="00724B3F" w:rsidRDefault="00000000">
      <w:pPr>
        <w:spacing w:after="160" w:line="276" w:lineRule="auto"/>
      </w:pPr>
      <w:r>
        <w:rPr>
          <w:rFonts w:ascii="Calibri" w:eastAsia="Calibri" w:hAnsi="Calibri" w:cs="Calibri"/>
          <w:sz w:val="22"/>
          <w:szCs w:val="22"/>
        </w:rPr>
        <w:t>Holt's method uses two smoothing parameters: α (alpha), which controls how strongly the level responds to the latest observation, and β (beta), which controls how strongly the trend estimate responds to recent changes in the level. This project uses α = 0.8 and β = 0.3, chosen to make the model responsive to recent growth while still smoothing out short-term noise.</w:t>
      </w:r>
    </w:p>
    <w:p w14:paraId="5534B55C" w14:textId="77777777" w:rsidR="00724B3F" w:rsidRDefault="00000000">
      <w:pPr>
        <w:pStyle w:val="Heading1"/>
        <w:spacing w:before="320" w:after="160"/>
      </w:pPr>
      <w:r>
        <w:t xml:space="preserve">4. Implementation (Python – Google </w:t>
      </w:r>
      <w:proofErr w:type="spellStart"/>
      <w:r>
        <w:t>Colab</w:t>
      </w:r>
      <w:proofErr w:type="spellEnd"/>
      <w:r>
        <w:t xml:space="preserve"> Compatible)</w:t>
      </w:r>
    </w:p>
    <w:p w14:paraId="621E5E57" w14:textId="77777777" w:rsidR="00724B3F" w:rsidRDefault="00000000">
      <w:pPr>
        <w:spacing w:after="160" w:line="276" w:lineRule="auto"/>
      </w:pPr>
      <w:r>
        <w:rPr>
          <w:rFonts w:ascii="Calibri" w:eastAsia="Calibri" w:hAnsi="Calibri" w:cs="Calibri"/>
          <w:sz w:val="22"/>
          <w:szCs w:val="22"/>
        </w:rPr>
        <w:t xml:space="preserve">The full implementation uses only pandas, </w:t>
      </w:r>
      <w:proofErr w:type="spellStart"/>
      <w:r>
        <w:rPr>
          <w:rFonts w:ascii="Calibri" w:eastAsia="Calibri" w:hAnsi="Calibri" w:cs="Calibri"/>
          <w:sz w:val="22"/>
          <w:szCs w:val="22"/>
        </w:rPr>
        <w:t>numpy</w:t>
      </w:r>
      <w:proofErr w:type="spellEnd"/>
      <w:r>
        <w:rPr>
          <w:rFonts w:ascii="Calibri" w:eastAsia="Calibri" w:hAnsi="Calibri" w:cs="Calibri"/>
          <w:sz w:val="22"/>
          <w:szCs w:val="22"/>
        </w:rPr>
        <w:t xml:space="preserve">, matplotlib, and scikit-learn — all pre-installed on Google </w:t>
      </w:r>
      <w:proofErr w:type="spellStart"/>
      <w:r>
        <w:rPr>
          <w:rFonts w:ascii="Calibri" w:eastAsia="Calibri" w:hAnsi="Calibri" w:cs="Calibri"/>
          <w:sz w:val="22"/>
          <w:szCs w:val="22"/>
        </w:rPr>
        <w:t>Colab</w:t>
      </w:r>
      <w:proofErr w:type="spellEnd"/>
      <w:r>
        <w:rPr>
          <w:rFonts w:ascii="Calibri" w:eastAsia="Calibri" w:hAnsi="Calibri" w:cs="Calibri"/>
          <w:sz w:val="22"/>
          <w:szCs w:val="22"/>
        </w:rPr>
        <w:t>. The complete notebook (Week2_GDP_Forecasting_India.ipynb) is provided alongside this report; key sections are shown below.</w:t>
      </w:r>
    </w:p>
    <w:p w14:paraId="42161A3B" w14:textId="77777777" w:rsidR="00724B3F" w:rsidRDefault="00000000">
      <w:pPr>
        <w:pStyle w:val="Heading2"/>
        <w:spacing w:before="240" w:after="120"/>
      </w:pPr>
      <w:r>
        <w:t>4.1 Data Preparation</w:t>
      </w:r>
    </w:p>
    <w:p w14:paraId="64F90F1D" w14:textId="77777777" w:rsidR="00724B3F" w:rsidRDefault="00000000">
      <w:pPr>
        <w:pBdr>
          <w:top w:val="single" w:sz="4" w:space="0" w:color="CCCCCC"/>
          <w:left w:val="single" w:sz="4" w:space="0" w:color="CCCCCC"/>
          <w:bottom w:val="single" w:sz="4" w:space="0" w:color="CCCCCC"/>
          <w:right w:val="single" w:sz="4" w:space="0" w:color="CCCCCC"/>
        </w:pBdr>
        <w:shd w:val="clear" w:color="auto" w:fill="F2F2F2"/>
        <w:spacing w:after="40"/>
      </w:pPr>
      <w:r>
        <w:rPr>
          <w:rFonts w:ascii="Consolas" w:eastAsia="Consolas" w:hAnsi="Consolas" w:cs="Consolas"/>
          <w:sz w:val="17"/>
          <w:szCs w:val="17"/>
        </w:rPr>
        <w:t xml:space="preserve">import </w:t>
      </w:r>
      <w:proofErr w:type="spellStart"/>
      <w:r>
        <w:rPr>
          <w:rFonts w:ascii="Consolas" w:eastAsia="Consolas" w:hAnsi="Consolas" w:cs="Consolas"/>
          <w:sz w:val="17"/>
          <w:szCs w:val="17"/>
        </w:rPr>
        <w:t>numpy</w:t>
      </w:r>
      <w:proofErr w:type="spellEnd"/>
      <w:r>
        <w:rPr>
          <w:rFonts w:ascii="Consolas" w:eastAsia="Consolas" w:hAnsi="Consolas" w:cs="Consolas"/>
          <w:sz w:val="17"/>
          <w:szCs w:val="17"/>
        </w:rPr>
        <w:t xml:space="preserve"> as np, pandas as pd</w:t>
      </w:r>
      <w:r>
        <w:rPr>
          <w:rFonts w:ascii="Consolas" w:eastAsia="Consolas" w:hAnsi="Consolas" w:cs="Consolas"/>
          <w:sz w:val="17"/>
          <w:szCs w:val="17"/>
        </w:rPr>
        <w:br/>
        <w:t xml:space="preserve">import </w:t>
      </w:r>
      <w:proofErr w:type="spellStart"/>
      <w:r>
        <w:rPr>
          <w:rFonts w:ascii="Consolas" w:eastAsia="Consolas" w:hAnsi="Consolas" w:cs="Consolas"/>
          <w:sz w:val="17"/>
          <w:szCs w:val="17"/>
        </w:rPr>
        <w:t>matplotlib.pyplot</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plt</w:t>
      </w:r>
      <w:proofErr w:type="spellEnd"/>
      <w:r>
        <w:rPr>
          <w:rFonts w:ascii="Consolas" w:eastAsia="Consolas" w:hAnsi="Consolas" w:cs="Consolas"/>
          <w:sz w:val="17"/>
          <w:szCs w:val="17"/>
        </w:rPr>
        <w:br/>
        <w:t xml:space="preserve">from </w:t>
      </w:r>
      <w:proofErr w:type="spellStart"/>
      <w:r>
        <w:rPr>
          <w:rFonts w:ascii="Consolas" w:eastAsia="Consolas" w:hAnsi="Consolas" w:cs="Consolas"/>
          <w:sz w:val="17"/>
          <w:szCs w:val="17"/>
        </w:rPr>
        <w:t>sklearn.linear_model</w:t>
      </w:r>
      <w:proofErr w:type="spellEnd"/>
      <w:r>
        <w:rPr>
          <w:rFonts w:ascii="Consolas" w:eastAsia="Consolas" w:hAnsi="Consolas" w:cs="Consolas"/>
          <w:sz w:val="17"/>
          <w:szCs w:val="17"/>
        </w:rPr>
        <w:t xml:space="preserve"> import </w:t>
      </w:r>
      <w:proofErr w:type="spellStart"/>
      <w:r>
        <w:rPr>
          <w:rFonts w:ascii="Consolas" w:eastAsia="Consolas" w:hAnsi="Consolas" w:cs="Consolas"/>
          <w:sz w:val="17"/>
          <w:szCs w:val="17"/>
        </w:rPr>
        <w:t>LinearRegression</w:t>
      </w:r>
      <w:proofErr w:type="spellEnd"/>
      <w:r>
        <w:rPr>
          <w:rFonts w:ascii="Consolas" w:eastAsia="Consolas" w:hAnsi="Consolas" w:cs="Consolas"/>
          <w:sz w:val="17"/>
          <w:szCs w:val="17"/>
        </w:rPr>
        <w:br/>
        <w:t xml:space="preserve">from </w:t>
      </w:r>
      <w:proofErr w:type="spellStart"/>
      <w:r>
        <w:rPr>
          <w:rFonts w:ascii="Consolas" w:eastAsia="Consolas" w:hAnsi="Consolas" w:cs="Consolas"/>
          <w:sz w:val="17"/>
          <w:szCs w:val="17"/>
        </w:rPr>
        <w:t>sklearn.metrics</w:t>
      </w:r>
      <w:proofErr w:type="spellEnd"/>
      <w:r>
        <w:rPr>
          <w:rFonts w:ascii="Consolas" w:eastAsia="Consolas" w:hAnsi="Consolas" w:cs="Consolas"/>
          <w:sz w:val="17"/>
          <w:szCs w:val="17"/>
        </w:rPr>
        <w:t xml:space="preserve"> import </w:t>
      </w:r>
      <w:proofErr w:type="spellStart"/>
      <w:r>
        <w:rPr>
          <w:rFonts w:ascii="Consolas" w:eastAsia="Consolas" w:hAnsi="Consolas" w:cs="Consolas"/>
          <w:sz w:val="17"/>
          <w:szCs w:val="17"/>
        </w:rPr>
        <w:t>mean_absolute_error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mean_squared_error</w:t>
      </w:r>
      <w:proofErr w:type="spellEnd"/>
      <w:r>
        <w:rPr>
          <w:rFonts w:ascii="Consolas" w:eastAsia="Consolas" w:hAnsi="Consolas" w:cs="Consolas"/>
          <w:sz w:val="17"/>
          <w:szCs w:val="17"/>
        </w:rPr>
        <w:br/>
      </w:r>
      <w:r>
        <w:rPr>
          <w:rFonts w:ascii="Consolas" w:eastAsia="Consolas" w:hAnsi="Consolas" w:cs="Consolas"/>
          <w:sz w:val="17"/>
          <w:szCs w:val="17"/>
        </w:rPr>
        <w:br/>
        <w:t xml:space="preserve">raw = </w:t>
      </w:r>
      <w:proofErr w:type="spellStart"/>
      <w:r>
        <w:rPr>
          <w:rFonts w:ascii="Consolas" w:eastAsia="Consolas" w:hAnsi="Consolas" w:cs="Consolas"/>
          <w:sz w:val="17"/>
          <w:szCs w:val="17"/>
        </w:rPr>
        <w:t>pd.read_csv</w:t>
      </w:r>
      <w:proofErr w:type="spellEnd"/>
      <w:r>
        <w:rPr>
          <w:rFonts w:ascii="Consolas" w:eastAsia="Consolas" w:hAnsi="Consolas" w:cs="Consolas"/>
          <w:sz w:val="17"/>
          <w:szCs w:val="17"/>
        </w:rPr>
        <w:t xml:space="preserve">('API_NY_GDP_MKTP_CD_DS2_en_csv_v2_234.csv', </w:t>
      </w:r>
      <w:proofErr w:type="spellStart"/>
      <w:r>
        <w:rPr>
          <w:rFonts w:ascii="Consolas" w:eastAsia="Consolas" w:hAnsi="Consolas" w:cs="Consolas"/>
          <w:sz w:val="17"/>
          <w:szCs w:val="17"/>
        </w:rPr>
        <w:t>skiprows</w:t>
      </w:r>
      <w:proofErr w:type="spellEnd"/>
      <w:r>
        <w:rPr>
          <w:rFonts w:ascii="Consolas" w:eastAsia="Consolas" w:hAnsi="Consolas" w:cs="Consolas"/>
          <w:sz w:val="17"/>
          <w:szCs w:val="17"/>
        </w:rPr>
        <w:t>=4)</w:t>
      </w:r>
      <w:r>
        <w:rPr>
          <w:rFonts w:ascii="Consolas" w:eastAsia="Consolas" w:hAnsi="Consolas" w:cs="Consolas"/>
          <w:sz w:val="17"/>
          <w:szCs w:val="17"/>
        </w:rPr>
        <w:br/>
        <w:t>row = raw[raw['Country Name'] == 'India'].</w:t>
      </w:r>
      <w:proofErr w:type="spellStart"/>
      <w:r>
        <w:rPr>
          <w:rFonts w:ascii="Consolas" w:eastAsia="Consolas" w:hAnsi="Consolas" w:cs="Consolas"/>
          <w:sz w:val="17"/>
          <w:szCs w:val="17"/>
        </w:rPr>
        <w:t>iloc</w:t>
      </w:r>
      <w:proofErr w:type="spellEnd"/>
      <w:r>
        <w:rPr>
          <w:rFonts w:ascii="Consolas" w:eastAsia="Consolas" w:hAnsi="Consolas" w:cs="Consolas"/>
          <w:sz w:val="17"/>
          <w:szCs w:val="17"/>
        </w:rPr>
        <w:t>[0]</w:t>
      </w:r>
      <w:r>
        <w:rPr>
          <w:rFonts w:ascii="Consolas" w:eastAsia="Consolas" w:hAnsi="Consolas" w:cs="Consolas"/>
          <w:sz w:val="17"/>
          <w:szCs w:val="17"/>
        </w:rPr>
        <w:br/>
      </w:r>
      <w:proofErr w:type="spellStart"/>
      <w:r>
        <w:rPr>
          <w:rFonts w:ascii="Consolas" w:eastAsia="Consolas" w:hAnsi="Consolas" w:cs="Consolas"/>
          <w:sz w:val="17"/>
          <w:szCs w:val="17"/>
        </w:rPr>
        <w:t>year_cols</w:t>
      </w:r>
      <w:proofErr w:type="spellEnd"/>
      <w:r>
        <w:rPr>
          <w:rFonts w:ascii="Consolas" w:eastAsia="Consolas" w:hAnsi="Consolas" w:cs="Consolas"/>
          <w:sz w:val="17"/>
          <w:szCs w:val="17"/>
        </w:rPr>
        <w:t xml:space="preserve"> = [c for c in </w:t>
      </w:r>
      <w:proofErr w:type="spellStart"/>
      <w:r>
        <w:rPr>
          <w:rFonts w:ascii="Consolas" w:eastAsia="Consolas" w:hAnsi="Consolas" w:cs="Consolas"/>
          <w:sz w:val="17"/>
          <w:szCs w:val="17"/>
        </w:rPr>
        <w:t>raw.columns</w:t>
      </w:r>
      <w:proofErr w:type="spellEnd"/>
      <w:r>
        <w:rPr>
          <w:rFonts w:ascii="Consolas" w:eastAsia="Consolas" w:hAnsi="Consolas" w:cs="Consolas"/>
          <w:sz w:val="17"/>
          <w:szCs w:val="17"/>
        </w:rPr>
        <w:t xml:space="preserve"> if </w:t>
      </w:r>
      <w:proofErr w:type="spellStart"/>
      <w:r>
        <w:rPr>
          <w:rFonts w:ascii="Consolas" w:eastAsia="Consolas" w:hAnsi="Consolas" w:cs="Consolas"/>
          <w:sz w:val="17"/>
          <w:szCs w:val="17"/>
        </w:rPr>
        <w:t>c.strip</w:t>
      </w:r>
      <w:proofErr w:type="spellEnd"/>
      <w:r>
        <w:rPr>
          <w:rFonts w:ascii="Consolas" w:eastAsia="Consolas" w:hAnsi="Consolas" w:cs="Consolas"/>
          <w:sz w:val="17"/>
          <w:szCs w:val="17"/>
        </w:rPr>
        <w:t>().</w:t>
      </w:r>
      <w:proofErr w:type="spellStart"/>
      <w:r>
        <w:rPr>
          <w:rFonts w:ascii="Consolas" w:eastAsia="Consolas" w:hAnsi="Consolas" w:cs="Consolas"/>
          <w:sz w:val="17"/>
          <w:szCs w:val="17"/>
        </w:rPr>
        <w:t>isdigit</w:t>
      </w:r>
      <w:proofErr w:type="spellEnd"/>
      <w:r>
        <w:rPr>
          <w:rFonts w:ascii="Consolas" w:eastAsia="Consolas" w:hAnsi="Consolas" w:cs="Consolas"/>
          <w:sz w:val="17"/>
          <w:szCs w:val="17"/>
        </w:rPr>
        <w:t>()]</w:t>
      </w:r>
      <w:r>
        <w:rPr>
          <w:rFonts w:ascii="Consolas" w:eastAsia="Consolas" w:hAnsi="Consolas" w:cs="Consolas"/>
          <w:sz w:val="17"/>
          <w:szCs w:val="17"/>
        </w:rPr>
        <w:br/>
        <w:t>series = row[</w:t>
      </w:r>
      <w:proofErr w:type="spellStart"/>
      <w:r>
        <w:rPr>
          <w:rFonts w:ascii="Consolas" w:eastAsia="Consolas" w:hAnsi="Consolas" w:cs="Consolas"/>
          <w:sz w:val="17"/>
          <w:szCs w:val="17"/>
        </w:rPr>
        <w:t>year_cols</w:t>
      </w:r>
      <w:proofErr w:type="spellEnd"/>
      <w:r>
        <w:rPr>
          <w:rFonts w:ascii="Consolas" w:eastAsia="Consolas" w:hAnsi="Consolas" w:cs="Consolas"/>
          <w:sz w:val="17"/>
          <w:szCs w:val="17"/>
        </w:rPr>
        <w:t>].</w:t>
      </w:r>
      <w:proofErr w:type="spellStart"/>
      <w:r>
        <w:rPr>
          <w:rFonts w:ascii="Consolas" w:eastAsia="Consolas" w:hAnsi="Consolas" w:cs="Consolas"/>
          <w:sz w:val="17"/>
          <w:szCs w:val="17"/>
        </w:rPr>
        <w:t>dropna</w:t>
      </w:r>
      <w:proofErr w:type="spellEnd"/>
      <w:r>
        <w:rPr>
          <w:rFonts w:ascii="Consolas" w:eastAsia="Consolas" w:hAnsi="Consolas" w:cs="Consolas"/>
          <w:sz w:val="17"/>
          <w:szCs w:val="17"/>
        </w:rPr>
        <w:t>()</w:t>
      </w:r>
      <w:r>
        <w:rPr>
          <w:rFonts w:ascii="Consolas" w:eastAsia="Consolas" w:hAnsi="Consolas" w:cs="Consolas"/>
          <w:sz w:val="17"/>
          <w:szCs w:val="17"/>
        </w:rPr>
        <w:br/>
      </w:r>
      <w:r>
        <w:rPr>
          <w:rFonts w:ascii="Consolas" w:eastAsia="Consolas" w:hAnsi="Consolas" w:cs="Consolas"/>
          <w:sz w:val="17"/>
          <w:szCs w:val="17"/>
        </w:rPr>
        <w:br/>
      </w: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pd.DataFrame</w:t>
      </w:r>
      <w:proofErr w:type="spellEnd"/>
      <w:r>
        <w:rPr>
          <w:rFonts w:ascii="Consolas" w:eastAsia="Consolas" w:hAnsi="Consolas" w:cs="Consolas"/>
          <w:sz w:val="17"/>
          <w:szCs w:val="17"/>
        </w:rPr>
        <w:t xml:space="preserve">({'Year': </w:t>
      </w:r>
      <w:proofErr w:type="spellStart"/>
      <w:r>
        <w:rPr>
          <w:rFonts w:ascii="Consolas" w:eastAsia="Consolas" w:hAnsi="Consolas" w:cs="Consolas"/>
          <w:sz w:val="17"/>
          <w:szCs w:val="17"/>
        </w:rPr>
        <w:t>series.index.astype</w:t>
      </w:r>
      <w:proofErr w:type="spellEnd"/>
      <w:r>
        <w:rPr>
          <w:rFonts w:ascii="Consolas" w:eastAsia="Consolas" w:hAnsi="Consolas" w:cs="Consolas"/>
          <w:sz w:val="17"/>
          <w:szCs w:val="17"/>
        </w:rPr>
        <w:t>(int),</w:t>
      </w:r>
      <w:r>
        <w:rPr>
          <w:rFonts w:ascii="Consolas" w:eastAsia="Consolas" w:hAnsi="Consolas" w:cs="Consolas"/>
          <w:sz w:val="17"/>
          <w:szCs w:val="17"/>
        </w:rPr>
        <w:br/>
        <w:t xml:space="preserve">                    '</w:t>
      </w:r>
      <w:proofErr w:type="spellStart"/>
      <w:r>
        <w:rPr>
          <w:rFonts w:ascii="Consolas" w:eastAsia="Consolas" w:hAnsi="Consolas" w:cs="Consolas"/>
          <w:sz w:val="17"/>
          <w:szCs w:val="17"/>
        </w:rPr>
        <w:t>GDP_USD_Billion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series.values.astype</w:t>
      </w:r>
      <w:proofErr w:type="spellEnd"/>
      <w:r>
        <w:rPr>
          <w:rFonts w:ascii="Consolas" w:eastAsia="Consolas" w:hAnsi="Consolas" w:cs="Consolas"/>
          <w:sz w:val="17"/>
          <w:szCs w:val="17"/>
        </w:rPr>
        <w:t>(float) / 1e9})</w:t>
      </w:r>
      <w:r>
        <w:rPr>
          <w:rFonts w:ascii="Consolas" w:eastAsia="Consolas" w:hAnsi="Consolas" w:cs="Consolas"/>
          <w:sz w:val="17"/>
          <w:szCs w:val="17"/>
        </w:rPr>
        <w:br/>
      </w: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r>
        <w:rPr>
          <w:rFonts w:ascii="Consolas" w:eastAsia="Consolas" w:hAnsi="Consolas" w:cs="Consolas"/>
          <w:sz w:val="17"/>
          <w:szCs w:val="17"/>
        </w:rPr>
        <w:t>df</w:t>
      </w:r>
      <w:proofErr w:type="spellEnd"/>
      <w:r>
        <w:rPr>
          <w:rFonts w:ascii="Consolas" w:eastAsia="Consolas" w:hAnsi="Consolas" w:cs="Consolas"/>
          <w:sz w:val="17"/>
          <w:szCs w:val="17"/>
        </w:rPr>
        <w:t>['Year'] &gt;= 2000].</w:t>
      </w:r>
      <w:proofErr w:type="spellStart"/>
      <w:r>
        <w:rPr>
          <w:rFonts w:ascii="Consolas" w:eastAsia="Consolas" w:hAnsi="Consolas" w:cs="Consolas"/>
          <w:sz w:val="17"/>
          <w:szCs w:val="17"/>
        </w:rPr>
        <w:t>reset_index</w:t>
      </w:r>
      <w:proofErr w:type="spellEnd"/>
      <w:r>
        <w:rPr>
          <w:rFonts w:ascii="Consolas" w:eastAsia="Consolas" w:hAnsi="Consolas" w:cs="Consolas"/>
          <w:sz w:val="17"/>
          <w:szCs w:val="17"/>
        </w:rPr>
        <w:t>(drop=True)</w:t>
      </w:r>
      <w:r>
        <w:rPr>
          <w:rFonts w:ascii="Consolas" w:eastAsia="Consolas" w:hAnsi="Consolas" w:cs="Consolas"/>
          <w:sz w:val="17"/>
          <w:szCs w:val="17"/>
        </w:rPr>
        <w:br/>
      </w:r>
      <w:proofErr w:type="spellStart"/>
      <w:r>
        <w:rPr>
          <w:rFonts w:ascii="Consolas" w:eastAsia="Consolas" w:hAnsi="Consolas" w:cs="Consolas"/>
          <w:sz w:val="17"/>
          <w:szCs w:val="17"/>
        </w:rPr>
        <w:t>train_df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test_df</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df.iloc</w:t>
      </w:r>
      <w:proofErr w:type="spellEnd"/>
      <w:r>
        <w:rPr>
          <w:rFonts w:ascii="Consolas" w:eastAsia="Consolas" w:hAnsi="Consolas" w:cs="Consolas"/>
          <w:sz w:val="17"/>
          <w:szCs w:val="17"/>
        </w:rPr>
        <w:t xml:space="preserve">[:-5], </w:t>
      </w:r>
      <w:proofErr w:type="spellStart"/>
      <w:r>
        <w:rPr>
          <w:rFonts w:ascii="Consolas" w:eastAsia="Consolas" w:hAnsi="Consolas" w:cs="Consolas"/>
          <w:sz w:val="17"/>
          <w:szCs w:val="17"/>
        </w:rPr>
        <w:t>df.iloc</w:t>
      </w:r>
      <w:proofErr w:type="spellEnd"/>
      <w:r>
        <w:rPr>
          <w:rFonts w:ascii="Consolas" w:eastAsia="Consolas" w:hAnsi="Consolas" w:cs="Consolas"/>
          <w:sz w:val="17"/>
          <w:szCs w:val="17"/>
        </w:rPr>
        <w:t>[-5:]   # last 5 years held out</w:t>
      </w:r>
    </w:p>
    <w:p w14:paraId="41C5C8E4" w14:textId="77777777" w:rsidR="00724B3F" w:rsidRDefault="00000000">
      <w:pPr>
        <w:pStyle w:val="Heading2"/>
        <w:spacing w:before="240" w:after="120"/>
      </w:pPr>
      <w:r>
        <w:t>4.2 Log-Linear Regression</w:t>
      </w:r>
    </w:p>
    <w:p w14:paraId="5BB8A83F" w14:textId="77777777" w:rsidR="00724B3F" w:rsidRDefault="00000000">
      <w:pPr>
        <w:pBdr>
          <w:top w:val="single" w:sz="4" w:space="0" w:color="CCCCCC"/>
          <w:left w:val="single" w:sz="4" w:space="0" w:color="CCCCCC"/>
          <w:bottom w:val="single" w:sz="4" w:space="0" w:color="CCCCCC"/>
          <w:right w:val="single" w:sz="4" w:space="0" w:color="CCCCCC"/>
        </w:pBdr>
        <w:shd w:val="clear" w:color="auto" w:fill="F2F2F2"/>
        <w:spacing w:after="40"/>
      </w:pPr>
      <w:proofErr w:type="spellStart"/>
      <w:r>
        <w:rPr>
          <w:rFonts w:ascii="Consolas" w:eastAsia="Consolas" w:hAnsi="Consolas" w:cs="Consolas"/>
          <w:sz w:val="17"/>
          <w:szCs w:val="17"/>
        </w:rPr>
        <w:t>lr_model</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LinearRegression</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r>
        <w:rPr>
          <w:rFonts w:ascii="Consolas" w:eastAsia="Consolas" w:hAnsi="Consolas" w:cs="Consolas"/>
          <w:sz w:val="17"/>
          <w:szCs w:val="17"/>
        </w:rPr>
        <w:br/>
      </w:r>
      <w:proofErr w:type="spellStart"/>
      <w:proofErr w:type="gramStart"/>
      <w:r>
        <w:rPr>
          <w:rFonts w:ascii="Consolas" w:eastAsia="Consolas" w:hAnsi="Consolas" w:cs="Consolas"/>
          <w:sz w:val="17"/>
          <w:szCs w:val="17"/>
        </w:rPr>
        <w:t>lr_model.fit</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X_train</w:t>
      </w:r>
      <w:proofErr w:type="spellEnd"/>
      <w:r>
        <w:rPr>
          <w:rFonts w:ascii="Consolas" w:eastAsia="Consolas" w:hAnsi="Consolas" w:cs="Consolas"/>
          <w:sz w:val="17"/>
          <w:szCs w:val="17"/>
        </w:rPr>
        <w:t>, np.log(</w:t>
      </w:r>
      <w:proofErr w:type="spellStart"/>
      <w:r>
        <w:rPr>
          <w:rFonts w:ascii="Consolas" w:eastAsia="Consolas" w:hAnsi="Consolas" w:cs="Consolas"/>
          <w:sz w:val="17"/>
          <w:szCs w:val="17"/>
        </w:rPr>
        <w:t>y_train</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fit on </w:t>
      </w:r>
      <w:proofErr w:type="gramStart"/>
      <w:r>
        <w:rPr>
          <w:rFonts w:ascii="Consolas" w:eastAsia="Consolas" w:hAnsi="Consolas" w:cs="Consolas"/>
          <w:sz w:val="17"/>
          <w:szCs w:val="17"/>
        </w:rPr>
        <w:t>log(</w:t>
      </w:r>
      <w:proofErr w:type="gramEnd"/>
      <w:r>
        <w:rPr>
          <w:rFonts w:ascii="Consolas" w:eastAsia="Consolas" w:hAnsi="Consolas" w:cs="Consolas"/>
          <w:sz w:val="17"/>
          <w:szCs w:val="17"/>
        </w:rPr>
        <w:t>GDP)</w:t>
      </w:r>
      <w:r>
        <w:rPr>
          <w:rFonts w:ascii="Consolas" w:eastAsia="Consolas" w:hAnsi="Consolas" w:cs="Consolas"/>
          <w:sz w:val="17"/>
          <w:szCs w:val="17"/>
        </w:rPr>
        <w:br/>
      </w:r>
      <w:proofErr w:type="spellStart"/>
      <w:r>
        <w:rPr>
          <w:rFonts w:ascii="Consolas" w:eastAsia="Consolas" w:hAnsi="Consolas" w:cs="Consolas"/>
          <w:sz w:val="17"/>
          <w:szCs w:val="17"/>
        </w:rPr>
        <w:t>lr_pred_test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np.exp</w:t>
      </w:r>
      <w:proofErr w:type="spellEnd"/>
      <w:r>
        <w:rPr>
          <w:rFonts w:ascii="Consolas" w:eastAsia="Consolas" w:hAnsi="Consolas" w:cs="Consolas"/>
          <w:sz w:val="17"/>
          <w:szCs w:val="17"/>
        </w:rPr>
        <w:t>(</w:t>
      </w:r>
      <w:proofErr w:type="spellStart"/>
      <w:r>
        <w:rPr>
          <w:rFonts w:ascii="Consolas" w:eastAsia="Consolas" w:hAnsi="Consolas" w:cs="Consolas"/>
          <w:sz w:val="17"/>
          <w:szCs w:val="17"/>
        </w:rPr>
        <w:t>lr_</w:t>
      </w:r>
      <w:proofErr w:type="gramStart"/>
      <w:r>
        <w:rPr>
          <w:rFonts w:ascii="Consolas" w:eastAsia="Consolas" w:hAnsi="Consolas" w:cs="Consolas"/>
          <w:sz w:val="17"/>
          <w:szCs w:val="17"/>
        </w:rPr>
        <w:t>model.predict</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X_test</w:t>
      </w:r>
      <w:proofErr w:type="spellEnd"/>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back-transform</w:t>
      </w:r>
    </w:p>
    <w:p w14:paraId="561B556C" w14:textId="77777777" w:rsidR="00724B3F" w:rsidRDefault="00000000">
      <w:pPr>
        <w:pStyle w:val="Heading2"/>
        <w:spacing w:before="240" w:after="120"/>
      </w:pPr>
      <w:r>
        <w:lastRenderedPageBreak/>
        <w:t>4.3 Holt's Linear Trend Model</w:t>
      </w:r>
    </w:p>
    <w:p w14:paraId="71A8F695" w14:textId="77777777" w:rsidR="00724B3F" w:rsidRDefault="00000000">
      <w:pPr>
        <w:pBdr>
          <w:top w:val="single" w:sz="4" w:space="0" w:color="CCCCCC"/>
          <w:left w:val="single" w:sz="4" w:space="0" w:color="CCCCCC"/>
          <w:bottom w:val="single" w:sz="4" w:space="0" w:color="CCCCCC"/>
          <w:right w:val="single" w:sz="4" w:space="0" w:color="CCCCCC"/>
        </w:pBdr>
        <w:shd w:val="clear" w:color="auto" w:fill="F2F2F2"/>
        <w:spacing w:after="40"/>
      </w:pPr>
      <w:r>
        <w:rPr>
          <w:rFonts w:ascii="Consolas" w:eastAsia="Consolas" w:hAnsi="Consolas" w:cs="Consolas"/>
          <w:sz w:val="17"/>
          <w:szCs w:val="17"/>
        </w:rPr>
        <w:t xml:space="preserve">def </w:t>
      </w:r>
      <w:proofErr w:type="spellStart"/>
      <w:r>
        <w:rPr>
          <w:rFonts w:ascii="Consolas" w:eastAsia="Consolas" w:hAnsi="Consolas" w:cs="Consolas"/>
          <w:sz w:val="17"/>
          <w:szCs w:val="17"/>
        </w:rPr>
        <w:t>holt_linear</w:t>
      </w:r>
      <w:proofErr w:type="spellEnd"/>
      <w:r>
        <w:rPr>
          <w:rFonts w:ascii="Consolas" w:eastAsia="Consolas" w:hAnsi="Consolas" w:cs="Consolas"/>
          <w:sz w:val="17"/>
          <w:szCs w:val="17"/>
        </w:rPr>
        <w:t xml:space="preserve">(series, alpha, beta, </w:t>
      </w:r>
      <w:proofErr w:type="spellStart"/>
      <w:r>
        <w:rPr>
          <w:rFonts w:ascii="Consolas" w:eastAsia="Consolas" w:hAnsi="Consolas" w:cs="Consolas"/>
          <w:sz w:val="17"/>
          <w:szCs w:val="17"/>
        </w:rPr>
        <w:t>n_forecast</w:t>
      </w:r>
      <w:proofErr w:type="spellEnd"/>
      <w:r>
        <w:rPr>
          <w:rFonts w:ascii="Consolas" w:eastAsia="Consolas" w:hAnsi="Consolas" w:cs="Consolas"/>
          <w:sz w:val="17"/>
          <w:szCs w:val="17"/>
        </w:rPr>
        <w:t>):</w:t>
      </w:r>
      <w:r>
        <w:rPr>
          <w:rFonts w:ascii="Consolas" w:eastAsia="Consolas" w:hAnsi="Consolas" w:cs="Consolas"/>
          <w:sz w:val="17"/>
          <w:szCs w:val="17"/>
        </w:rPr>
        <w:br/>
        <w:t xml:space="preserve">    level = [series[0]]</w:t>
      </w:r>
      <w:r>
        <w:rPr>
          <w:rFonts w:ascii="Consolas" w:eastAsia="Consolas" w:hAnsi="Consolas" w:cs="Consolas"/>
          <w:sz w:val="17"/>
          <w:szCs w:val="17"/>
        </w:rPr>
        <w:br/>
        <w:t xml:space="preserve">    trend = [series[1] - series[0]]</w:t>
      </w:r>
      <w:r>
        <w:rPr>
          <w:rFonts w:ascii="Consolas" w:eastAsia="Consolas" w:hAnsi="Consolas" w:cs="Consolas"/>
          <w:sz w:val="17"/>
          <w:szCs w:val="17"/>
        </w:rPr>
        <w:br/>
        <w:t xml:space="preserve">    for t in range(1,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(series)):</w:t>
      </w:r>
      <w:r>
        <w:rPr>
          <w:rFonts w:ascii="Consolas" w:eastAsia="Consolas" w:hAnsi="Consolas" w:cs="Consolas"/>
          <w:sz w:val="17"/>
          <w:szCs w:val="17"/>
        </w:rPr>
        <w:br/>
        <w:t xml:space="preserve">        </w:t>
      </w:r>
      <w:proofErr w:type="spellStart"/>
      <w:r>
        <w:rPr>
          <w:rFonts w:ascii="Consolas" w:eastAsia="Consolas" w:hAnsi="Consolas" w:cs="Consolas"/>
          <w:sz w:val="17"/>
          <w:szCs w:val="17"/>
        </w:rPr>
        <w:t>new_level</w:t>
      </w:r>
      <w:proofErr w:type="spellEnd"/>
      <w:r>
        <w:rPr>
          <w:rFonts w:ascii="Consolas" w:eastAsia="Consolas" w:hAnsi="Consolas" w:cs="Consolas"/>
          <w:sz w:val="17"/>
          <w:szCs w:val="17"/>
        </w:rPr>
        <w:t xml:space="preserve"> = alpha*series[t] + (1-alpha)*(level[-1]+trend[-1])</w:t>
      </w:r>
      <w:r>
        <w:rPr>
          <w:rFonts w:ascii="Consolas" w:eastAsia="Consolas" w:hAnsi="Consolas" w:cs="Consolas"/>
          <w:sz w:val="17"/>
          <w:szCs w:val="17"/>
        </w:rPr>
        <w:br/>
        <w:t xml:space="preserve">        </w:t>
      </w:r>
      <w:proofErr w:type="spellStart"/>
      <w:r>
        <w:rPr>
          <w:rFonts w:ascii="Consolas" w:eastAsia="Consolas" w:hAnsi="Consolas" w:cs="Consolas"/>
          <w:sz w:val="17"/>
          <w:szCs w:val="17"/>
        </w:rPr>
        <w:t>new_trend</w:t>
      </w:r>
      <w:proofErr w:type="spellEnd"/>
      <w:r>
        <w:rPr>
          <w:rFonts w:ascii="Consolas" w:eastAsia="Consolas" w:hAnsi="Consolas" w:cs="Consolas"/>
          <w:sz w:val="17"/>
          <w:szCs w:val="17"/>
        </w:rPr>
        <w:t xml:space="preserve"> = beta*(</w:t>
      </w:r>
      <w:proofErr w:type="spellStart"/>
      <w:r>
        <w:rPr>
          <w:rFonts w:ascii="Consolas" w:eastAsia="Consolas" w:hAnsi="Consolas" w:cs="Consolas"/>
          <w:sz w:val="17"/>
          <w:szCs w:val="17"/>
        </w:rPr>
        <w:t>new_level</w:t>
      </w:r>
      <w:proofErr w:type="spellEnd"/>
      <w:r>
        <w:rPr>
          <w:rFonts w:ascii="Consolas" w:eastAsia="Consolas" w:hAnsi="Consolas" w:cs="Consolas"/>
          <w:sz w:val="17"/>
          <w:szCs w:val="17"/>
        </w:rPr>
        <w:t>-level[-1]) + (1-beta)*trend[-1]</w:t>
      </w:r>
      <w:r>
        <w:rPr>
          <w:rFonts w:ascii="Consolas" w:eastAsia="Consolas" w:hAnsi="Consolas" w:cs="Consolas"/>
          <w:sz w:val="17"/>
          <w:szCs w:val="17"/>
        </w:rPr>
        <w:br/>
        <w:t xml:space="preserve">        </w:t>
      </w:r>
      <w:proofErr w:type="spellStart"/>
      <w:r>
        <w:rPr>
          <w:rFonts w:ascii="Consolas" w:eastAsia="Consolas" w:hAnsi="Consolas" w:cs="Consolas"/>
          <w:sz w:val="17"/>
          <w:szCs w:val="17"/>
        </w:rPr>
        <w:t>level.append</w:t>
      </w:r>
      <w:proofErr w:type="spellEnd"/>
      <w:r>
        <w:rPr>
          <w:rFonts w:ascii="Consolas" w:eastAsia="Consolas" w:hAnsi="Consolas" w:cs="Consolas"/>
          <w:sz w:val="17"/>
          <w:szCs w:val="17"/>
        </w:rPr>
        <w:t>(</w:t>
      </w:r>
      <w:proofErr w:type="spellStart"/>
      <w:r>
        <w:rPr>
          <w:rFonts w:ascii="Consolas" w:eastAsia="Consolas" w:hAnsi="Consolas" w:cs="Consolas"/>
          <w:sz w:val="17"/>
          <w:szCs w:val="17"/>
        </w:rPr>
        <w:t>new_level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trend.append</w:t>
      </w:r>
      <w:proofErr w:type="spellEnd"/>
      <w:r>
        <w:rPr>
          <w:rFonts w:ascii="Consolas" w:eastAsia="Consolas" w:hAnsi="Consolas" w:cs="Consolas"/>
          <w:sz w:val="17"/>
          <w:szCs w:val="17"/>
        </w:rPr>
        <w:t>(</w:t>
      </w:r>
      <w:proofErr w:type="spellStart"/>
      <w:r>
        <w:rPr>
          <w:rFonts w:ascii="Consolas" w:eastAsia="Consolas" w:hAnsi="Consolas" w:cs="Consolas"/>
          <w:sz w:val="17"/>
          <w:szCs w:val="17"/>
        </w:rPr>
        <w:t>new_trend</w:t>
      </w:r>
      <w:proofErr w:type="spellEnd"/>
      <w:r>
        <w:rPr>
          <w:rFonts w:ascii="Consolas" w:eastAsia="Consolas" w:hAnsi="Consolas" w:cs="Consolas"/>
          <w:sz w:val="17"/>
          <w:szCs w:val="17"/>
        </w:rPr>
        <w:t>)</w:t>
      </w:r>
      <w:r>
        <w:rPr>
          <w:rFonts w:ascii="Consolas" w:eastAsia="Consolas" w:hAnsi="Consolas" w:cs="Consolas"/>
          <w:sz w:val="17"/>
          <w:szCs w:val="17"/>
        </w:rPr>
        <w:br/>
        <w:t xml:space="preserve">    forecasts = [level[-1] + (h+1)*trend[-1] for h in range(</w:t>
      </w:r>
      <w:proofErr w:type="spellStart"/>
      <w:r>
        <w:rPr>
          <w:rFonts w:ascii="Consolas" w:eastAsia="Consolas" w:hAnsi="Consolas" w:cs="Consolas"/>
          <w:sz w:val="17"/>
          <w:szCs w:val="17"/>
        </w:rPr>
        <w:t>n_forecast</w:t>
      </w:r>
      <w:proofErr w:type="spellEnd"/>
      <w:r>
        <w:rPr>
          <w:rFonts w:ascii="Consolas" w:eastAsia="Consolas" w:hAnsi="Consolas" w:cs="Consolas"/>
          <w:sz w:val="17"/>
          <w:szCs w:val="17"/>
        </w:rPr>
        <w:t>)]</w:t>
      </w:r>
      <w:r>
        <w:rPr>
          <w:rFonts w:ascii="Consolas" w:eastAsia="Consolas" w:hAnsi="Consolas" w:cs="Consolas"/>
          <w:sz w:val="17"/>
          <w:szCs w:val="17"/>
        </w:rPr>
        <w:br/>
        <w:t xml:space="preserve">    return </w:t>
      </w:r>
      <w:proofErr w:type="spellStart"/>
      <w:r>
        <w:rPr>
          <w:rFonts w:ascii="Consolas" w:eastAsia="Consolas" w:hAnsi="Consolas" w:cs="Consolas"/>
          <w:sz w:val="17"/>
          <w:szCs w:val="17"/>
        </w:rPr>
        <w:t>np.array</w:t>
      </w:r>
      <w:proofErr w:type="spellEnd"/>
      <w:r>
        <w:rPr>
          <w:rFonts w:ascii="Consolas" w:eastAsia="Consolas" w:hAnsi="Consolas" w:cs="Consolas"/>
          <w:sz w:val="17"/>
          <w:szCs w:val="17"/>
        </w:rPr>
        <w:t>(forecasts)</w:t>
      </w:r>
      <w:r>
        <w:rPr>
          <w:rFonts w:ascii="Consolas" w:eastAsia="Consolas" w:hAnsi="Consolas" w:cs="Consolas"/>
          <w:sz w:val="17"/>
          <w:szCs w:val="17"/>
        </w:rPr>
        <w:br/>
      </w:r>
      <w:r>
        <w:rPr>
          <w:rFonts w:ascii="Consolas" w:eastAsia="Consolas" w:hAnsi="Consolas" w:cs="Consolas"/>
          <w:sz w:val="17"/>
          <w:szCs w:val="17"/>
        </w:rPr>
        <w:br/>
      </w:r>
      <w:proofErr w:type="spellStart"/>
      <w:r>
        <w:rPr>
          <w:rFonts w:ascii="Consolas" w:eastAsia="Consolas" w:hAnsi="Consolas" w:cs="Consolas"/>
          <w:sz w:val="17"/>
          <w:szCs w:val="17"/>
        </w:rPr>
        <w:t>holt_pred_test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holt_linear</w:t>
      </w:r>
      <w:proofErr w:type="spellEnd"/>
      <w:r>
        <w:rPr>
          <w:rFonts w:ascii="Consolas" w:eastAsia="Consolas" w:hAnsi="Consolas" w:cs="Consolas"/>
          <w:sz w:val="17"/>
          <w:szCs w:val="17"/>
        </w:rPr>
        <w:t>(</w:t>
      </w:r>
      <w:proofErr w:type="spellStart"/>
      <w:r>
        <w:rPr>
          <w:rFonts w:ascii="Consolas" w:eastAsia="Consolas" w:hAnsi="Consolas" w:cs="Consolas"/>
          <w:sz w:val="17"/>
          <w:szCs w:val="17"/>
        </w:rPr>
        <w:t>train_df</w:t>
      </w:r>
      <w:proofErr w:type="spellEnd"/>
      <w:r>
        <w:rPr>
          <w:rFonts w:ascii="Consolas" w:eastAsia="Consolas" w:hAnsi="Consolas" w:cs="Consolas"/>
          <w:sz w:val="17"/>
          <w:szCs w:val="17"/>
        </w:rPr>
        <w:t>['</w:t>
      </w:r>
      <w:proofErr w:type="spellStart"/>
      <w:r>
        <w:rPr>
          <w:rFonts w:ascii="Consolas" w:eastAsia="Consolas" w:hAnsi="Consolas" w:cs="Consolas"/>
          <w:sz w:val="17"/>
          <w:szCs w:val="17"/>
        </w:rPr>
        <w:t>GDP_USD_Billion</w:t>
      </w:r>
      <w:proofErr w:type="spellEnd"/>
      <w:r>
        <w:rPr>
          <w:rFonts w:ascii="Consolas" w:eastAsia="Consolas" w:hAnsi="Consolas" w:cs="Consolas"/>
          <w:sz w:val="17"/>
          <w:szCs w:val="17"/>
        </w:rPr>
        <w:t>'].values,</w:t>
      </w:r>
      <w:r>
        <w:rPr>
          <w:rFonts w:ascii="Consolas" w:eastAsia="Consolas" w:hAnsi="Consolas" w:cs="Consolas"/>
          <w:sz w:val="17"/>
          <w:szCs w:val="17"/>
        </w:rPr>
        <w:br/>
        <w:t xml:space="preserve">                              alpha=0.8, beta=0.3, </w:t>
      </w:r>
      <w:proofErr w:type="spellStart"/>
      <w:r>
        <w:rPr>
          <w:rFonts w:ascii="Consolas" w:eastAsia="Consolas" w:hAnsi="Consolas" w:cs="Consolas"/>
          <w:sz w:val="17"/>
          <w:szCs w:val="17"/>
        </w:rPr>
        <w:t>n_forecast</w:t>
      </w:r>
      <w:proofErr w:type="spellEnd"/>
      <w:r>
        <w:rPr>
          <w:rFonts w:ascii="Consolas" w:eastAsia="Consolas" w:hAnsi="Consolas" w:cs="Consolas"/>
          <w:sz w:val="17"/>
          <w:szCs w:val="17"/>
        </w:rPr>
        <w:t>=5)</w:t>
      </w:r>
    </w:p>
    <w:p w14:paraId="7A08B6F9" w14:textId="77777777" w:rsidR="00724B3F" w:rsidRDefault="00000000">
      <w:pPr>
        <w:pStyle w:val="Heading2"/>
        <w:spacing w:before="240" w:after="120"/>
      </w:pPr>
      <w:r>
        <w:t>4.4 Model Evaluation</w:t>
      </w:r>
    </w:p>
    <w:p w14:paraId="3B60709C" w14:textId="77777777" w:rsidR="00724B3F" w:rsidRDefault="00000000">
      <w:pPr>
        <w:pBdr>
          <w:top w:val="single" w:sz="4" w:space="0" w:color="CCCCCC"/>
          <w:left w:val="single" w:sz="4" w:space="0" w:color="CCCCCC"/>
          <w:bottom w:val="single" w:sz="4" w:space="0" w:color="CCCCCC"/>
          <w:right w:val="single" w:sz="4" w:space="0" w:color="CCCCCC"/>
        </w:pBdr>
        <w:shd w:val="clear" w:color="auto" w:fill="F2F2F2"/>
        <w:spacing w:after="40"/>
      </w:pPr>
      <w:r>
        <w:rPr>
          <w:rFonts w:ascii="Consolas" w:eastAsia="Consolas" w:hAnsi="Consolas" w:cs="Consolas"/>
          <w:sz w:val="17"/>
          <w:szCs w:val="17"/>
        </w:rPr>
        <w:t xml:space="preserve">def </w:t>
      </w:r>
      <w:proofErr w:type="gramStart"/>
      <w:r>
        <w:rPr>
          <w:rFonts w:ascii="Consolas" w:eastAsia="Consolas" w:hAnsi="Consolas" w:cs="Consolas"/>
          <w:sz w:val="17"/>
          <w:szCs w:val="17"/>
        </w:rPr>
        <w:t>metrics(</w:t>
      </w:r>
      <w:proofErr w:type="spellStart"/>
      <w:proofErr w:type="gramEnd"/>
      <w:r>
        <w:rPr>
          <w:rFonts w:ascii="Consolas" w:eastAsia="Consolas" w:hAnsi="Consolas" w:cs="Consolas"/>
          <w:sz w:val="17"/>
          <w:szCs w:val="17"/>
        </w:rPr>
        <w:t>y_true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y_pred</w:t>
      </w:r>
      <w:proofErr w:type="spellEnd"/>
      <w:r>
        <w:rPr>
          <w:rFonts w:ascii="Consolas" w:eastAsia="Consolas" w:hAnsi="Consolas" w:cs="Consolas"/>
          <w:sz w:val="17"/>
          <w:szCs w:val="17"/>
        </w:rPr>
        <w:t>):</w:t>
      </w:r>
      <w:r>
        <w:rPr>
          <w:rFonts w:ascii="Consolas" w:eastAsia="Consolas" w:hAnsi="Consolas" w:cs="Consolas"/>
          <w:sz w:val="17"/>
          <w:szCs w:val="17"/>
        </w:rPr>
        <w:br/>
        <w:t xml:space="preserve">    </w:t>
      </w:r>
      <w:proofErr w:type="spellStart"/>
      <w:r>
        <w:rPr>
          <w:rFonts w:ascii="Consolas" w:eastAsia="Consolas" w:hAnsi="Consolas" w:cs="Consolas"/>
          <w:sz w:val="17"/>
          <w:szCs w:val="17"/>
        </w:rPr>
        <w:t>mae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mean_absolute_</w:t>
      </w:r>
      <w:proofErr w:type="gramStart"/>
      <w:r>
        <w:rPr>
          <w:rFonts w:ascii="Consolas" w:eastAsia="Consolas" w:hAnsi="Consolas" w:cs="Consolas"/>
          <w:sz w:val="17"/>
          <w:szCs w:val="17"/>
        </w:rPr>
        <w:t>error</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y_true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y_pred</w:t>
      </w:r>
      <w:proofErr w:type="spellEnd"/>
      <w:r>
        <w:rPr>
          <w:rFonts w:ascii="Consolas" w:eastAsia="Consolas" w:hAnsi="Consolas" w:cs="Consolas"/>
          <w:sz w:val="17"/>
          <w:szCs w:val="17"/>
        </w:rPr>
        <w:t>)</w:t>
      </w:r>
      <w:r>
        <w:rPr>
          <w:rFonts w:ascii="Consolas" w:eastAsia="Consolas" w:hAnsi="Consolas" w:cs="Consolas"/>
          <w:sz w:val="17"/>
          <w:szCs w:val="17"/>
        </w:rPr>
        <w:br/>
        <w:t xml:space="preserve">    </w:t>
      </w:r>
      <w:proofErr w:type="spellStart"/>
      <w:r>
        <w:rPr>
          <w:rFonts w:ascii="Consolas" w:eastAsia="Consolas" w:hAnsi="Consolas" w:cs="Consolas"/>
          <w:sz w:val="17"/>
          <w:szCs w:val="17"/>
        </w:rPr>
        <w:t>rmse</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np.sqrt</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mean_squared_</w:t>
      </w:r>
      <w:proofErr w:type="gramStart"/>
      <w:r>
        <w:rPr>
          <w:rFonts w:ascii="Consolas" w:eastAsia="Consolas" w:hAnsi="Consolas" w:cs="Consolas"/>
          <w:sz w:val="17"/>
          <w:szCs w:val="17"/>
        </w:rPr>
        <w:t>error</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y_true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y_pred</w:t>
      </w:r>
      <w:proofErr w:type="spellEnd"/>
      <w:r>
        <w:rPr>
          <w:rFonts w:ascii="Consolas" w:eastAsia="Consolas" w:hAnsi="Consolas" w:cs="Consolas"/>
          <w:sz w:val="17"/>
          <w:szCs w:val="17"/>
        </w:rPr>
        <w:t>))</w:t>
      </w:r>
      <w:r>
        <w:rPr>
          <w:rFonts w:ascii="Consolas" w:eastAsia="Consolas" w:hAnsi="Consolas" w:cs="Consolas"/>
          <w:sz w:val="17"/>
          <w:szCs w:val="17"/>
        </w:rPr>
        <w:br/>
        <w:t xml:space="preserve">    </w:t>
      </w:r>
      <w:proofErr w:type="spellStart"/>
      <w:r>
        <w:rPr>
          <w:rFonts w:ascii="Consolas" w:eastAsia="Consolas" w:hAnsi="Consolas" w:cs="Consolas"/>
          <w:sz w:val="17"/>
          <w:szCs w:val="17"/>
        </w:rPr>
        <w:t>mape</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np.mean</w:t>
      </w:r>
      <w:proofErr w:type="spellEnd"/>
      <w:proofErr w:type="gramEnd"/>
      <w:r>
        <w:rPr>
          <w:rFonts w:ascii="Consolas" w:eastAsia="Consolas" w:hAnsi="Consolas" w:cs="Consolas"/>
          <w:sz w:val="17"/>
          <w:szCs w:val="17"/>
        </w:rPr>
        <w:t>(</w:t>
      </w:r>
      <w:proofErr w:type="spellStart"/>
      <w:proofErr w:type="gramStart"/>
      <w:r>
        <w:rPr>
          <w:rFonts w:ascii="Consolas" w:eastAsia="Consolas" w:hAnsi="Consolas" w:cs="Consolas"/>
          <w:sz w:val="17"/>
          <w:szCs w:val="17"/>
        </w:rPr>
        <w:t>np.abs</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roofErr w:type="spellStart"/>
      <w:r>
        <w:rPr>
          <w:rFonts w:ascii="Consolas" w:eastAsia="Consolas" w:hAnsi="Consolas" w:cs="Consolas"/>
          <w:sz w:val="17"/>
          <w:szCs w:val="17"/>
        </w:rPr>
        <w:t>y_true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y_pred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y_true</w:t>
      </w:r>
      <w:proofErr w:type="spellEnd"/>
      <w:r>
        <w:rPr>
          <w:rFonts w:ascii="Consolas" w:eastAsia="Consolas" w:hAnsi="Consolas" w:cs="Consolas"/>
          <w:sz w:val="17"/>
          <w:szCs w:val="17"/>
        </w:rPr>
        <w:t>)) * 100</w:t>
      </w:r>
      <w:r>
        <w:rPr>
          <w:rFonts w:ascii="Consolas" w:eastAsia="Consolas" w:hAnsi="Consolas" w:cs="Consolas"/>
          <w:sz w:val="17"/>
          <w:szCs w:val="17"/>
        </w:rPr>
        <w:br/>
        <w:t xml:space="preserve">    return </w:t>
      </w:r>
      <w:proofErr w:type="spellStart"/>
      <w:r>
        <w:rPr>
          <w:rFonts w:ascii="Consolas" w:eastAsia="Consolas" w:hAnsi="Consolas" w:cs="Consolas"/>
          <w:sz w:val="17"/>
          <w:szCs w:val="17"/>
        </w:rPr>
        <w:t>mae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rmse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mape</w:t>
      </w:r>
      <w:proofErr w:type="spellEnd"/>
    </w:p>
    <w:p w14:paraId="7DCCD7C6" w14:textId="77777777" w:rsidR="00724B3F" w:rsidRDefault="00000000">
      <w:pPr>
        <w:pStyle w:val="Heading1"/>
        <w:spacing w:before="320" w:after="160"/>
      </w:pPr>
      <w:r>
        <w:t>5. Forecast Results</w:t>
      </w:r>
    </w:p>
    <w:p w14:paraId="367ED598" w14:textId="77777777" w:rsidR="00724B3F" w:rsidRDefault="00000000">
      <w:pPr>
        <w:pStyle w:val="Heading2"/>
        <w:spacing w:before="240" w:after="120"/>
      </w:pPr>
      <w:r>
        <w:t>5.1 Model Validation (2021–2025 hold-out)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800"/>
        <w:gridCol w:w="1800"/>
        <w:gridCol w:w="1500"/>
      </w:tblGrid>
      <w:tr w:rsidR="00724B3F" w14:paraId="7B2BB86C" w14:textId="77777777">
        <w:tblPrEx>
          <w:tblCellMar>
            <w:top w:w="0" w:type="dxa"/>
            <w:bottom w:w="0" w:type="dxa"/>
          </w:tblCellMar>
        </w:tblPrEx>
        <w:trPr>
          <w:tblHeader/>
        </w:trPr>
        <w:tc>
          <w:tcPr>
            <w:tcW w:w="4200" w:type="dxa"/>
            <w:shd w:val="clear" w:color="auto" w:fill="1F4E79"/>
            <w:vAlign w:val="center"/>
          </w:tcPr>
          <w:p w14:paraId="3AD4FC10" w14:textId="77777777" w:rsidR="00724B3F" w:rsidRDefault="00000000">
            <w:pPr>
              <w:jc w:val="center"/>
            </w:pPr>
            <w:r>
              <w:rPr>
                <w:rFonts w:ascii="Calibri" w:eastAsia="Calibri" w:hAnsi="Calibri" w:cs="Calibri"/>
                <w:b/>
                <w:bCs/>
                <w:color w:val="FFFFFF"/>
              </w:rPr>
              <w:t>Model</w:t>
            </w:r>
          </w:p>
        </w:tc>
        <w:tc>
          <w:tcPr>
            <w:tcW w:w="1800" w:type="dxa"/>
            <w:shd w:val="clear" w:color="auto" w:fill="1F4E79"/>
            <w:vAlign w:val="center"/>
          </w:tcPr>
          <w:p w14:paraId="17D6D578" w14:textId="77777777" w:rsidR="00724B3F" w:rsidRDefault="00000000">
            <w:pPr>
              <w:jc w:val="center"/>
            </w:pPr>
            <w:r>
              <w:rPr>
                <w:rFonts w:ascii="Calibri" w:eastAsia="Calibri" w:hAnsi="Calibri" w:cs="Calibri"/>
                <w:b/>
                <w:bCs/>
                <w:color w:val="FFFFFF"/>
              </w:rPr>
              <w:t>MAE</w:t>
            </w:r>
          </w:p>
        </w:tc>
        <w:tc>
          <w:tcPr>
            <w:tcW w:w="1800" w:type="dxa"/>
            <w:shd w:val="clear" w:color="auto" w:fill="1F4E79"/>
            <w:vAlign w:val="center"/>
          </w:tcPr>
          <w:p w14:paraId="27C82666" w14:textId="77777777" w:rsidR="00724B3F" w:rsidRDefault="00000000">
            <w:pPr>
              <w:jc w:val="center"/>
            </w:pPr>
            <w:r>
              <w:rPr>
                <w:rFonts w:ascii="Calibri" w:eastAsia="Calibri" w:hAnsi="Calibri" w:cs="Calibri"/>
                <w:b/>
                <w:bCs/>
                <w:color w:val="FFFFFF"/>
              </w:rPr>
              <w:t>RMSE</w:t>
            </w:r>
          </w:p>
        </w:tc>
        <w:tc>
          <w:tcPr>
            <w:tcW w:w="1500" w:type="dxa"/>
            <w:shd w:val="clear" w:color="auto" w:fill="1F4E79"/>
            <w:vAlign w:val="center"/>
          </w:tcPr>
          <w:p w14:paraId="4475EDAC" w14:textId="77777777" w:rsidR="00724B3F" w:rsidRDefault="00000000">
            <w:pPr>
              <w:jc w:val="center"/>
            </w:pPr>
            <w:r>
              <w:rPr>
                <w:rFonts w:ascii="Calibri" w:eastAsia="Calibri" w:hAnsi="Calibri" w:cs="Calibri"/>
                <w:b/>
                <w:bCs/>
                <w:color w:val="FFFFFF"/>
              </w:rPr>
              <w:t>MAPE (%)</w:t>
            </w:r>
          </w:p>
        </w:tc>
      </w:tr>
      <w:tr w:rsidR="00724B3F" w14:paraId="2C26F860" w14:textId="77777777">
        <w:tblPrEx>
          <w:tblCellMar>
            <w:top w:w="0" w:type="dxa"/>
            <w:bottom w:w="0" w:type="dxa"/>
          </w:tblCellMar>
        </w:tblPrEx>
        <w:tc>
          <w:tcPr>
            <w:tcW w:w="4200" w:type="dxa"/>
            <w:shd w:val="clear" w:color="auto" w:fill="FFFFFF"/>
            <w:vAlign w:val="center"/>
          </w:tcPr>
          <w:p w14:paraId="574EF860" w14:textId="77777777" w:rsidR="00724B3F" w:rsidRDefault="00000000">
            <w:pPr>
              <w:jc w:val="center"/>
            </w:pPr>
            <w:r>
              <w:rPr>
                <w:rFonts w:ascii="Calibri" w:eastAsia="Calibri" w:hAnsi="Calibri" w:cs="Calibri"/>
              </w:rPr>
              <w:t>Log-Linear (Compound Growth) Regression</w:t>
            </w:r>
          </w:p>
        </w:tc>
        <w:tc>
          <w:tcPr>
            <w:tcW w:w="1800" w:type="dxa"/>
            <w:shd w:val="clear" w:color="auto" w:fill="FFFFFF"/>
            <w:vAlign w:val="center"/>
          </w:tcPr>
          <w:p w14:paraId="0B9B5F82" w14:textId="77777777" w:rsidR="00724B3F" w:rsidRDefault="00000000">
            <w:pPr>
              <w:jc w:val="center"/>
            </w:pPr>
            <w:r>
              <w:rPr>
                <w:rFonts w:ascii="Calibri" w:eastAsia="Calibri" w:hAnsi="Calibri" w:cs="Calibri"/>
              </w:rPr>
              <w:t>1180.28</w:t>
            </w:r>
          </w:p>
        </w:tc>
        <w:tc>
          <w:tcPr>
            <w:tcW w:w="1800" w:type="dxa"/>
            <w:shd w:val="clear" w:color="auto" w:fill="FFFFFF"/>
            <w:vAlign w:val="center"/>
          </w:tcPr>
          <w:p w14:paraId="62ABAF87" w14:textId="77777777" w:rsidR="00724B3F" w:rsidRDefault="00000000">
            <w:pPr>
              <w:jc w:val="center"/>
            </w:pPr>
            <w:r>
              <w:rPr>
                <w:rFonts w:ascii="Calibri" w:eastAsia="Calibri" w:hAnsi="Calibri" w:cs="Calibri"/>
              </w:rPr>
              <w:t>1229.67</w:t>
            </w:r>
          </w:p>
        </w:tc>
        <w:tc>
          <w:tcPr>
            <w:tcW w:w="1500" w:type="dxa"/>
            <w:shd w:val="clear" w:color="auto" w:fill="FFFFFF"/>
            <w:vAlign w:val="center"/>
          </w:tcPr>
          <w:p w14:paraId="6F79BBCF" w14:textId="77777777" w:rsidR="00724B3F" w:rsidRDefault="00000000">
            <w:pPr>
              <w:jc w:val="center"/>
            </w:pPr>
            <w:r>
              <w:rPr>
                <w:rFonts w:ascii="Calibri" w:eastAsia="Calibri" w:hAnsi="Calibri" w:cs="Calibri"/>
              </w:rPr>
              <w:t>32.9</w:t>
            </w:r>
          </w:p>
        </w:tc>
      </w:tr>
      <w:tr w:rsidR="00724B3F" w14:paraId="77A56A0D" w14:textId="77777777">
        <w:tblPrEx>
          <w:tblCellMar>
            <w:top w:w="0" w:type="dxa"/>
            <w:bottom w:w="0" w:type="dxa"/>
          </w:tblCellMar>
        </w:tblPrEx>
        <w:tc>
          <w:tcPr>
            <w:tcW w:w="4200" w:type="dxa"/>
            <w:shd w:val="clear" w:color="auto" w:fill="EEF3F8"/>
            <w:vAlign w:val="center"/>
          </w:tcPr>
          <w:p w14:paraId="6E133E3C" w14:textId="77777777" w:rsidR="00724B3F" w:rsidRDefault="00000000">
            <w:pPr>
              <w:jc w:val="center"/>
            </w:pPr>
            <w:r>
              <w:rPr>
                <w:rFonts w:ascii="Calibri" w:eastAsia="Calibri" w:hAnsi="Calibri" w:cs="Calibri"/>
              </w:rPr>
              <w:t>Holt's Linear Trend</w:t>
            </w:r>
          </w:p>
        </w:tc>
        <w:tc>
          <w:tcPr>
            <w:tcW w:w="1800" w:type="dxa"/>
            <w:shd w:val="clear" w:color="auto" w:fill="EEF3F8"/>
            <w:vAlign w:val="center"/>
          </w:tcPr>
          <w:p w14:paraId="734768F3" w14:textId="77777777" w:rsidR="00724B3F" w:rsidRDefault="00000000">
            <w:pPr>
              <w:jc w:val="center"/>
            </w:pPr>
            <w:r>
              <w:rPr>
                <w:rFonts w:ascii="Calibri" w:eastAsia="Calibri" w:hAnsi="Calibri" w:cs="Calibri"/>
              </w:rPr>
              <w:t>563.24</w:t>
            </w:r>
          </w:p>
        </w:tc>
        <w:tc>
          <w:tcPr>
            <w:tcW w:w="1800" w:type="dxa"/>
            <w:shd w:val="clear" w:color="auto" w:fill="EEF3F8"/>
            <w:vAlign w:val="center"/>
          </w:tcPr>
          <w:p w14:paraId="15921483" w14:textId="77777777" w:rsidR="00724B3F" w:rsidRDefault="00000000">
            <w:pPr>
              <w:jc w:val="center"/>
            </w:pPr>
            <w:r>
              <w:rPr>
                <w:rFonts w:ascii="Calibri" w:eastAsia="Calibri" w:hAnsi="Calibri" w:cs="Calibri"/>
              </w:rPr>
              <w:t>595.87</w:t>
            </w:r>
          </w:p>
        </w:tc>
        <w:tc>
          <w:tcPr>
            <w:tcW w:w="1500" w:type="dxa"/>
            <w:shd w:val="clear" w:color="auto" w:fill="EEF3F8"/>
            <w:vAlign w:val="center"/>
          </w:tcPr>
          <w:p w14:paraId="20299E2A" w14:textId="77777777" w:rsidR="00724B3F" w:rsidRDefault="00000000">
            <w:pPr>
              <w:jc w:val="center"/>
            </w:pPr>
            <w:r>
              <w:rPr>
                <w:rFonts w:ascii="Calibri" w:eastAsia="Calibri" w:hAnsi="Calibri" w:cs="Calibri"/>
              </w:rPr>
              <w:t>15.62</w:t>
            </w:r>
          </w:p>
        </w:tc>
      </w:tr>
    </w:tbl>
    <w:p w14:paraId="1FE268CA" w14:textId="77777777" w:rsidR="00724B3F" w:rsidRDefault="00000000">
      <w:pPr>
        <w:spacing w:before="80" w:after="240"/>
        <w:jc w:val="center"/>
      </w:pPr>
      <w:r>
        <w:rPr>
          <w:rFonts w:ascii="Calibri" w:eastAsia="Calibri" w:hAnsi="Calibri" w:cs="Calibri"/>
          <w:i/>
          <w:iCs/>
          <w:color w:val="555555"/>
        </w:rPr>
        <w:t>Table 2. Test-set accuracy of the two candidate models. Lower is better for all three metrics.</w:t>
      </w:r>
    </w:p>
    <w:p w14:paraId="4BDACECB" w14:textId="77777777" w:rsidR="00724B3F" w:rsidRDefault="00000000">
      <w:pPr>
        <w:spacing w:before="200"/>
        <w:jc w:val="center"/>
      </w:pPr>
      <w:r>
        <w:rPr>
          <w:noProof/>
        </w:rPr>
        <w:drawing>
          <wp:inline distT="0" distB="0" distL="0" distR="0" wp14:anchorId="593F59BB" wp14:editId="6E6246C1">
            <wp:extent cx="5238750" cy="2857500"/>
            <wp:effectExtent l="0" t="0" r="0" b="0"/>
            <wp:docPr id="681079425" name="Picture 681079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2857500"/>
                    </a:xfrm>
                    <a:prstGeom prst="rect">
                      <a:avLst/>
                    </a:prstGeom>
                  </pic:spPr>
                </pic:pic>
              </a:graphicData>
            </a:graphic>
          </wp:inline>
        </w:drawing>
      </w:r>
    </w:p>
    <w:p w14:paraId="243C318B" w14:textId="77777777" w:rsidR="00724B3F" w:rsidRDefault="00000000">
      <w:pPr>
        <w:spacing w:before="80" w:after="240"/>
        <w:jc w:val="center"/>
      </w:pPr>
      <w:r>
        <w:rPr>
          <w:rFonts w:ascii="Calibri" w:eastAsia="Calibri" w:hAnsi="Calibri" w:cs="Calibri"/>
          <w:i/>
          <w:iCs/>
          <w:color w:val="555555"/>
        </w:rPr>
        <w:t>Figure 2. Actual vs. predicted GDP on the 2021–2025 hold-out period.</w:t>
      </w:r>
    </w:p>
    <w:p w14:paraId="34455546" w14:textId="77777777" w:rsidR="00724B3F" w:rsidRDefault="00000000">
      <w:pPr>
        <w:spacing w:after="160" w:line="276" w:lineRule="auto"/>
      </w:pPr>
      <w:r>
        <w:rPr>
          <w:rFonts w:ascii="Calibri" w:eastAsia="Calibri" w:hAnsi="Calibri" w:cs="Calibri"/>
          <w:sz w:val="22"/>
          <w:szCs w:val="22"/>
        </w:rPr>
        <w:t xml:space="preserve">Holt's Linear Trend model achieved a substantially lower MAPE (15.62%) than the Log-Linear Regression model (32.90%). The log-linear model was trained on 2000–2020 data, a period that includes India's very </w:t>
      </w:r>
      <w:r>
        <w:rPr>
          <w:rFonts w:ascii="Calibri" w:eastAsia="Calibri" w:hAnsi="Calibri" w:cs="Calibri"/>
          <w:sz w:val="22"/>
          <w:szCs w:val="22"/>
        </w:rPr>
        <w:lastRenderedPageBreak/>
        <w:t>high-growth 2003–2010 years; fitting a single constant compound growth rate across that whole window overstates the growth rate that actually continued into 2021–2025, so the model systematically over-forecasts. Holt's method, by contrast, bases its trend estimate mainly on the most recent training observations, so it tracks India's more moderate post-2012 growth pace far more closely. Holt's Linear Trend was therefore selected as the final forecasting model.</w:t>
      </w:r>
    </w:p>
    <w:p w14:paraId="62E5259C" w14:textId="77777777" w:rsidR="00724B3F" w:rsidRDefault="00000000">
      <w:pPr>
        <w:pStyle w:val="Heading2"/>
        <w:spacing w:before="240" w:after="120"/>
      </w:pPr>
      <w:r>
        <w:t>5.2 Five-Year GDP Forecast (2026–2030)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000"/>
        <w:gridCol w:w="2500"/>
      </w:tblGrid>
      <w:tr w:rsidR="00724B3F" w14:paraId="47C98726" w14:textId="77777777">
        <w:tblPrEx>
          <w:tblCellMar>
            <w:top w:w="0" w:type="dxa"/>
            <w:bottom w:w="0" w:type="dxa"/>
          </w:tblCellMar>
        </w:tblPrEx>
        <w:trPr>
          <w:tblHeader/>
        </w:trPr>
        <w:tc>
          <w:tcPr>
            <w:tcW w:w="2500" w:type="dxa"/>
            <w:shd w:val="clear" w:color="auto" w:fill="1F4E79"/>
            <w:vAlign w:val="center"/>
          </w:tcPr>
          <w:p w14:paraId="0BE0C0F2" w14:textId="77777777" w:rsidR="00724B3F" w:rsidRDefault="00000000">
            <w:pPr>
              <w:jc w:val="center"/>
            </w:pPr>
            <w:r>
              <w:rPr>
                <w:rFonts w:ascii="Calibri" w:eastAsia="Calibri" w:hAnsi="Calibri" w:cs="Calibri"/>
                <w:b/>
                <w:bCs/>
                <w:color w:val="FFFFFF"/>
              </w:rPr>
              <w:t>Year</w:t>
            </w:r>
          </w:p>
        </w:tc>
        <w:tc>
          <w:tcPr>
            <w:tcW w:w="4000" w:type="dxa"/>
            <w:shd w:val="clear" w:color="auto" w:fill="1F4E79"/>
            <w:vAlign w:val="center"/>
          </w:tcPr>
          <w:p w14:paraId="4856AD46" w14:textId="77777777" w:rsidR="00724B3F" w:rsidRDefault="00000000">
            <w:pPr>
              <w:jc w:val="center"/>
            </w:pPr>
            <w:r>
              <w:rPr>
                <w:rFonts w:ascii="Calibri" w:eastAsia="Calibri" w:hAnsi="Calibri" w:cs="Calibri"/>
                <w:b/>
                <w:bCs/>
                <w:color w:val="FFFFFF"/>
              </w:rPr>
              <w:t>Forecasted GDP (USD Billion)</w:t>
            </w:r>
          </w:p>
        </w:tc>
        <w:tc>
          <w:tcPr>
            <w:tcW w:w="2500" w:type="dxa"/>
            <w:shd w:val="clear" w:color="auto" w:fill="1F4E79"/>
            <w:vAlign w:val="center"/>
          </w:tcPr>
          <w:p w14:paraId="40423A76" w14:textId="77777777" w:rsidR="00724B3F" w:rsidRDefault="00000000">
            <w:pPr>
              <w:jc w:val="center"/>
            </w:pPr>
            <w:r>
              <w:rPr>
                <w:rFonts w:ascii="Calibri" w:eastAsia="Calibri" w:hAnsi="Calibri" w:cs="Calibri"/>
                <w:b/>
                <w:bCs/>
                <w:color w:val="FFFFFF"/>
              </w:rPr>
              <w:t>Forecasted Growth (%)</w:t>
            </w:r>
          </w:p>
        </w:tc>
      </w:tr>
      <w:tr w:rsidR="00724B3F" w14:paraId="404EDC29" w14:textId="77777777">
        <w:tblPrEx>
          <w:tblCellMar>
            <w:top w:w="0" w:type="dxa"/>
            <w:bottom w:w="0" w:type="dxa"/>
          </w:tblCellMar>
        </w:tblPrEx>
        <w:tc>
          <w:tcPr>
            <w:tcW w:w="2500" w:type="dxa"/>
            <w:shd w:val="clear" w:color="auto" w:fill="FFFFFF"/>
            <w:vAlign w:val="center"/>
          </w:tcPr>
          <w:p w14:paraId="1952A52F" w14:textId="77777777" w:rsidR="00724B3F" w:rsidRDefault="00000000">
            <w:pPr>
              <w:jc w:val="center"/>
            </w:pPr>
            <w:r>
              <w:rPr>
                <w:rFonts w:ascii="Calibri" w:eastAsia="Calibri" w:hAnsi="Calibri" w:cs="Calibri"/>
              </w:rPr>
              <w:t>2026</w:t>
            </w:r>
          </w:p>
        </w:tc>
        <w:tc>
          <w:tcPr>
            <w:tcW w:w="4000" w:type="dxa"/>
            <w:shd w:val="clear" w:color="auto" w:fill="FFFFFF"/>
            <w:vAlign w:val="center"/>
          </w:tcPr>
          <w:p w14:paraId="1297B087" w14:textId="77777777" w:rsidR="00724B3F" w:rsidRDefault="00000000">
            <w:pPr>
              <w:jc w:val="center"/>
            </w:pPr>
            <w:r>
              <w:rPr>
                <w:rFonts w:ascii="Calibri" w:eastAsia="Calibri" w:hAnsi="Calibri" w:cs="Calibri"/>
              </w:rPr>
              <w:t>4160.14</w:t>
            </w:r>
          </w:p>
        </w:tc>
        <w:tc>
          <w:tcPr>
            <w:tcW w:w="2500" w:type="dxa"/>
            <w:shd w:val="clear" w:color="auto" w:fill="FFFFFF"/>
            <w:vAlign w:val="center"/>
          </w:tcPr>
          <w:p w14:paraId="605BE436" w14:textId="77777777" w:rsidR="00724B3F" w:rsidRDefault="00000000">
            <w:pPr>
              <w:jc w:val="center"/>
            </w:pPr>
            <w:r>
              <w:rPr>
                <w:rFonts w:ascii="Calibri" w:eastAsia="Calibri" w:hAnsi="Calibri" w:cs="Calibri"/>
              </w:rPr>
              <w:t>5.16</w:t>
            </w:r>
          </w:p>
        </w:tc>
      </w:tr>
      <w:tr w:rsidR="00724B3F" w14:paraId="0B947F07" w14:textId="77777777">
        <w:tblPrEx>
          <w:tblCellMar>
            <w:top w:w="0" w:type="dxa"/>
            <w:bottom w:w="0" w:type="dxa"/>
          </w:tblCellMar>
        </w:tblPrEx>
        <w:tc>
          <w:tcPr>
            <w:tcW w:w="2500" w:type="dxa"/>
            <w:shd w:val="clear" w:color="auto" w:fill="EEF3F8"/>
            <w:vAlign w:val="center"/>
          </w:tcPr>
          <w:p w14:paraId="2C60E3FE" w14:textId="77777777" w:rsidR="00724B3F" w:rsidRDefault="00000000">
            <w:pPr>
              <w:jc w:val="center"/>
            </w:pPr>
            <w:r>
              <w:rPr>
                <w:rFonts w:ascii="Calibri" w:eastAsia="Calibri" w:hAnsi="Calibri" w:cs="Calibri"/>
              </w:rPr>
              <w:t>2027</w:t>
            </w:r>
          </w:p>
        </w:tc>
        <w:tc>
          <w:tcPr>
            <w:tcW w:w="4000" w:type="dxa"/>
            <w:shd w:val="clear" w:color="auto" w:fill="EEF3F8"/>
            <w:vAlign w:val="center"/>
          </w:tcPr>
          <w:p w14:paraId="1C174B9C" w14:textId="77777777" w:rsidR="00724B3F" w:rsidRDefault="00000000">
            <w:pPr>
              <w:jc w:val="center"/>
            </w:pPr>
            <w:r>
              <w:rPr>
                <w:rFonts w:ascii="Calibri" w:eastAsia="Calibri" w:hAnsi="Calibri" w:cs="Calibri"/>
              </w:rPr>
              <w:t>4366.46</w:t>
            </w:r>
          </w:p>
        </w:tc>
        <w:tc>
          <w:tcPr>
            <w:tcW w:w="2500" w:type="dxa"/>
            <w:shd w:val="clear" w:color="auto" w:fill="EEF3F8"/>
            <w:vAlign w:val="center"/>
          </w:tcPr>
          <w:p w14:paraId="44BC6C53" w14:textId="77777777" w:rsidR="00724B3F" w:rsidRDefault="00000000">
            <w:pPr>
              <w:jc w:val="center"/>
            </w:pPr>
            <w:r>
              <w:rPr>
                <w:rFonts w:ascii="Calibri" w:eastAsia="Calibri" w:hAnsi="Calibri" w:cs="Calibri"/>
              </w:rPr>
              <w:t>4.96</w:t>
            </w:r>
          </w:p>
        </w:tc>
      </w:tr>
      <w:tr w:rsidR="00724B3F" w14:paraId="7CD0A7D2" w14:textId="77777777">
        <w:tblPrEx>
          <w:tblCellMar>
            <w:top w:w="0" w:type="dxa"/>
            <w:bottom w:w="0" w:type="dxa"/>
          </w:tblCellMar>
        </w:tblPrEx>
        <w:tc>
          <w:tcPr>
            <w:tcW w:w="2500" w:type="dxa"/>
            <w:shd w:val="clear" w:color="auto" w:fill="FFFFFF"/>
            <w:vAlign w:val="center"/>
          </w:tcPr>
          <w:p w14:paraId="5AD9DEF9" w14:textId="77777777" w:rsidR="00724B3F" w:rsidRDefault="00000000">
            <w:pPr>
              <w:jc w:val="center"/>
            </w:pPr>
            <w:r>
              <w:rPr>
                <w:rFonts w:ascii="Calibri" w:eastAsia="Calibri" w:hAnsi="Calibri" w:cs="Calibri"/>
              </w:rPr>
              <w:t>2028</w:t>
            </w:r>
          </w:p>
        </w:tc>
        <w:tc>
          <w:tcPr>
            <w:tcW w:w="4000" w:type="dxa"/>
            <w:shd w:val="clear" w:color="auto" w:fill="FFFFFF"/>
            <w:vAlign w:val="center"/>
          </w:tcPr>
          <w:p w14:paraId="734BCF78" w14:textId="77777777" w:rsidR="00724B3F" w:rsidRDefault="00000000">
            <w:pPr>
              <w:jc w:val="center"/>
            </w:pPr>
            <w:r>
              <w:rPr>
                <w:rFonts w:ascii="Calibri" w:eastAsia="Calibri" w:hAnsi="Calibri" w:cs="Calibri"/>
              </w:rPr>
              <w:t>4572.79</w:t>
            </w:r>
          </w:p>
        </w:tc>
        <w:tc>
          <w:tcPr>
            <w:tcW w:w="2500" w:type="dxa"/>
            <w:shd w:val="clear" w:color="auto" w:fill="FFFFFF"/>
            <w:vAlign w:val="center"/>
          </w:tcPr>
          <w:p w14:paraId="3E6326B4" w14:textId="77777777" w:rsidR="00724B3F" w:rsidRDefault="00000000">
            <w:pPr>
              <w:jc w:val="center"/>
            </w:pPr>
            <w:r>
              <w:rPr>
                <w:rFonts w:ascii="Calibri" w:eastAsia="Calibri" w:hAnsi="Calibri" w:cs="Calibri"/>
              </w:rPr>
              <w:t>4.73</w:t>
            </w:r>
          </w:p>
        </w:tc>
      </w:tr>
      <w:tr w:rsidR="00724B3F" w14:paraId="684068FD" w14:textId="77777777">
        <w:tblPrEx>
          <w:tblCellMar>
            <w:top w:w="0" w:type="dxa"/>
            <w:bottom w:w="0" w:type="dxa"/>
          </w:tblCellMar>
        </w:tblPrEx>
        <w:tc>
          <w:tcPr>
            <w:tcW w:w="2500" w:type="dxa"/>
            <w:shd w:val="clear" w:color="auto" w:fill="EEF3F8"/>
            <w:vAlign w:val="center"/>
          </w:tcPr>
          <w:p w14:paraId="6BC31AB9" w14:textId="77777777" w:rsidR="00724B3F" w:rsidRDefault="00000000">
            <w:pPr>
              <w:jc w:val="center"/>
            </w:pPr>
            <w:r>
              <w:rPr>
                <w:rFonts w:ascii="Calibri" w:eastAsia="Calibri" w:hAnsi="Calibri" w:cs="Calibri"/>
              </w:rPr>
              <w:t>2029</w:t>
            </w:r>
          </w:p>
        </w:tc>
        <w:tc>
          <w:tcPr>
            <w:tcW w:w="4000" w:type="dxa"/>
            <w:shd w:val="clear" w:color="auto" w:fill="EEF3F8"/>
            <w:vAlign w:val="center"/>
          </w:tcPr>
          <w:p w14:paraId="36E519BA" w14:textId="77777777" w:rsidR="00724B3F" w:rsidRDefault="00000000">
            <w:pPr>
              <w:jc w:val="center"/>
            </w:pPr>
            <w:r>
              <w:rPr>
                <w:rFonts w:ascii="Calibri" w:eastAsia="Calibri" w:hAnsi="Calibri" w:cs="Calibri"/>
              </w:rPr>
              <w:t>4779.11</w:t>
            </w:r>
          </w:p>
        </w:tc>
        <w:tc>
          <w:tcPr>
            <w:tcW w:w="2500" w:type="dxa"/>
            <w:shd w:val="clear" w:color="auto" w:fill="EEF3F8"/>
            <w:vAlign w:val="center"/>
          </w:tcPr>
          <w:p w14:paraId="0E18CB6A" w14:textId="77777777" w:rsidR="00724B3F" w:rsidRDefault="00000000">
            <w:pPr>
              <w:jc w:val="center"/>
            </w:pPr>
            <w:r>
              <w:rPr>
                <w:rFonts w:ascii="Calibri" w:eastAsia="Calibri" w:hAnsi="Calibri" w:cs="Calibri"/>
              </w:rPr>
              <w:t>4.51</w:t>
            </w:r>
          </w:p>
        </w:tc>
      </w:tr>
      <w:tr w:rsidR="00724B3F" w14:paraId="464BB3F4" w14:textId="77777777">
        <w:tblPrEx>
          <w:tblCellMar>
            <w:top w:w="0" w:type="dxa"/>
            <w:bottom w:w="0" w:type="dxa"/>
          </w:tblCellMar>
        </w:tblPrEx>
        <w:tc>
          <w:tcPr>
            <w:tcW w:w="2500" w:type="dxa"/>
            <w:shd w:val="clear" w:color="auto" w:fill="FFFFFF"/>
            <w:vAlign w:val="center"/>
          </w:tcPr>
          <w:p w14:paraId="0A0896B1" w14:textId="77777777" w:rsidR="00724B3F" w:rsidRDefault="00000000">
            <w:pPr>
              <w:jc w:val="center"/>
            </w:pPr>
            <w:r>
              <w:rPr>
                <w:rFonts w:ascii="Calibri" w:eastAsia="Calibri" w:hAnsi="Calibri" w:cs="Calibri"/>
              </w:rPr>
              <w:t>2030</w:t>
            </w:r>
          </w:p>
        </w:tc>
        <w:tc>
          <w:tcPr>
            <w:tcW w:w="4000" w:type="dxa"/>
            <w:shd w:val="clear" w:color="auto" w:fill="FFFFFF"/>
            <w:vAlign w:val="center"/>
          </w:tcPr>
          <w:p w14:paraId="0689C38B" w14:textId="77777777" w:rsidR="00724B3F" w:rsidRDefault="00000000">
            <w:pPr>
              <w:jc w:val="center"/>
            </w:pPr>
            <w:r>
              <w:rPr>
                <w:rFonts w:ascii="Calibri" w:eastAsia="Calibri" w:hAnsi="Calibri" w:cs="Calibri"/>
              </w:rPr>
              <w:t>4985.44</w:t>
            </w:r>
          </w:p>
        </w:tc>
        <w:tc>
          <w:tcPr>
            <w:tcW w:w="2500" w:type="dxa"/>
            <w:shd w:val="clear" w:color="auto" w:fill="FFFFFF"/>
            <w:vAlign w:val="center"/>
          </w:tcPr>
          <w:p w14:paraId="6E1F6AA8" w14:textId="77777777" w:rsidR="00724B3F" w:rsidRDefault="00000000">
            <w:pPr>
              <w:jc w:val="center"/>
            </w:pPr>
            <w:r>
              <w:rPr>
                <w:rFonts w:ascii="Calibri" w:eastAsia="Calibri" w:hAnsi="Calibri" w:cs="Calibri"/>
              </w:rPr>
              <w:t>4.32</w:t>
            </w:r>
          </w:p>
        </w:tc>
      </w:tr>
    </w:tbl>
    <w:p w14:paraId="61437A78" w14:textId="77777777" w:rsidR="00724B3F" w:rsidRDefault="00000000">
      <w:pPr>
        <w:spacing w:before="80" w:after="240"/>
        <w:jc w:val="center"/>
      </w:pPr>
      <w:r>
        <w:rPr>
          <w:rFonts w:ascii="Calibri" w:eastAsia="Calibri" w:hAnsi="Calibri" w:cs="Calibri"/>
          <w:i/>
          <w:iCs/>
          <w:color w:val="555555"/>
        </w:rPr>
        <w:t>Table 3. Forecasted GDP, 2026–2030 (Holt's Linear Trend model, refit on full 2000–2025 data).</w:t>
      </w:r>
    </w:p>
    <w:p w14:paraId="74BE3DD5" w14:textId="77777777" w:rsidR="00724B3F" w:rsidRDefault="00000000">
      <w:pPr>
        <w:spacing w:before="200"/>
        <w:jc w:val="center"/>
      </w:pPr>
      <w:r>
        <w:rPr>
          <w:noProof/>
        </w:rPr>
        <w:drawing>
          <wp:inline distT="0" distB="0" distL="0" distR="0" wp14:anchorId="4B414290" wp14:editId="21A3703F">
            <wp:extent cx="5238750" cy="2857500"/>
            <wp:effectExtent l="0" t="0" r="0" b="0"/>
            <wp:docPr id="134111918" name="Picture 134111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2857500"/>
                    </a:xfrm>
                    <a:prstGeom prst="rect">
                      <a:avLst/>
                    </a:prstGeom>
                  </pic:spPr>
                </pic:pic>
              </a:graphicData>
            </a:graphic>
          </wp:inline>
        </w:drawing>
      </w:r>
    </w:p>
    <w:p w14:paraId="41571854" w14:textId="77777777" w:rsidR="00724B3F" w:rsidRDefault="00000000">
      <w:pPr>
        <w:spacing w:before="80" w:after="240"/>
        <w:jc w:val="center"/>
      </w:pPr>
      <w:r>
        <w:rPr>
          <w:rFonts w:ascii="Calibri" w:eastAsia="Calibri" w:hAnsi="Calibri" w:cs="Calibri"/>
          <w:i/>
          <w:iCs/>
          <w:color w:val="555555"/>
        </w:rPr>
        <w:t>Figure 3. Historical GDP with 5-year forecast overlay.</w:t>
      </w:r>
    </w:p>
    <w:p w14:paraId="454D2369" w14:textId="77777777" w:rsidR="00724B3F" w:rsidRDefault="00000000">
      <w:pPr>
        <w:pStyle w:val="Heading1"/>
        <w:spacing w:before="320" w:after="160"/>
      </w:pPr>
      <w:r>
        <w:t>6. Analysis</w:t>
      </w:r>
    </w:p>
    <w:p w14:paraId="3B544544" w14:textId="77777777" w:rsidR="00724B3F" w:rsidRDefault="00000000">
      <w:pPr>
        <w:spacing w:after="160" w:line="276" w:lineRule="auto"/>
      </w:pPr>
      <w:r>
        <w:rPr>
          <w:rFonts w:ascii="Calibri" w:eastAsia="Calibri" w:hAnsi="Calibri" w:cs="Calibri"/>
          <w:sz w:val="22"/>
          <w:szCs w:val="22"/>
        </w:rPr>
        <w:t>The forecast projects India's GDP growing from approximately USD 3,956 Billion in 2025 to approximately USD 4,985 Billion by 2030, at an annual growth rate that gradually moderates from about 5.2% to 4.3%. This gentle deceleration is a direct property of Holt's method: the trend component blends the strong 2021–2025 recovery growth with the somewhat slower rates seen earlier in the 2010s, producing a forecast that sits between the two.</w:t>
      </w:r>
    </w:p>
    <w:p w14:paraId="2AF21E8A" w14:textId="77777777" w:rsidR="00724B3F" w:rsidRDefault="00000000">
      <w:pPr>
        <w:spacing w:after="160" w:line="276" w:lineRule="auto"/>
      </w:pPr>
      <w:r>
        <w:rPr>
          <w:rFonts w:ascii="Calibri" w:eastAsia="Calibri" w:hAnsi="Calibri" w:cs="Calibri"/>
          <w:sz w:val="22"/>
          <w:szCs w:val="22"/>
        </w:rPr>
        <w:t xml:space="preserve">The validation results highlight an important practical lesson about </w:t>
      </w:r>
      <w:proofErr w:type="spellStart"/>
      <w:r>
        <w:rPr>
          <w:rFonts w:ascii="Calibri" w:eastAsia="Calibri" w:hAnsi="Calibri" w:cs="Calibri"/>
          <w:sz w:val="22"/>
          <w:szCs w:val="22"/>
        </w:rPr>
        <w:t>modeling</w:t>
      </w:r>
      <w:proofErr w:type="spellEnd"/>
      <w:r>
        <w:rPr>
          <w:rFonts w:ascii="Calibri" w:eastAsia="Calibri" w:hAnsi="Calibri" w:cs="Calibri"/>
          <w:sz w:val="22"/>
          <w:szCs w:val="22"/>
        </w:rPr>
        <w:t xml:space="preserve"> compounding economic data. A constant-growth-rate (log-linear) model is a reasonable simplification only if the growth rate is genuinely stable; here it is not — India's economy grew much faster in the 2000s than it has since roughly 2012. Fitting one CAGR to the full training window therefore extrapolates the earlier, higher </w:t>
      </w:r>
      <w:r>
        <w:rPr>
          <w:rFonts w:ascii="Calibri" w:eastAsia="Calibri" w:hAnsi="Calibri" w:cs="Calibri"/>
          <w:sz w:val="22"/>
          <w:szCs w:val="22"/>
        </w:rPr>
        <w:lastRenderedPageBreak/>
        <w:t>growth rate forward and overshoots. Holt's Linear Trend model performed better precisely because it adapts its trend estimate over time rather than assuming a single fixed growth rate for the whole series, though its accuracy was also affected by the sharp 2020 contraction sitting right at the end of the training window, which is a known weakness of exponential smoothing methods near abrupt shocks.</w:t>
      </w:r>
    </w:p>
    <w:p w14:paraId="258A6FFF" w14:textId="77777777" w:rsidR="00724B3F" w:rsidRDefault="00000000">
      <w:pPr>
        <w:spacing w:after="160" w:line="276" w:lineRule="auto"/>
      </w:pPr>
      <w:r>
        <w:rPr>
          <w:rFonts w:ascii="Calibri" w:eastAsia="Calibri" w:hAnsi="Calibri" w:cs="Calibri"/>
          <w:sz w:val="22"/>
          <w:szCs w:val="22"/>
        </w:rPr>
        <w:t>Limitations should be acknowledged. Both models are univariate (they use only past GDP values) and assume the recent trend continues smoothly; they cannot anticipate future shocks such as a new recession, policy shift, or external crisis. The forecast should therefore be interpreted as a trend-continuation scenario rather than a prediction that accounts for all economic risks. For a more advanced treatment, models such as ARIMA, or multivariate regression using indicators like interest rates, inflation, or trade balance, could be explored in a follow-up project.</w:t>
      </w:r>
    </w:p>
    <w:p w14:paraId="4AF757A3" w14:textId="77777777" w:rsidR="00724B3F" w:rsidRDefault="00000000">
      <w:pPr>
        <w:pStyle w:val="Heading1"/>
        <w:spacing w:before="320" w:after="160"/>
      </w:pPr>
      <w:r>
        <w:t>7. Conclusion</w:t>
      </w:r>
    </w:p>
    <w:p w14:paraId="0DE9E56E" w14:textId="77777777" w:rsidR="00724B3F" w:rsidRDefault="00000000">
      <w:pPr>
        <w:spacing w:after="160" w:line="276" w:lineRule="auto"/>
      </w:pPr>
      <w:r>
        <w:rPr>
          <w:rFonts w:ascii="Calibri" w:eastAsia="Calibri" w:hAnsi="Calibri" w:cs="Calibri"/>
          <w:sz w:val="22"/>
          <w:szCs w:val="22"/>
        </w:rPr>
        <w:t>This project applied two simple forecasting techniques — Log-Linear (Compound Growth) Regression and Holt's Linear Exponential Smoothing — to India's 26-year GDP series (2000–2025), sourced from the World Bank World Development Indicators. After validating both models on a 5-year hold-out period, Holt's Linear Trend model was selected for its substantially better accuracy (MAPE of 15.62% versus 32.90%) and was used to generate a 5-year forecast (2026–2030), projecting continued GDP growth at a moderating annual rate of roughly 4.3%–5.2%, reaching approximately USD 4,985 Billion by 2030.</w:t>
      </w:r>
    </w:p>
    <w:p w14:paraId="61135EF0" w14:textId="77777777" w:rsidR="00724B3F" w:rsidRDefault="00000000">
      <w:pPr>
        <w:spacing w:after="160" w:line="276" w:lineRule="auto"/>
      </w:pPr>
      <w:r>
        <w:rPr>
          <w:rFonts w:ascii="Calibri" w:eastAsia="Calibri" w:hAnsi="Calibri" w:cs="Calibri"/>
          <w:sz w:val="22"/>
          <w:szCs w:val="22"/>
        </w:rPr>
        <w:t xml:space="preserve">The exercise demonstrates a complete, reproducible forecasting workflow — data preparation from a real macroeconomic dataset, train/test validation, model comparison, and forecast generation — using only standard, widely available Python libraries. It also illustrates a key </w:t>
      </w:r>
      <w:proofErr w:type="spellStart"/>
      <w:r>
        <w:rPr>
          <w:rFonts w:ascii="Calibri" w:eastAsia="Calibri" w:hAnsi="Calibri" w:cs="Calibri"/>
          <w:sz w:val="22"/>
          <w:szCs w:val="22"/>
        </w:rPr>
        <w:t>modeling</w:t>
      </w:r>
      <w:proofErr w:type="spellEnd"/>
      <w:r>
        <w:rPr>
          <w:rFonts w:ascii="Calibri" w:eastAsia="Calibri" w:hAnsi="Calibri" w:cs="Calibri"/>
          <w:sz w:val="22"/>
          <w:szCs w:val="22"/>
        </w:rPr>
        <w:t xml:space="preserve"> lesson: the best-performing simple model depends on whether a series' growth rate is stable (</w:t>
      </w:r>
      <w:proofErr w:type="spellStart"/>
      <w:r>
        <w:rPr>
          <w:rFonts w:ascii="Calibri" w:eastAsia="Calibri" w:hAnsi="Calibri" w:cs="Calibri"/>
          <w:sz w:val="22"/>
          <w:szCs w:val="22"/>
        </w:rPr>
        <w:t>favoring</w:t>
      </w:r>
      <w:proofErr w:type="spellEnd"/>
      <w:r>
        <w:rPr>
          <w:rFonts w:ascii="Calibri" w:eastAsia="Calibri" w:hAnsi="Calibri" w:cs="Calibri"/>
          <w:sz w:val="22"/>
          <w:szCs w:val="22"/>
        </w:rPr>
        <w:t xml:space="preserve"> a constant-CAGR model) or shifting over time (</w:t>
      </w:r>
      <w:proofErr w:type="spellStart"/>
      <w:r>
        <w:rPr>
          <w:rFonts w:ascii="Calibri" w:eastAsia="Calibri" w:hAnsi="Calibri" w:cs="Calibri"/>
          <w:sz w:val="22"/>
          <w:szCs w:val="22"/>
        </w:rPr>
        <w:t>favoring</w:t>
      </w:r>
      <w:proofErr w:type="spellEnd"/>
      <w:r>
        <w:rPr>
          <w:rFonts w:ascii="Calibri" w:eastAsia="Calibri" w:hAnsi="Calibri" w:cs="Calibri"/>
          <w:sz w:val="22"/>
          <w:szCs w:val="22"/>
        </w:rPr>
        <w:t xml:space="preserve"> an adaptive method like Holt's), which is a useful takeaway for extending this analysis to other countries or macroeconomic indicators in future coursework.</w:t>
      </w:r>
    </w:p>
    <w:sectPr w:rsidR="00724B3F">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B47AF" w14:textId="77777777" w:rsidR="004C561A" w:rsidRDefault="004C561A">
      <w:r>
        <w:separator/>
      </w:r>
    </w:p>
  </w:endnote>
  <w:endnote w:type="continuationSeparator" w:id="0">
    <w:p w14:paraId="0C90CA5A" w14:textId="77777777" w:rsidR="004C561A" w:rsidRDefault="004C56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21C78" w14:textId="77777777" w:rsidR="00724B3F" w:rsidRDefault="00000000">
    <w:pPr>
      <w:jc w:val="center"/>
    </w:pPr>
    <w:r>
      <w:rPr>
        <w:rFonts w:ascii="Calibri" w:eastAsia="Calibri" w:hAnsi="Calibri" w:cs="Calibri"/>
        <w:color w:val="888888"/>
        <w:sz w:val="18"/>
        <w:szCs w:val="18"/>
      </w:rPr>
      <w:t xml:space="preserve">Page </w:t>
    </w:r>
    <w:r>
      <w:rPr>
        <w:rFonts w:ascii="Calibri" w:eastAsia="Calibri" w:hAnsi="Calibri" w:cs="Calibri"/>
        <w:color w:val="888888"/>
        <w:sz w:val="18"/>
        <w:szCs w:val="18"/>
      </w:rPr>
      <w:fldChar w:fldCharType="begin"/>
    </w:r>
    <w:r>
      <w:rPr>
        <w:rFonts w:ascii="Calibri" w:eastAsia="Calibri" w:hAnsi="Calibri" w:cs="Calibri"/>
        <w:color w:val="888888"/>
        <w:sz w:val="18"/>
        <w:szCs w:val="18"/>
      </w:rPr>
      <w:instrText>PAGE</w:instrText>
    </w:r>
    <w:r>
      <w:rPr>
        <w:rFonts w:ascii="Calibri" w:eastAsia="Calibri" w:hAnsi="Calibri" w:cs="Calibri"/>
        <w:color w:val="888888"/>
        <w:sz w:val="18"/>
        <w:szCs w:val="18"/>
      </w:rPr>
      <w:fldChar w:fldCharType="separate"/>
    </w:r>
    <w:r w:rsidR="00BE3310">
      <w:rPr>
        <w:rFonts w:ascii="Calibri" w:eastAsia="Calibri" w:hAnsi="Calibri" w:cs="Calibri"/>
        <w:noProof/>
        <w:color w:val="888888"/>
        <w:sz w:val="18"/>
        <w:szCs w:val="18"/>
      </w:rPr>
      <w:t>1</w:t>
    </w:r>
    <w:r>
      <w:rPr>
        <w:rFonts w:ascii="Calibri" w:eastAsia="Calibri" w:hAnsi="Calibri" w:cs="Calibri"/>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AFE67" w14:textId="77777777" w:rsidR="004C561A" w:rsidRDefault="004C561A">
      <w:r>
        <w:separator/>
      </w:r>
    </w:p>
  </w:footnote>
  <w:footnote w:type="continuationSeparator" w:id="0">
    <w:p w14:paraId="74A7C8C6" w14:textId="77777777" w:rsidR="004C561A" w:rsidRDefault="004C56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79480" w14:textId="77777777" w:rsidR="00724B3F" w:rsidRDefault="00000000">
    <w:pPr>
      <w:jc w:val="right"/>
    </w:pPr>
    <w:r>
      <w:rPr>
        <w:rFonts w:ascii="Calibri" w:eastAsia="Calibri" w:hAnsi="Calibri" w:cs="Calibri"/>
        <w:color w:val="888888"/>
        <w:sz w:val="16"/>
        <w:szCs w:val="16"/>
      </w:rPr>
      <w:t>Week 2 – Financial Forecasting Project (India GDP)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73D"/>
    <w:multiLevelType w:val="hybridMultilevel"/>
    <w:tmpl w:val="5AE464B4"/>
    <w:lvl w:ilvl="0" w:tplc="B0C639B0">
      <w:start w:val="1"/>
      <w:numFmt w:val="bullet"/>
      <w:lvlText w:val="●"/>
      <w:lvlJc w:val="left"/>
      <w:pPr>
        <w:ind w:left="720" w:hanging="360"/>
      </w:pPr>
    </w:lvl>
    <w:lvl w:ilvl="1" w:tplc="876CD01E">
      <w:start w:val="1"/>
      <w:numFmt w:val="bullet"/>
      <w:lvlText w:val="○"/>
      <w:lvlJc w:val="left"/>
      <w:pPr>
        <w:ind w:left="1440" w:hanging="360"/>
      </w:pPr>
    </w:lvl>
    <w:lvl w:ilvl="2" w:tplc="ADBEC5CC">
      <w:start w:val="1"/>
      <w:numFmt w:val="bullet"/>
      <w:lvlText w:val="■"/>
      <w:lvlJc w:val="left"/>
      <w:pPr>
        <w:ind w:left="2160" w:hanging="360"/>
      </w:pPr>
    </w:lvl>
    <w:lvl w:ilvl="3" w:tplc="DA2ECF92">
      <w:start w:val="1"/>
      <w:numFmt w:val="bullet"/>
      <w:lvlText w:val="●"/>
      <w:lvlJc w:val="left"/>
      <w:pPr>
        <w:ind w:left="2880" w:hanging="360"/>
      </w:pPr>
    </w:lvl>
    <w:lvl w:ilvl="4" w:tplc="C23E7B54">
      <w:start w:val="1"/>
      <w:numFmt w:val="bullet"/>
      <w:lvlText w:val="○"/>
      <w:lvlJc w:val="left"/>
      <w:pPr>
        <w:ind w:left="3600" w:hanging="360"/>
      </w:pPr>
    </w:lvl>
    <w:lvl w:ilvl="5" w:tplc="DADCC3A0">
      <w:start w:val="1"/>
      <w:numFmt w:val="bullet"/>
      <w:lvlText w:val="■"/>
      <w:lvlJc w:val="left"/>
      <w:pPr>
        <w:ind w:left="4320" w:hanging="360"/>
      </w:pPr>
    </w:lvl>
    <w:lvl w:ilvl="6" w:tplc="8E7E1F82">
      <w:start w:val="1"/>
      <w:numFmt w:val="bullet"/>
      <w:lvlText w:val="●"/>
      <w:lvlJc w:val="left"/>
      <w:pPr>
        <w:ind w:left="5040" w:hanging="360"/>
      </w:pPr>
    </w:lvl>
    <w:lvl w:ilvl="7" w:tplc="28025580">
      <w:start w:val="1"/>
      <w:numFmt w:val="bullet"/>
      <w:lvlText w:val="●"/>
      <w:lvlJc w:val="left"/>
      <w:pPr>
        <w:ind w:left="5760" w:hanging="360"/>
      </w:pPr>
    </w:lvl>
    <w:lvl w:ilvl="8" w:tplc="7D245E56">
      <w:start w:val="1"/>
      <w:numFmt w:val="bullet"/>
      <w:lvlText w:val="●"/>
      <w:lvlJc w:val="left"/>
      <w:pPr>
        <w:ind w:left="6480" w:hanging="360"/>
      </w:pPr>
    </w:lvl>
  </w:abstractNum>
  <w:num w:numId="1" w16cid:durableId="17346922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B3F"/>
    <w:rsid w:val="001C0B4A"/>
    <w:rsid w:val="004C561A"/>
    <w:rsid w:val="00600851"/>
    <w:rsid w:val="00724B3F"/>
    <w:rsid w:val="00BE33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8478E"/>
  <w15:docId w15:val="{B00A3C34-DA55-493D-8D34-7B686C024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1642</Words>
  <Characters>9363</Characters>
  <Application>Microsoft Office Word</Application>
  <DocSecurity>0</DocSecurity>
  <Lines>78</Lines>
  <Paragraphs>21</Paragraphs>
  <ScaleCrop>false</ScaleCrop>
  <Company/>
  <LinksUpToDate>false</LinksUpToDate>
  <CharactersWithSpaces>10984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 Anu</cp:lastModifiedBy>
  <cp:revision>3</cp:revision>
  <dcterms:created xsi:type="dcterms:W3CDTF">2026-08-27T05:55:00Z</dcterms:created>
  <dcterms:modified xsi:type="dcterms:W3CDTF">2026-08-27T05:57:00Z</dcterms:modified>
</cp:coreProperties>
</file>