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Financial Risk Analysis Report – Week 3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444444"/>
          <w:sz w:val="26"/>
          <w:szCs w:val="26"/>
        </w:rPr>
        <w:t xml:space="preserve">Risk Identification, Impact Assessment, and Mitigation Strategy — India GDP Dataset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College Financial Forecasting Course | Author: [Your Name] | Date: [Submission Date]</w:t>
      </w:r>
    </w:p>
    <w:p>
      <w:pPr>
        <w:pStyle w:val="Heading1"/>
        <w:spacing w:after="160" w:before="320"/>
      </w:pPr>
      <w:r>
        <w:t xml:space="preserve">1. Introduction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This report builds on the Weeks 1–2 financial dataset — India's Gross Domestic Product (GDP), 2000–2025, sourced from the World Bank World Development Indicators — to conduct a structured risk analysis. Where the Week 2 report focused on producing a point forecast, this report asks a complementary question: what could cause that forecast, or the underlying financial trend it describes, to go wrong, and how significant would the consequences be?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analysis follows a standard three-step risk management process: (1) risk identification — surfacing the specific risks embedded in the data and the forecasting approach; (2) risk impact assessment — rating each risk by likelihood and impact, supported by evidence calculated directly from the dataset; and (3) risk mitigation strategy formulation — proposing concrete, actionable responses to each risk.</w:t>
      </w:r>
    </w:p>
    <w:p>
      <w:pPr>
        <w:pStyle w:val="Heading1"/>
        <w:spacing w:after="160" w:before="320"/>
      </w:pPr>
      <w:r>
        <w:t xml:space="preserve">2. Dataset and Context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dataset covers 26 annual observations of India's nominal GDP (current US$), used previously to build a Holt's Linear Trend forecasting model projecting GDP from ~$3,956 Billion (2025) to ~$4,985 Billion (2030). Several statistical properties of the series are directly relevant to risk analysis: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Average annual growth: 9.21%, with a standard deviation of 8.36 percentage points — a high level of volatility relative to the mean.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Growth ranged from -5.67% (2020, pandemic contraction) to +29.40% (2007, pre-financial-crisis peak).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Two years of outright GDP contraction occurred in the 26-year window: 2008 and 2020.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average growth rate nearly halved between the 2001–2010 decade (13.95%) and the 2011–2020 decade (4.94%), before partially recovering to 8.27% in 2021–2025 — evidence of a structural slowdown, not just short-term noise.</w:t>
      </w:r>
    </w:p>
    <w:p>
      <w:pPr>
        <w:spacing w:before="200"/>
        <w:jc w:val="center"/>
      </w:pPr>
      <w:r>
        <w:drawing>
          <wp:inline distT="0" distB="0" distL="0" distR="0">
            <wp:extent cx="4953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1. Annual GDP growth rate (2001–2025), with the two contraction years highlighted.</w:t>
      </w:r>
    </w:p>
    <w:p>
      <w:pPr>
        <w:pStyle w:val="Heading1"/>
        <w:spacing w:after="160" w:before="320"/>
      </w:pPr>
      <w:r>
        <w:t xml:space="preserve">3. Risk Identification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Seven risks were identified that could affect the reliability of the GDP data, the forecasting model built on it, or decisions made using that forecast. These fall into three groups: risks inherent in the economic data itself, risks arising from the forecasting methodology, and risks arising from how the analysis is used.</w:t>
      </w:r>
    </w:p>
    <w:p>
      <w:pPr>
        <w:pStyle w:val="Heading2"/>
        <w:spacing w:after="120" w:before="240"/>
      </w:pPr>
      <w:r>
        <w:t xml:space="preserve">3.1 Data-Inherent Risks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R1 — Macroeconomic Volatility Risk: GDP growth swings by ±8+ percentage points year to year, meaning any single-year figure can deviate sharply from the long-run average.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R2 — External Shock / Structural Break Risk: Events outside the model's information set (global financial crisis 2008, pandemic 2020) can cause sudden contractions that no trend-based model can anticipate in advance.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R3 — Growth Deceleration / Structural Slowdown Risk: The economy's underlying growth regime has shifted at least once already (13.95% → 4.94% average growth across decades); a further, undetected shift would silently invalidate forecasts built on the current trend.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R6 — Data and Currency Conversion Risk: GDP is reported in current US dollars, so the series reflects both real economic growth and INR/USD exchange-rate movements. A currency depreciation can shrink dollar-denominated GDP even if the domestic economy is growing, and World Bank source data is also subject to periodic revision.</w:t>
      </w:r>
    </w:p>
    <w:p>
      <w:pPr>
        <w:pStyle w:val="Heading2"/>
        <w:spacing w:after="120" w:before="240"/>
      </w:pPr>
      <w:r>
        <w:t xml:space="preserve">3.2 Model / Methodology Risks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R4 — Model Selection Risk: The Week 2 analysis showed forecast accuracy is highly sensitive to model choice — the log-linear regression produced a 32.90% test-period MAPE versus 15.62% for Holt's Linear Trend. Choosing the wrong model materially changes the forecast.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R5 — Forecast Uncertainty / Extrapolation Risk: Both models are univariate (GDP-only) and assume the recent trend continues; forecast error compounds with horizon length, so the 2030 forecast carries materially more uncertainty than the 2026 forecast.</w:t>
      </w:r>
    </w:p>
    <w:p>
      <w:pPr>
        <w:pStyle w:val="Heading2"/>
        <w:spacing w:after="120" w:before="240"/>
      </w:pPr>
      <w:r>
        <w:t xml:space="preserve">3.3 Usage / Decision Risks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R7 — Single-Indicator (Concentration) Risk: The analysis relies on one macroeconomic indicator (GDP) for one country. Decisions based solely on this series ignore other relevant factors (inflation, employment, fiscal position, trade balance) that could tell a different story.</w:t>
      </w:r>
    </w:p>
    <w:p>
      <w:pPr>
        <w:pStyle w:val="Heading1"/>
        <w:spacing w:after="160" w:before="320"/>
      </w:pPr>
      <w:r>
        <w:t xml:space="preserve">4. Risk Impact Assessment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Each risk was rated on Likelihood and Impact using a 1–5 scale (1 = Rare/Negligible, 5 = Almost Certain/Severe), with an overall severity rating derived from the product of the two scores. Ratings are informed by the historical frequency and magnitude of each risk observed directly in the dataset.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900"/>
        <w:gridCol w:w="1600"/>
        <w:gridCol w:w="1900"/>
      </w:tblGrid>
      <w:tr>
        <w:trPr>
          <w:tblHeader/>
        </w:trPr>
        <w:tc>
          <w:tcPr>
            <w:tcW w:type="dxa" w:w="4200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900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Likelihood (1-5)</w:t>
            </w:r>
          </w:p>
        </w:tc>
        <w:tc>
          <w:tcPr>
            <w:tcW w:type="dxa" w:w="1600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Impact (1-5)</w:t>
            </w:r>
          </w:p>
        </w:tc>
        <w:tc>
          <w:tcPr>
            <w:tcW w:type="dxa" w:w="1900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</w:tr>
      <w:tr>
        <w:tc>
          <w:tcPr>
            <w:tcW w:type="dxa" w:w="42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R1 Macroeconomic Volatility Risk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900"/>
            <w:shd w:fill="F4B183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4200"/>
            <w:shd w:fill="EEF3F8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R2 External Shock Risk</w:t>
            </w:r>
          </w:p>
        </w:tc>
        <w:tc>
          <w:tcPr>
            <w:tcW w:type="dxa" w:w="1900"/>
            <w:shd w:fill="EEF3F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shd w:fill="EEF3F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900"/>
            <w:shd w:fill="F4B183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42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R3 Growth Deceleration Risk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shd w:fill="FFE699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4200"/>
            <w:shd w:fill="EEF3F8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R4 Model Selection Risk</w:t>
            </w:r>
          </w:p>
        </w:tc>
        <w:tc>
          <w:tcPr>
            <w:tcW w:type="dxa" w:w="1900"/>
            <w:shd w:fill="EEF3F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shd w:fill="EEF3F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shd w:fill="FFE699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42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R5 Forecast Uncertainty Risk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900"/>
            <w:shd w:fill="F4B183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4200"/>
            <w:shd w:fill="EEF3F8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R6 Data / Currency Risk</w:t>
            </w:r>
          </w:p>
        </w:tc>
        <w:tc>
          <w:tcPr>
            <w:tcW w:type="dxa" w:w="1900"/>
            <w:shd w:fill="EEF3F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shd w:fill="EEF3F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shd w:fill="C6E0B4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42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R7 Single-Indicator Risk</w:t>
            </w:r>
          </w:p>
        </w:tc>
        <w:tc>
          <w:tcPr>
            <w:tcW w:type="dxa" w:w="19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shd w:fill="FFE699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Medium</w:t>
            </w:r>
          </w:p>
        </w:tc>
      </w:tr>
    </w:tbl>
    <w:p>
      <w:pPr>
        <w:spacing w:after="240" w:before="8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Table 1. Risk impact assessment matrix, with evidence-based likelihood and impact scores.</w:t>
      </w:r>
    </w:p>
    <w:p>
      <w:pPr>
        <w:spacing w:before="200"/>
        <w:jc w:val="center"/>
      </w:pPr>
      <w:r>
        <w:drawing>
          <wp:inline distT="0" distB="0" distL="0" distR="0">
            <wp:extent cx="45720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2. Visual risk matrix — position reflects likelihood (x-axis) and impact (y-axis); background shading indicates combined severity (green = low, red = high).</w:t>
      </w:r>
    </w:p>
    <w:p>
      <w:pPr>
        <w:spacing w:before="20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3. Mean growth and volatility (standard deviation) by decade, showing the structural slowdown underlying R3.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R2 (External Shocks) and R1 (Macroeconomic Volatility) rate highest overall. Although severe shocks are relatively infrequent (2 contraction years in 26, ~8% frequency), their impact is large — a single shock year can erase several years of expected growth and immediately invalidate any forecast in progress. Volatility risk (R1) is rated high on both dimensions: it is a near-constant feature of the data (every year deviates from the mean by a material margin) and it directly affects the precision of any point forecast.</w:t>
      </w:r>
    </w:p>
    <w:p>
      <w:pPr>
        <w:pStyle w:val="Heading1"/>
        <w:spacing w:after="160" w:before="320"/>
      </w:pPr>
      <w:r>
        <w:t xml:space="preserve">5. Risk Mitigation Strategies</w:t>
      </w:r>
    </w:p>
    <w:p>
      <w:pPr>
        <w:pStyle w:val="Heading2"/>
        <w:spacing w:after="120" w:before="240"/>
      </w:pPr>
      <w:r>
        <w:t xml:space="preserve">R1 — Macroeconomic Volatility Risk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Report forecasts as a range (e.g., ± 1 standard deviation, ~8 percentage points on growth) rather than a single point estimate, so users see the plausible spread, not false precision.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 shorter forecast horizons (1–2 years) where volatility-driven error is smaller, and treat longer horizons as directional guidance only.</w:t>
      </w:r>
    </w:p>
    <w:p>
      <w:pPr>
        <w:pStyle w:val="Heading2"/>
        <w:spacing w:after="120" w:before="240"/>
      </w:pPr>
      <w:r>
        <w:t xml:space="preserve">R2 — External Shock / Structural Break Risk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Supplement the quantitative model with qualitative scenario planning (e.g., best case / base case / recession case) rather than relying on a single trend line.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Build a simple early-warning watchlist (leading indicators such as global trade volumes, oil prices, or credit growth) to flag emerging shocks before they fully appear in GDP data.</w:t>
      </w:r>
    </w:p>
    <w:p>
      <w:pPr>
        <w:pStyle w:val="Heading2"/>
        <w:spacing w:after="120" w:before="240"/>
      </w:pPr>
      <w:r>
        <w:t xml:space="preserve">R3 — Growth Deceleration / Structural Slowdown Risk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Re-estimate the model periodically (e.g., annually) rather than treating the 2000–2025 fit as fixed, so the trend estimate keeps adapting to the current growth regime.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Monitor a shorter rolling window (e.g., trailing 5–10 years) alongside the full-history fit, and flag material divergence between the two as a signal of a possible new structural break.</w:t>
      </w:r>
    </w:p>
    <w:p>
      <w:pPr>
        <w:pStyle w:val="Heading2"/>
        <w:spacing w:after="120" w:before="240"/>
      </w:pPr>
      <w:r>
        <w:t xml:space="preserve">R4 — Model Selection Risk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Always validate candidate models on a held-out test period before selecting one for forecasting, as done in this project, rather than choosing a model on theoretical grounds alone.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Where feasible, present forecasts from more than one validated model side by side (model ensembling) so decision-makers can see the range of outcomes different reasonable methods produce.</w:t>
      </w:r>
    </w:p>
    <w:p>
      <w:pPr>
        <w:pStyle w:val="Heading2"/>
        <w:spacing w:after="120" w:before="240"/>
      </w:pPr>
      <w:r>
        <w:t xml:space="preserve">R5 — Forecast Uncertainty / Extrapolation Risk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Attach confidence intervals or error bands that widen with forecast horizon (e.g., using the model's historical test-period RMSE) so uncertainty is made explicit rather than implicit.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Extend the model with additional explanatory variables (e.g., inflation, investment rate, trade balance) in future work, since a multivariate model is generally more robust than a GDP-only univariate one.</w:t>
      </w:r>
    </w:p>
    <w:p>
      <w:pPr>
        <w:pStyle w:val="Heading2"/>
        <w:spacing w:after="120" w:before="240"/>
      </w:pPr>
      <w:r>
        <w:t xml:space="preserve">R6 — Data and Currency Conversion Risk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Cross-check current-US-dollar GDP trends against GDP in constant local-currency terms (also published by the World Bank) to separate real economic growth from exchange-rate effects.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Re-pull source data before major decisions, since World Bank figures are periodically revised as national statistical agencies update estimates.</w:t>
      </w:r>
    </w:p>
    <w:p>
      <w:pPr>
        <w:pStyle w:val="Heading2"/>
        <w:spacing w:after="120" w:before="240"/>
      </w:pPr>
      <w:r>
        <w:t xml:space="preserve">R7 — Single-Indicator (Concentration) Risk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Pair the GDP forecast with at least one or two complementary indicators (e.g., inflation, unemployment) before using it to support a financial or policy decision.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Treat this report's forecast as one input among several, not a standalone basis for high-stakes decisions.</w:t>
      </w:r>
    </w:p>
    <w:p>
      <w:pPr>
        <w:pStyle w:val="Heading1"/>
        <w:spacing w:after="160" w:before="320"/>
      </w:pPr>
      <w:r>
        <w:t xml:space="preserve">6. Conclusion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This risk analysis identified seven distinct risks affecting India's GDP series and the forecasting work built on it, spanning data-inherent volatility and shocks, model selection and extrapolation uncertainty, and the risk of over-relying on a single indicator. Quantitative evidence drawn directly from the dataset — an 8.36-percentage-point growth volatility, two historical contraction years, and a documented structural slowdown between decades — grounds the impact ratings in the data itself rather than in generic assumptions.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External shocks and macroeconomic volatility were rated the most severe risks, reflecting their capacity to invalidate forecasts with little warning, while model selection and single-indicator risks were rated moderate but fully within the analyst's control to mitigate. The proposed mitigation strategies — range-based forecasting, scenario planning, periodic re-estimation, model validation, explicit uncertainty bands, and use of complementary indicators — together form a practical risk management framework that can be applied to this dataset or extended to future forecasting projects.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Week 3 – Risk Analysis Report (India GDP)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cdb4759791de8955a20a3f40a0a4febcdf43317.png"/><Relationship Id="rId10" Type="http://schemas.openxmlformats.org/officeDocument/2006/relationships/image" Target="media/e5e140a593c5e4267db91728a3c16a7a8ec71e57.png"/><Relationship Id="rId11" Type="http://schemas.openxmlformats.org/officeDocument/2006/relationships/image" Target="media/2655c10eae9e72394616619d9defae69e225b26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2026-08-27T06:11:11.894Z</dcterms:created>
  <dcterms:modified xsi:type="dcterms:W3CDTF">2026-08-27T06:11:11.905Z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