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E78"/>
          <w:sz w:val="32"/>
        </w:rPr>
        <w:t>MARIANVILLE SECONDARY SCHOOL</w:t>
      </w:r>
    </w:p>
    <w:p>
      <w:pPr>
        <w:spacing w:after="360"/>
        <w:jc w:val="center"/>
      </w:pPr>
      <w:r>
        <w:rPr>
          <w:rFonts w:ascii="Arial" w:hAnsi="Arial"/>
          <w:b/>
          <w:color w:val="595959"/>
          <w:sz w:val="24"/>
        </w:rPr>
        <w:t>Grade 11 ICT · Term 4 Computer Architecture</w:t>
        <w:br/>
        <w:t>Unit 2 Test Specification &amp; Revision Blueprints</w:t>
      </w:r>
    </w:p>
    <w:p>
      <w:pPr>
        <w:spacing w:after="240"/>
      </w:pPr>
      <w:r>
        <w:rPr>
          <w:sz w:val="21"/>
        </w:rPr>
        <w:t>Dear Grade 11 ICT Students,</w:t>
        <w:br/>
        <w:br/>
        <w:t>To help you maximize your preparation for the upcoming Week 5 Unit 2 Test, this comprehensive Test Specification Blueprint maps out the foundational structure, content breakdowns, and clear learning outcomes required. Review these targets carefully to anchor your study strategies effectively before the exam.</w:t>
      </w:r>
    </w:p>
    <w:p>
      <w:pPr>
        <w:pStyle w:val="Heading1"/>
        <w:keepNext/>
        <w:spacing w:before="280" w:after="160"/>
      </w:pPr>
      <w:r>
        <w:t>1. Assessment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Date &amp; Timing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</w:tcPr>
          <w:p>
            <w:r>
              <w:rPr>
                <w:sz w:val="20"/>
              </w:rPr>
              <w:t>Week 5, Term 4 (Allocated Time: 20 Minutes)</w:t>
            </w:r>
          </w:p>
        </w:tc>
      </w:tr>
      <w:tr>
        <w:tc>
          <w:tcPr>
            <w:tcW w:type="dxa" w:w="3168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Total Weighting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</w:tcPr>
          <w:p>
            <w:r>
              <w:rPr>
                <w:sz w:val="20"/>
              </w:rPr>
              <w:t>20 Marks Total</w:t>
            </w:r>
          </w:p>
        </w:tc>
      </w:tr>
      <w:tr>
        <w:tc>
          <w:tcPr>
            <w:tcW w:type="dxa" w:w="3168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Unit &amp; Core Focus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</w:tcPr>
          <w:p>
            <w:r>
              <w:rPr>
                <w:sz w:val="20"/>
              </w:rPr>
              <w:t>Unit 2: Data Books &amp; Component Specifications / Timing Technology / Programming</w:t>
            </w:r>
          </w:p>
        </w:tc>
      </w:tr>
      <w:tr>
        <w:tc>
          <w:tcPr>
            <w:tcW w:type="dxa" w:w="3168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Allowed Resources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</w:tcPr>
          <w:p>
            <w:r>
              <w:rPr>
                <w:sz w:val="20"/>
              </w:rPr>
              <w:t>Strictly no calculators, phones, external data sheets, or extra notes permitted.</w:t>
            </w:r>
          </w:p>
        </w:tc>
      </w:tr>
      <w:tr>
        <w:tc>
          <w:tcPr>
            <w:tcW w:type="dxa" w:w="3168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Submission Policy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</w:tcPr>
          <w:p>
            <w:r>
              <w:rPr>
                <w:sz w:val="20"/>
              </w:rPr>
              <w:t>All fields (Name, Class, Date) must be filled completely before work begins.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60"/>
      </w:pPr>
      <w:r>
        <w:t>2. Test Structure &amp; Weighting Blueprint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728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3312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Question Types / Items</w:t>
            </w:r>
          </w:p>
        </w:tc>
        <w:tc>
          <w:tcPr>
            <w:tcW w:type="dxa" w:w="1872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Mark Allocation</w:t>
            </w:r>
          </w:p>
        </w:tc>
        <w:tc>
          <w:tcPr>
            <w:tcW w:type="dxa" w:w="2448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 Focus Domain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</w:tcPr>
          <w:p>
            <w:r>
              <w:rPr>
                <w:sz w:val="19"/>
              </w:rPr>
              <w:t>Section A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</w:tcPr>
          <w:p>
            <w:r>
              <w:rPr>
                <w:sz w:val="19"/>
              </w:rPr>
              <w:t>Multiple Choice (Items 1-3, 6-8)</w:t>
              <w:br/>
              <w:t>Traditional 4-option selection items.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</w:tcPr>
          <w:p>
            <w:r>
              <w:rPr>
                <w:sz w:val="19"/>
              </w:rPr>
              <w:t>6 Marks</w:t>
              <w:br/>
              <w:t>(1 mark per item)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</w:tcPr>
          <w:p>
            <w:r>
              <w:rPr>
                <w:sz w:val="19"/>
              </w:rPr>
              <w:t>Recall, Identification, &amp; Basic Calculation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  <w:shd w:fill="F9FAFB"/>
          </w:tcPr>
          <w:p>
            <w:r>
              <w:rPr>
                <w:sz w:val="19"/>
              </w:rPr>
              <w:t>Section B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  <w:shd w:fill="F9FAFB"/>
          </w:tcPr>
          <w:p>
            <w:r>
              <w:rPr>
                <w:sz w:val="19"/>
              </w:rPr>
              <w:t>Short Answer (Item 9)</w:t>
              <w:br/>
              <w:t>Technical technical justification prose.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  <w:shd w:fill="F9FAFB"/>
          </w:tcPr>
          <w:p>
            <w:r>
              <w:rPr>
                <w:sz w:val="19"/>
              </w:rPr>
              <w:t>2 Marks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  <w:shd w:fill="F9FAFB"/>
          </w:tcPr>
          <w:p>
            <w:r>
              <w:rPr>
                <w:sz w:val="19"/>
              </w:rPr>
              <w:t>Engineering Analysis &amp; Datasheet Selection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</w:tcPr>
          <w:p>
            <w:r>
              <w:rPr>
                <w:sz w:val="19"/>
              </w:rPr>
              <w:t>Part C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</w:tcPr>
          <w:p>
            <w:r>
              <w:rPr>
                <w:sz w:val="19"/>
              </w:rPr>
              <w:t>Fill-in-the-Blanks (Item 10)</w:t>
              <w:br/>
              <w:t>Text flow completion using predefined tokens.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</w:tcPr>
          <w:p>
            <w:r>
              <w:rPr>
                <w:sz w:val="19"/>
              </w:rPr>
              <w:t>10 Marks Approx.</w:t>
              <w:br/>
              <w:t>(Weighted Context)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</w:tcPr>
          <w:p>
            <w:r>
              <w:rPr>
                <w:sz w:val="19"/>
              </w:rPr>
              <w:t>Logic Trace &amp; Code Variable Tracking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  <w:shd w:fill="F9FAFB"/>
          </w:tcPr>
          <w:p>
            <w:r>
              <w:rPr>
                <w:sz w:val="19"/>
              </w:rPr>
              <w:t>Part C (Cont.)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  <w:shd w:fill="F9FAFB"/>
          </w:tcPr>
          <w:p>
            <w:r>
              <w:rPr>
                <w:sz w:val="19"/>
              </w:rPr>
              <w:t>Error Isolation Code Analysis (Item 11)</w:t>
              <w:br/>
              <w:t>Identify syntax/logical bugs in scripts.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  <w:shd w:fill="F9FAFB"/>
          </w:tcPr>
          <w:p>
            <w:r>
              <w:rPr>
                <w:sz w:val="19"/>
              </w:rPr>
              <w:t>2 Marks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  <w:insideH w:val="none"/>
              <w:insideV w:val="none"/>
            </w:tcBorders>
            <w:shd w:fill="F9FAFB"/>
          </w:tcPr>
          <w:p>
            <w:r>
              <w:rPr>
                <w:sz w:val="19"/>
              </w:rPr>
              <w:t>Debugging &amp; Error Context Troubleshooting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60"/>
      </w:pPr>
      <w:r>
        <w:t>3. Detailed Core Topic Map &amp; Learning Objectives</w:t>
      </w:r>
    </w:p>
    <w:p>
      <w:pPr>
        <w:keepNext/>
        <w:spacing w:before="160" w:after="80"/>
      </w:pPr>
      <w:r>
        <w:rPr>
          <w:b/>
          <w:color w:val="1F4E78"/>
          <w:sz w:val="22"/>
        </w:rPr>
        <w:t>Topic A: Component Datasheets &amp; Operating Limits</w:t>
      </w:r>
    </w:p>
    <w:p>
      <w:pPr>
        <w:pStyle w:val="ListBullet"/>
        <w:spacing w:after="60"/>
      </w:pPr>
      <w:r>
        <w:rPr>
          <w:sz w:val="20"/>
        </w:rPr>
        <w:t>Understand where to look on manufacturer datasheets to find absolute maximum safe operational parameters (e.g., maximum supply voltages, safe continuous current ratings) to avoid device destruction.</w:t>
      </w:r>
    </w:p>
    <w:p>
      <w:pPr>
        <w:pStyle w:val="ListBullet"/>
        <w:spacing w:after="60"/>
      </w:pPr>
      <w:r>
        <w:rPr>
          <w:sz w:val="20"/>
        </w:rPr>
        <w:t>Calculate linear physical electrical deviations using component tolerance parameters (e.g., executing basic percentage calculation steps to determine the true operational range of a 100 Ω resistor with a 5% tolerance margin: 95 Ω – 105 Ω).</w:t>
      </w:r>
    </w:p>
    <w:p>
      <w:pPr>
        <w:pStyle w:val="ListBullet"/>
        <w:spacing w:after="60"/>
      </w:pPr>
      <w:r>
        <w:rPr>
          <w:sz w:val="20"/>
        </w:rPr>
        <w:t>Explain the critical practical rationale behind integrating safety margins (headroom buffers) when sizing parts relative to standard circuit parameters.</w:t>
      </w:r>
    </w:p>
    <w:p>
      <w:pPr>
        <w:keepNext/>
        <w:spacing w:before="160" w:after="80"/>
      </w:pPr>
      <w:r>
        <w:rPr>
          <w:b/>
          <w:color w:val="1F4E78"/>
          <w:sz w:val="22"/>
        </w:rPr>
        <w:t>Topic B: Timing Technology &amp; Digital Clocking</w:t>
      </w:r>
    </w:p>
    <w:p>
      <w:pPr>
        <w:pStyle w:val="ListBullet"/>
        <w:spacing w:after="60"/>
      </w:pPr>
      <w:r>
        <w:rPr>
          <w:sz w:val="20"/>
        </w:rPr>
        <w:t>Differentiate digital wave shapes from analog types. Recognize that standard system clocks emit square wave signals to achieve clean binary logic shifts (Low 0 / High 1), as opposed to sine waves, triangle waves, or chaotic random noise.</w:t>
      </w:r>
    </w:p>
    <w:p>
      <w:pPr>
        <w:pStyle w:val="ListBullet"/>
        <w:spacing w:after="60"/>
      </w:pPr>
      <w:r>
        <w:rPr>
          <w:sz w:val="20"/>
        </w:rPr>
        <w:t>Identify the physical quartz crystal component as the precise primary oscillator inside computing modules.</w:t>
      </w:r>
    </w:p>
    <w:p>
      <w:pPr>
        <w:pStyle w:val="ListBullet"/>
        <w:spacing w:after="60"/>
      </w:pPr>
      <w:r>
        <w:rPr>
          <w:sz w:val="20"/>
        </w:rPr>
        <w:t>Perform metric unit frequency conversions to calculate active system processing cycles executed per second (e.g., evaluating a 3.2 GHz CPU clock rate to deduce that it executes exactly 3,200,000,000 baseline cycles every single second).</w:t>
      </w:r>
    </w:p>
    <w:p>
      <w:pPr>
        <w:pStyle w:val="ListBullet"/>
        <w:spacing w:after="60"/>
      </w:pPr>
      <w:r>
        <w:rPr>
          <w:sz w:val="20"/>
        </w:rPr>
        <w:t>Acknowledge secondary factors that dictate true CPU instruction speed beyond pure clock metrics alone (such as architectural layout pipelines, cache structures, or multi-core distribution dynamics).</w:t>
      </w:r>
    </w:p>
    <w:p>
      <w:pPr>
        <w:keepNext/>
        <w:spacing w:before="160" w:after="80"/>
      </w:pPr>
      <w:r>
        <w:rPr>
          <w:b/>
          <w:color w:val="1F4E78"/>
          <w:sz w:val="22"/>
        </w:rPr>
        <w:t>Topic C: Program Code Analysis &amp; Logical Tracking</w:t>
      </w:r>
    </w:p>
    <w:p>
      <w:pPr>
        <w:pStyle w:val="ListBullet"/>
        <w:spacing w:after="60"/>
      </w:pPr>
      <w:r>
        <w:rPr>
          <w:sz w:val="20"/>
        </w:rPr>
        <w:t>Trace structured code logic blocks sequentially to manually determine expected programmatic output matrices.</w:t>
      </w:r>
    </w:p>
    <w:p>
      <w:pPr>
        <w:pStyle w:val="ListBullet"/>
        <w:spacing w:after="60"/>
      </w:pPr>
      <w:r>
        <w:rPr>
          <w:sz w:val="20"/>
        </w:rPr>
        <w:t>Perform precise tracking of independent input operations, parameter transformations, conditional boundaries (if / elif / else structures), and final output print formatting values.</w:t>
      </w:r>
    </w:p>
    <w:p>
      <w:pPr>
        <w:pStyle w:val="ListBullet"/>
        <w:spacing w:after="60"/>
      </w:pPr>
      <w:r>
        <w:rPr>
          <w:sz w:val="20"/>
        </w:rPr>
        <w:t>Isolate explicit syntax inconsistencies or logical flaws present inside structural source configurations and provide clear technical remediation justifications.</w:t>
      </w:r>
    </w:p>
    <w:p>
      <w:pPr>
        <w:pStyle w:val="Heading1"/>
        <w:keepNext/>
        <w:spacing w:before="280" w:after="160"/>
      </w:pPr>
      <w:r>
        <w:t>4. High-Impact Student Study Strategies</w:t>
      </w:r>
    </w:p>
    <w:p>
      <w:pPr>
        <w:pStyle w:val="ListBullet"/>
        <w:spacing w:after="80"/>
      </w:pPr>
      <w:r>
        <w:rPr>
          <w:b/>
          <w:sz w:val="20"/>
        </w:rPr>
        <w:t>Execute Active Variable Drills:</w:t>
      </w:r>
      <w:r>
        <w:rPr>
          <w:sz w:val="20"/>
        </w:rPr>
        <w:t xml:space="preserve"> Take snippet configurations from prior worksheets, substitute distinct initial variables (e.g., swapping values like x = 7 or y = 2), and manually run computations on paper to predict output responses without relying on interpreter terminals.</w:t>
      </w:r>
    </w:p>
    <w:p>
      <w:pPr>
        <w:pStyle w:val="ListBullet"/>
        <w:spacing w:after="80"/>
      </w:pPr>
      <w:r>
        <w:rPr>
          <w:b/>
          <w:sz w:val="20"/>
        </w:rPr>
        <w:t>Re-verify Engineering Tables:</w:t>
      </w:r>
      <w:r>
        <w:rPr>
          <w:sz w:val="20"/>
        </w:rPr>
        <w:t xml:space="preserve"> Review textbook data tables focusing on electrical part profiles. Practice identifying structural thresholds, continuous values, and calculating absolute tolerance bands across varied base baselines.</w:t>
      </w:r>
    </w:p>
    <w:p>
      <w:pPr>
        <w:pStyle w:val="ListBullet"/>
        <w:spacing w:after="80"/>
      </w:pPr>
      <w:r>
        <w:rPr>
          <w:b/>
          <w:sz w:val="20"/>
        </w:rPr>
        <w:t>Master Frequency Conversions:</w:t>
      </w:r>
      <w:r>
        <w:rPr>
          <w:sz w:val="20"/>
        </w:rPr>
        <w:t xml:space="preserve"> Ensure you can seamlessly navigate metric frequency scaling blocks (Hertz to Kilohertz, Megahertz, and Gigahertz boundaries) to easily compute total operational counts.</w:t>
      </w:r>
    </w:p>
    <w:p>
      <w:pPr>
        <w:pStyle w:val="ListBullet"/>
        <w:spacing w:after="80"/>
      </w:pPr>
      <w:r>
        <w:rPr>
          <w:b/>
          <w:sz w:val="20"/>
        </w:rPr>
        <w:t>Simulate Exam Environments:</w:t>
      </w:r>
      <w:r>
        <w:rPr>
          <w:sz w:val="20"/>
        </w:rPr>
        <w:t xml:space="preserve"> Set a timer strictly for 20 minutes and attempt previous unit reviews quietly. This develops pacing and eliminates structural anxiety during actual runtime assessment blocks.</w:t>
      </w:r>
    </w:p>
    <w:p>
      <w:pPr>
        <w:spacing w:before="480"/>
        <w:jc w:val="right"/>
      </w:pPr>
      <w:r>
        <w:rPr>
          <w:i/>
          <w:color w:val="7F7F7F"/>
          <w:sz w:val="18"/>
        </w:rPr>
        <w:t>Prepared by: Mr. Marampau  ·  Source Reference: marianvilless.world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