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DE64F" w14:textId="55A91EE9" w:rsidR="000B4546" w:rsidRPr="000B4546" w:rsidRDefault="000B4546" w:rsidP="000B4546">
      <w:pPr>
        <w:rPr>
          <w:b/>
          <w:bCs/>
          <w:lang w:val="en-FI"/>
        </w:rPr>
      </w:pPr>
      <w:r w:rsidRPr="000B4546">
        <w:rPr>
          <w:b/>
          <w:bCs/>
          <w:lang w:val="en-FI"/>
        </w:rPr>
        <w:t xml:space="preserve">Data Understanding and Initial </w:t>
      </w:r>
      <w:r w:rsidR="002D28DF" w:rsidRPr="000B4546">
        <w:rPr>
          <w:b/>
          <w:bCs/>
          <w:lang w:val="en-FI"/>
        </w:rPr>
        <w:t>Modelling</w:t>
      </w:r>
      <w:r w:rsidRPr="000B4546">
        <w:rPr>
          <w:b/>
          <w:bCs/>
          <w:lang w:val="en-FI"/>
        </w:rPr>
        <w:t>: Mining Process Quality Prediction</w:t>
      </w:r>
    </w:p>
    <w:p w14:paraId="4ED92E0E" w14:textId="77777777" w:rsidR="000B4546" w:rsidRPr="000B4546" w:rsidRDefault="000B4546" w:rsidP="000B4546">
      <w:pPr>
        <w:rPr>
          <w:b/>
          <w:bCs/>
          <w:lang w:val="en-FI"/>
        </w:rPr>
      </w:pPr>
      <w:r w:rsidRPr="000B4546">
        <w:rPr>
          <w:b/>
          <w:bCs/>
          <w:lang w:val="en-FI"/>
        </w:rPr>
        <w:t>1. Modelling Goal</w:t>
      </w:r>
    </w:p>
    <w:p w14:paraId="4202F339" w14:textId="77777777" w:rsidR="002D28DF" w:rsidRDefault="001433D7">
      <w:r w:rsidRPr="001433D7">
        <w:t xml:space="preserve">The target of the task is to build a soft sensor to foresee key results of a mining flotation process. More specifically, we put the accent on anticipating the silica content in the last ore output. The data consists of various input variables from the flotation process such as air flows, pulp density, and chemical flows which affect the result of the process. The aim is to devise a model that forecasts the future silica concentrations in the ore using past data and lagged variables. </w:t>
      </w:r>
    </w:p>
    <w:p w14:paraId="6E6580CB" w14:textId="77777777" w:rsidR="002D28DF" w:rsidRDefault="002D28DF"/>
    <w:p w14:paraId="0974F62B" w14:textId="50C32139" w:rsidR="002D28DF" w:rsidRDefault="002D28DF" w:rsidP="002D28DF">
      <w:r w:rsidRPr="002D28DF">
        <w:t xml:space="preserve">2. </w:t>
      </w:r>
      <w:r w:rsidRPr="002D28DF">
        <w:rPr>
          <w:b/>
          <w:bCs/>
        </w:rPr>
        <w:t>Introduction to Scenario</w:t>
      </w:r>
    </w:p>
    <w:p w14:paraId="4277E550" w14:textId="47284962" w:rsidR="00397F66" w:rsidRPr="00397F66" w:rsidRDefault="001433D7" w:rsidP="00BA0B61">
      <w:r w:rsidRPr="001433D7">
        <w:t>This is a mining process dataset specifically for froth flotation phase. This stage is the one that is designed to separate the valuable minerals from the impurities. The main aim is to minimize the silica concentration in the final product as this means better quality of ore output.</w:t>
      </w:r>
      <w:r w:rsidR="00BA0B61">
        <w:t xml:space="preserve"> </w:t>
      </w:r>
      <w:r w:rsidR="00397F66" w:rsidRPr="00397F66">
        <w:rPr>
          <w:lang w:val="en-FI"/>
        </w:rPr>
        <w:t>For this process, many variables are being documented, for example, air flows, pulp density, chemical reagent flows, and ore characteristics. These variables are the ones that directly influence the separation process in terms of its quality and efficiency.</w:t>
      </w:r>
    </w:p>
    <w:p w14:paraId="0CA51145" w14:textId="77777777" w:rsidR="00397F66" w:rsidRPr="00397F66" w:rsidRDefault="00397F66" w:rsidP="00397F66">
      <w:pPr>
        <w:rPr>
          <w:lang w:val="en-FI"/>
        </w:rPr>
      </w:pPr>
      <w:r w:rsidRPr="00397F66">
        <w:rPr>
          <w:lang w:val="en-FI"/>
        </w:rPr>
        <w:t>The core variables that are of interest to us are as follows:</w:t>
      </w:r>
    </w:p>
    <w:p w14:paraId="7864DCCD" w14:textId="6010AF7B" w:rsidR="000801EC" w:rsidRDefault="000801EC" w:rsidP="000801EC">
      <w:r w:rsidRPr="000801EC">
        <w:t xml:space="preserve">1. Iron </w:t>
      </w:r>
      <w:proofErr w:type="gramStart"/>
      <w:r w:rsidRPr="000801EC">
        <w:t>Feed :</w:t>
      </w:r>
      <w:proofErr w:type="gramEnd"/>
      <w:r w:rsidRPr="000801EC">
        <w:t xml:space="preserve"> The level of iron in the originally supplied feed.</w:t>
      </w:r>
      <w:r w:rsidRPr="000801EC">
        <w:br/>
        <w:t xml:space="preserve">2. Silica </w:t>
      </w:r>
      <w:proofErr w:type="gramStart"/>
      <w:r w:rsidRPr="000801EC">
        <w:t>Feed :</w:t>
      </w:r>
      <w:proofErr w:type="gramEnd"/>
      <w:r w:rsidRPr="000801EC">
        <w:t xml:space="preserve"> The level of silica in the initially supplied feed.</w:t>
      </w:r>
      <w:r w:rsidRPr="000801EC">
        <w:br/>
        <w:t>3. Starch Flow &amp; Amina Flow: Chemical streams that are responsible for the flotation process.</w:t>
      </w:r>
      <w:r w:rsidRPr="000801EC">
        <w:br/>
        <w:t>4. Ore Pulp Flow, the pH, and Density: The ore's physical properties which are under process.</w:t>
      </w:r>
      <w:r w:rsidRPr="000801EC">
        <w:br/>
        <w:t>5. Flotation Column Air Flows: The air flow rates of seven flotation columns.</w:t>
      </w:r>
      <w:r w:rsidRPr="000801EC">
        <w:br/>
        <w:t xml:space="preserve">6. Iron and Silica </w:t>
      </w:r>
      <w:proofErr w:type="gramStart"/>
      <w:r w:rsidRPr="000801EC">
        <w:t>Concentrate :</w:t>
      </w:r>
      <w:proofErr w:type="gramEnd"/>
      <w:r w:rsidRPr="000801EC">
        <w:t xml:space="preserve"> The final outputs of iron and silica respectively after flotation.</w:t>
      </w:r>
    </w:p>
    <w:p w14:paraId="19ABCF50" w14:textId="77777777" w:rsidR="000801EC" w:rsidRDefault="000801EC" w:rsidP="000801EC">
      <w:pPr>
        <w:rPr>
          <w:lang w:val="en-FI"/>
        </w:rPr>
      </w:pPr>
    </w:p>
    <w:p w14:paraId="09E6660C" w14:textId="1CC6DB74" w:rsidR="0009738E" w:rsidRDefault="0009738E" w:rsidP="0009738E">
      <w:pPr>
        <w:rPr>
          <w:b/>
          <w:bCs/>
        </w:rPr>
      </w:pPr>
      <w:r w:rsidRPr="0009738E">
        <w:t xml:space="preserve">3. </w:t>
      </w:r>
      <w:r w:rsidRPr="0009738E">
        <w:rPr>
          <w:b/>
          <w:bCs/>
        </w:rPr>
        <w:t>Data Summary</w:t>
      </w:r>
    </w:p>
    <w:p w14:paraId="7462D25F" w14:textId="32C0B5C4" w:rsidR="0009738E" w:rsidRDefault="00BA7C6E" w:rsidP="00BA7C6E">
      <w:r w:rsidRPr="00BA7C6E">
        <w:t>The dataset comprises 737,453 rows and 24 variables. The table below gives a summary of the main variables:</w:t>
      </w:r>
    </w:p>
    <w:p w14:paraId="00093491" w14:textId="77777777" w:rsidR="00BA7C6E" w:rsidRDefault="00BA7C6E" w:rsidP="00BA7C6E">
      <w:pPr>
        <w:rPr>
          <w:lang w:val="en-FI"/>
        </w:rPr>
      </w:pPr>
    </w:p>
    <w:p w14:paraId="2E6A37AA" w14:textId="77777777" w:rsidR="00BA7C6E" w:rsidRPr="0009738E" w:rsidRDefault="00BA7C6E" w:rsidP="00BA7C6E">
      <w:pPr>
        <w:rPr>
          <w:lang w:val="en-FI"/>
        </w:rPr>
      </w:pPr>
    </w:p>
    <w:tbl>
      <w:tblPr>
        <w:tblW w:w="935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8"/>
        <w:gridCol w:w="1017"/>
        <w:gridCol w:w="1185"/>
        <w:gridCol w:w="1185"/>
        <w:gridCol w:w="1185"/>
        <w:gridCol w:w="1200"/>
      </w:tblGrid>
      <w:tr w:rsidR="00001DD7" w:rsidRPr="0009738E" w14:paraId="3C1D8B6F" w14:textId="77777777" w:rsidTr="00001DD7">
        <w:trPr>
          <w:trHeight w:val="565"/>
          <w:tblHeader/>
          <w:tblCellSpacing w:w="15" w:type="dxa"/>
          <w:jc w:val="center"/>
        </w:trPr>
        <w:tc>
          <w:tcPr>
            <w:tcW w:w="0" w:type="auto"/>
            <w:shd w:val="clear" w:color="auto" w:fill="D9D9D9" w:themeFill="background1" w:themeFillShade="D9"/>
            <w:vAlign w:val="center"/>
            <w:hideMark/>
          </w:tcPr>
          <w:p w14:paraId="6175E904" w14:textId="77777777" w:rsidR="0009738E" w:rsidRPr="0009738E" w:rsidRDefault="0009738E" w:rsidP="00001DD7">
            <w:pPr>
              <w:jc w:val="center"/>
              <w:rPr>
                <w:b/>
                <w:bCs/>
                <w:lang w:val="en-FI"/>
              </w:rPr>
            </w:pPr>
            <w:r w:rsidRPr="0009738E">
              <w:rPr>
                <w:b/>
                <w:bCs/>
                <w:lang w:val="en-FI"/>
              </w:rPr>
              <w:lastRenderedPageBreak/>
              <w:t>Variable</w:t>
            </w:r>
          </w:p>
        </w:tc>
        <w:tc>
          <w:tcPr>
            <w:tcW w:w="0" w:type="auto"/>
            <w:shd w:val="clear" w:color="auto" w:fill="D9D9D9" w:themeFill="background1" w:themeFillShade="D9"/>
            <w:vAlign w:val="center"/>
            <w:hideMark/>
          </w:tcPr>
          <w:p w14:paraId="03792F86" w14:textId="77777777" w:rsidR="0009738E" w:rsidRPr="0009738E" w:rsidRDefault="0009738E" w:rsidP="00001DD7">
            <w:pPr>
              <w:jc w:val="center"/>
              <w:rPr>
                <w:b/>
                <w:bCs/>
                <w:lang w:val="en-FI"/>
              </w:rPr>
            </w:pPr>
            <w:r w:rsidRPr="0009738E">
              <w:rPr>
                <w:b/>
                <w:bCs/>
                <w:lang w:val="en-FI"/>
              </w:rPr>
              <w:t>Min</w:t>
            </w:r>
          </w:p>
        </w:tc>
        <w:tc>
          <w:tcPr>
            <w:tcW w:w="0" w:type="auto"/>
            <w:shd w:val="clear" w:color="auto" w:fill="D9D9D9" w:themeFill="background1" w:themeFillShade="D9"/>
            <w:vAlign w:val="center"/>
            <w:hideMark/>
          </w:tcPr>
          <w:p w14:paraId="5B20DED3" w14:textId="77777777" w:rsidR="0009738E" w:rsidRPr="0009738E" w:rsidRDefault="0009738E" w:rsidP="00001DD7">
            <w:pPr>
              <w:jc w:val="center"/>
              <w:rPr>
                <w:b/>
                <w:bCs/>
                <w:lang w:val="en-FI"/>
              </w:rPr>
            </w:pPr>
            <w:r w:rsidRPr="0009738E">
              <w:rPr>
                <w:b/>
                <w:bCs/>
                <w:lang w:val="en-FI"/>
              </w:rPr>
              <w:t>Median</w:t>
            </w:r>
          </w:p>
        </w:tc>
        <w:tc>
          <w:tcPr>
            <w:tcW w:w="0" w:type="auto"/>
            <w:shd w:val="clear" w:color="auto" w:fill="D9D9D9" w:themeFill="background1" w:themeFillShade="D9"/>
            <w:vAlign w:val="center"/>
            <w:hideMark/>
          </w:tcPr>
          <w:p w14:paraId="171138DE" w14:textId="77777777" w:rsidR="0009738E" w:rsidRPr="0009738E" w:rsidRDefault="0009738E" w:rsidP="00001DD7">
            <w:pPr>
              <w:jc w:val="center"/>
              <w:rPr>
                <w:b/>
                <w:bCs/>
                <w:lang w:val="en-FI"/>
              </w:rPr>
            </w:pPr>
            <w:r w:rsidRPr="0009738E">
              <w:rPr>
                <w:b/>
                <w:bCs/>
                <w:lang w:val="en-FI"/>
              </w:rPr>
              <w:t>Max</w:t>
            </w:r>
          </w:p>
        </w:tc>
        <w:tc>
          <w:tcPr>
            <w:tcW w:w="0" w:type="auto"/>
            <w:shd w:val="clear" w:color="auto" w:fill="D9D9D9" w:themeFill="background1" w:themeFillShade="D9"/>
            <w:vAlign w:val="center"/>
            <w:hideMark/>
          </w:tcPr>
          <w:p w14:paraId="0ABF6BED" w14:textId="77777777" w:rsidR="0009738E" w:rsidRPr="0009738E" w:rsidRDefault="0009738E" w:rsidP="00001DD7">
            <w:pPr>
              <w:jc w:val="center"/>
              <w:rPr>
                <w:b/>
                <w:bCs/>
                <w:lang w:val="en-FI"/>
              </w:rPr>
            </w:pPr>
            <w:r w:rsidRPr="0009738E">
              <w:rPr>
                <w:b/>
                <w:bCs/>
                <w:lang w:val="en-FI"/>
              </w:rPr>
              <w:t>Mean</w:t>
            </w:r>
          </w:p>
        </w:tc>
        <w:tc>
          <w:tcPr>
            <w:tcW w:w="0" w:type="auto"/>
            <w:shd w:val="clear" w:color="auto" w:fill="D9D9D9" w:themeFill="background1" w:themeFillShade="D9"/>
            <w:vAlign w:val="center"/>
            <w:hideMark/>
          </w:tcPr>
          <w:p w14:paraId="6C9C1D51" w14:textId="77777777" w:rsidR="0009738E" w:rsidRPr="0009738E" w:rsidRDefault="0009738E" w:rsidP="00001DD7">
            <w:pPr>
              <w:jc w:val="center"/>
              <w:rPr>
                <w:b/>
                <w:bCs/>
                <w:lang w:val="en-FI"/>
              </w:rPr>
            </w:pPr>
            <w:r w:rsidRPr="0009738E">
              <w:rPr>
                <w:b/>
                <w:bCs/>
                <w:lang w:val="en-FI"/>
              </w:rPr>
              <w:t>Std Dev</w:t>
            </w:r>
          </w:p>
        </w:tc>
      </w:tr>
      <w:tr w:rsidR="00001DD7" w:rsidRPr="0009738E" w14:paraId="2604C8AE" w14:textId="77777777" w:rsidTr="00001DD7">
        <w:trPr>
          <w:trHeight w:val="565"/>
          <w:tblCellSpacing w:w="15" w:type="dxa"/>
          <w:jc w:val="center"/>
        </w:trPr>
        <w:tc>
          <w:tcPr>
            <w:tcW w:w="0" w:type="auto"/>
            <w:shd w:val="clear" w:color="auto" w:fill="D9D9D9" w:themeFill="background1" w:themeFillShade="D9"/>
            <w:vAlign w:val="center"/>
            <w:hideMark/>
          </w:tcPr>
          <w:p w14:paraId="547B0773" w14:textId="77777777" w:rsidR="0009738E" w:rsidRPr="0009738E" w:rsidRDefault="0009738E" w:rsidP="0009738E">
            <w:pPr>
              <w:rPr>
                <w:lang w:val="en-FI"/>
              </w:rPr>
            </w:pPr>
            <w:r w:rsidRPr="0009738E">
              <w:rPr>
                <w:lang w:val="en-FI"/>
              </w:rPr>
              <w:t>% Iron Feed</w:t>
            </w:r>
          </w:p>
        </w:tc>
        <w:tc>
          <w:tcPr>
            <w:tcW w:w="0" w:type="auto"/>
            <w:vAlign w:val="center"/>
            <w:hideMark/>
          </w:tcPr>
          <w:p w14:paraId="0ED9B6B9" w14:textId="77777777" w:rsidR="0009738E" w:rsidRPr="0009738E" w:rsidRDefault="0009738E" w:rsidP="0009738E">
            <w:pPr>
              <w:rPr>
                <w:lang w:val="en-FI"/>
              </w:rPr>
            </w:pPr>
            <w:r w:rsidRPr="0009738E">
              <w:rPr>
                <w:lang w:val="en-FI"/>
              </w:rPr>
              <w:t>42.74</w:t>
            </w:r>
          </w:p>
        </w:tc>
        <w:tc>
          <w:tcPr>
            <w:tcW w:w="0" w:type="auto"/>
            <w:vAlign w:val="center"/>
            <w:hideMark/>
          </w:tcPr>
          <w:p w14:paraId="514398EB" w14:textId="77777777" w:rsidR="0009738E" w:rsidRPr="0009738E" w:rsidRDefault="0009738E" w:rsidP="0009738E">
            <w:pPr>
              <w:rPr>
                <w:lang w:val="en-FI"/>
              </w:rPr>
            </w:pPr>
            <w:r w:rsidRPr="0009738E">
              <w:rPr>
                <w:lang w:val="en-FI"/>
              </w:rPr>
              <w:t>56.08</w:t>
            </w:r>
          </w:p>
        </w:tc>
        <w:tc>
          <w:tcPr>
            <w:tcW w:w="0" w:type="auto"/>
            <w:vAlign w:val="center"/>
            <w:hideMark/>
          </w:tcPr>
          <w:p w14:paraId="294E54AD" w14:textId="77777777" w:rsidR="0009738E" w:rsidRPr="0009738E" w:rsidRDefault="0009738E" w:rsidP="0009738E">
            <w:pPr>
              <w:rPr>
                <w:lang w:val="en-FI"/>
              </w:rPr>
            </w:pPr>
            <w:r w:rsidRPr="0009738E">
              <w:rPr>
                <w:lang w:val="en-FI"/>
              </w:rPr>
              <w:t>65.78</w:t>
            </w:r>
          </w:p>
        </w:tc>
        <w:tc>
          <w:tcPr>
            <w:tcW w:w="0" w:type="auto"/>
            <w:vAlign w:val="center"/>
            <w:hideMark/>
          </w:tcPr>
          <w:p w14:paraId="3D133A81" w14:textId="77777777" w:rsidR="0009738E" w:rsidRPr="0009738E" w:rsidRDefault="0009738E" w:rsidP="0009738E">
            <w:pPr>
              <w:rPr>
                <w:lang w:val="en-FI"/>
              </w:rPr>
            </w:pPr>
            <w:r w:rsidRPr="0009738E">
              <w:rPr>
                <w:lang w:val="en-FI"/>
              </w:rPr>
              <w:t>56.29</w:t>
            </w:r>
          </w:p>
        </w:tc>
        <w:tc>
          <w:tcPr>
            <w:tcW w:w="0" w:type="auto"/>
            <w:vAlign w:val="center"/>
            <w:hideMark/>
          </w:tcPr>
          <w:p w14:paraId="25B82F8C" w14:textId="77777777" w:rsidR="0009738E" w:rsidRPr="0009738E" w:rsidRDefault="0009738E" w:rsidP="0009738E">
            <w:pPr>
              <w:rPr>
                <w:lang w:val="en-FI"/>
              </w:rPr>
            </w:pPr>
            <w:r w:rsidRPr="0009738E">
              <w:rPr>
                <w:lang w:val="en-FI"/>
              </w:rPr>
              <w:t>5.16</w:t>
            </w:r>
          </w:p>
        </w:tc>
      </w:tr>
      <w:tr w:rsidR="00001DD7" w:rsidRPr="0009738E" w14:paraId="0B4446D0" w14:textId="77777777" w:rsidTr="00001DD7">
        <w:trPr>
          <w:trHeight w:val="574"/>
          <w:tblCellSpacing w:w="15" w:type="dxa"/>
          <w:jc w:val="center"/>
        </w:trPr>
        <w:tc>
          <w:tcPr>
            <w:tcW w:w="0" w:type="auto"/>
            <w:shd w:val="clear" w:color="auto" w:fill="D9D9D9" w:themeFill="background1" w:themeFillShade="D9"/>
            <w:vAlign w:val="center"/>
            <w:hideMark/>
          </w:tcPr>
          <w:p w14:paraId="2093853E" w14:textId="77777777" w:rsidR="0009738E" w:rsidRPr="0009738E" w:rsidRDefault="0009738E" w:rsidP="0009738E">
            <w:pPr>
              <w:rPr>
                <w:lang w:val="en-FI"/>
              </w:rPr>
            </w:pPr>
            <w:r w:rsidRPr="0009738E">
              <w:rPr>
                <w:lang w:val="en-FI"/>
              </w:rPr>
              <w:t>% Silica Feed</w:t>
            </w:r>
          </w:p>
        </w:tc>
        <w:tc>
          <w:tcPr>
            <w:tcW w:w="0" w:type="auto"/>
            <w:vAlign w:val="center"/>
            <w:hideMark/>
          </w:tcPr>
          <w:p w14:paraId="566B60AE" w14:textId="77777777" w:rsidR="0009738E" w:rsidRPr="0009738E" w:rsidRDefault="0009738E" w:rsidP="0009738E">
            <w:pPr>
              <w:rPr>
                <w:lang w:val="en-FI"/>
              </w:rPr>
            </w:pPr>
            <w:r w:rsidRPr="0009738E">
              <w:rPr>
                <w:lang w:val="en-FI"/>
              </w:rPr>
              <w:t>1.31</w:t>
            </w:r>
          </w:p>
        </w:tc>
        <w:tc>
          <w:tcPr>
            <w:tcW w:w="0" w:type="auto"/>
            <w:vAlign w:val="center"/>
            <w:hideMark/>
          </w:tcPr>
          <w:p w14:paraId="7068E626" w14:textId="77777777" w:rsidR="0009738E" w:rsidRPr="0009738E" w:rsidRDefault="0009738E" w:rsidP="0009738E">
            <w:pPr>
              <w:rPr>
                <w:lang w:val="en-FI"/>
              </w:rPr>
            </w:pPr>
            <w:r w:rsidRPr="0009738E">
              <w:rPr>
                <w:lang w:val="en-FI"/>
              </w:rPr>
              <w:t>13.85</w:t>
            </w:r>
          </w:p>
        </w:tc>
        <w:tc>
          <w:tcPr>
            <w:tcW w:w="0" w:type="auto"/>
            <w:vAlign w:val="center"/>
            <w:hideMark/>
          </w:tcPr>
          <w:p w14:paraId="03523213" w14:textId="77777777" w:rsidR="0009738E" w:rsidRPr="0009738E" w:rsidRDefault="0009738E" w:rsidP="0009738E">
            <w:pPr>
              <w:rPr>
                <w:lang w:val="en-FI"/>
              </w:rPr>
            </w:pPr>
            <w:r w:rsidRPr="0009738E">
              <w:rPr>
                <w:lang w:val="en-FI"/>
              </w:rPr>
              <w:t>33.40</w:t>
            </w:r>
          </w:p>
        </w:tc>
        <w:tc>
          <w:tcPr>
            <w:tcW w:w="0" w:type="auto"/>
            <w:vAlign w:val="center"/>
            <w:hideMark/>
          </w:tcPr>
          <w:p w14:paraId="0357B688" w14:textId="77777777" w:rsidR="0009738E" w:rsidRPr="0009738E" w:rsidRDefault="0009738E" w:rsidP="0009738E">
            <w:pPr>
              <w:rPr>
                <w:lang w:val="en-FI"/>
              </w:rPr>
            </w:pPr>
            <w:r w:rsidRPr="0009738E">
              <w:rPr>
                <w:lang w:val="en-FI"/>
              </w:rPr>
              <w:t>14.65</w:t>
            </w:r>
          </w:p>
        </w:tc>
        <w:tc>
          <w:tcPr>
            <w:tcW w:w="0" w:type="auto"/>
            <w:vAlign w:val="center"/>
            <w:hideMark/>
          </w:tcPr>
          <w:p w14:paraId="570238A7" w14:textId="77777777" w:rsidR="0009738E" w:rsidRPr="0009738E" w:rsidRDefault="0009738E" w:rsidP="0009738E">
            <w:pPr>
              <w:rPr>
                <w:lang w:val="en-FI"/>
              </w:rPr>
            </w:pPr>
            <w:r w:rsidRPr="0009738E">
              <w:rPr>
                <w:lang w:val="en-FI"/>
              </w:rPr>
              <w:t>6.81</w:t>
            </w:r>
          </w:p>
        </w:tc>
      </w:tr>
      <w:tr w:rsidR="00001DD7" w:rsidRPr="0009738E" w14:paraId="06DFFD36" w14:textId="77777777" w:rsidTr="00001DD7">
        <w:trPr>
          <w:trHeight w:val="565"/>
          <w:tblCellSpacing w:w="15" w:type="dxa"/>
          <w:jc w:val="center"/>
        </w:trPr>
        <w:tc>
          <w:tcPr>
            <w:tcW w:w="0" w:type="auto"/>
            <w:shd w:val="clear" w:color="auto" w:fill="D9D9D9" w:themeFill="background1" w:themeFillShade="D9"/>
            <w:vAlign w:val="center"/>
            <w:hideMark/>
          </w:tcPr>
          <w:p w14:paraId="555D502F" w14:textId="77777777" w:rsidR="0009738E" w:rsidRPr="0009738E" w:rsidRDefault="0009738E" w:rsidP="0009738E">
            <w:pPr>
              <w:rPr>
                <w:lang w:val="en-FI"/>
              </w:rPr>
            </w:pPr>
            <w:r w:rsidRPr="0009738E">
              <w:rPr>
                <w:lang w:val="en-FI"/>
              </w:rPr>
              <w:t>Starch Flow (kg/hr)</w:t>
            </w:r>
          </w:p>
        </w:tc>
        <w:tc>
          <w:tcPr>
            <w:tcW w:w="0" w:type="auto"/>
            <w:vAlign w:val="center"/>
            <w:hideMark/>
          </w:tcPr>
          <w:p w14:paraId="77DA04DF" w14:textId="77777777" w:rsidR="0009738E" w:rsidRPr="0009738E" w:rsidRDefault="0009738E" w:rsidP="0009738E">
            <w:pPr>
              <w:rPr>
                <w:lang w:val="en-FI"/>
              </w:rPr>
            </w:pPr>
            <w:r w:rsidRPr="0009738E">
              <w:rPr>
                <w:lang w:val="en-FI"/>
              </w:rPr>
              <w:t>0.002</w:t>
            </w:r>
          </w:p>
        </w:tc>
        <w:tc>
          <w:tcPr>
            <w:tcW w:w="0" w:type="auto"/>
            <w:vAlign w:val="center"/>
            <w:hideMark/>
          </w:tcPr>
          <w:p w14:paraId="01F9CB23" w14:textId="77777777" w:rsidR="0009738E" w:rsidRPr="0009738E" w:rsidRDefault="0009738E" w:rsidP="0009738E">
            <w:pPr>
              <w:rPr>
                <w:lang w:val="en-FI"/>
              </w:rPr>
            </w:pPr>
            <w:r w:rsidRPr="0009738E">
              <w:rPr>
                <w:lang w:val="en-FI"/>
              </w:rPr>
              <w:t>3018.40</w:t>
            </w:r>
          </w:p>
        </w:tc>
        <w:tc>
          <w:tcPr>
            <w:tcW w:w="0" w:type="auto"/>
            <w:vAlign w:val="center"/>
            <w:hideMark/>
          </w:tcPr>
          <w:p w14:paraId="66F2B562" w14:textId="77777777" w:rsidR="0009738E" w:rsidRPr="0009738E" w:rsidRDefault="0009738E" w:rsidP="0009738E">
            <w:pPr>
              <w:rPr>
                <w:lang w:val="en-FI"/>
              </w:rPr>
            </w:pPr>
            <w:r w:rsidRPr="0009738E">
              <w:rPr>
                <w:lang w:val="en-FI"/>
              </w:rPr>
              <w:t>6300.20</w:t>
            </w:r>
          </w:p>
        </w:tc>
        <w:tc>
          <w:tcPr>
            <w:tcW w:w="0" w:type="auto"/>
            <w:vAlign w:val="center"/>
            <w:hideMark/>
          </w:tcPr>
          <w:p w14:paraId="08256F3D" w14:textId="77777777" w:rsidR="0009738E" w:rsidRPr="0009738E" w:rsidRDefault="0009738E" w:rsidP="0009738E">
            <w:pPr>
              <w:rPr>
                <w:lang w:val="en-FI"/>
              </w:rPr>
            </w:pPr>
            <w:r w:rsidRPr="0009738E">
              <w:rPr>
                <w:lang w:val="en-FI"/>
              </w:rPr>
              <w:t>2869.10</w:t>
            </w:r>
          </w:p>
        </w:tc>
        <w:tc>
          <w:tcPr>
            <w:tcW w:w="0" w:type="auto"/>
            <w:vAlign w:val="center"/>
            <w:hideMark/>
          </w:tcPr>
          <w:p w14:paraId="1F291A3B" w14:textId="77777777" w:rsidR="0009738E" w:rsidRPr="0009738E" w:rsidRDefault="0009738E" w:rsidP="0009738E">
            <w:pPr>
              <w:rPr>
                <w:lang w:val="en-FI"/>
              </w:rPr>
            </w:pPr>
            <w:r w:rsidRPr="0009738E">
              <w:rPr>
                <w:lang w:val="en-FI"/>
              </w:rPr>
              <w:t>1215.20</w:t>
            </w:r>
          </w:p>
        </w:tc>
      </w:tr>
      <w:tr w:rsidR="00001DD7" w:rsidRPr="0009738E" w14:paraId="7B1A8735" w14:textId="77777777" w:rsidTr="00001DD7">
        <w:trPr>
          <w:trHeight w:val="574"/>
          <w:tblCellSpacing w:w="15" w:type="dxa"/>
          <w:jc w:val="center"/>
        </w:trPr>
        <w:tc>
          <w:tcPr>
            <w:tcW w:w="0" w:type="auto"/>
            <w:shd w:val="clear" w:color="auto" w:fill="D9D9D9" w:themeFill="background1" w:themeFillShade="D9"/>
            <w:vAlign w:val="center"/>
            <w:hideMark/>
          </w:tcPr>
          <w:p w14:paraId="5A01C7CC" w14:textId="77777777" w:rsidR="0009738E" w:rsidRPr="0009738E" w:rsidRDefault="0009738E" w:rsidP="0009738E">
            <w:pPr>
              <w:rPr>
                <w:lang w:val="en-FI"/>
              </w:rPr>
            </w:pPr>
            <w:r w:rsidRPr="0009738E">
              <w:rPr>
                <w:lang w:val="en-FI"/>
              </w:rPr>
              <w:t>Amina Flow (kg/hr)</w:t>
            </w:r>
          </w:p>
        </w:tc>
        <w:tc>
          <w:tcPr>
            <w:tcW w:w="0" w:type="auto"/>
            <w:vAlign w:val="center"/>
            <w:hideMark/>
          </w:tcPr>
          <w:p w14:paraId="115ACC62" w14:textId="77777777" w:rsidR="0009738E" w:rsidRPr="0009738E" w:rsidRDefault="0009738E" w:rsidP="0009738E">
            <w:pPr>
              <w:rPr>
                <w:lang w:val="en-FI"/>
              </w:rPr>
            </w:pPr>
            <w:r w:rsidRPr="0009738E">
              <w:rPr>
                <w:lang w:val="en-FI"/>
              </w:rPr>
              <w:t>241.67</w:t>
            </w:r>
          </w:p>
        </w:tc>
        <w:tc>
          <w:tcPr>
            <w:tcW w:w="0" w:type="auto"/>
            <w:vAlign w:val="center"/>
            <w:hideMark/>
          </w:tcPr>
          <w:p w14:paraId="635F74F6" w14:textId="77777777" w:rsidR="0009738E" w:rsidRPr="0009738E" w:rsidRDefault="0009738E" w:rsidP="0009738E">
            <w:pPr>
              <w:rPr>
                <w:lang w:val="en-FI"/>
              </w:rPr>
            </w:pPr>
            <w:r w:rsidRPr="0009738E">
              <w:rPr>
                <w:lang w:val="en-FI"/>
              </w:rPr>
              <w:t>504.39</w:t>
            </w:r>
          </w:p>
        </w:tc>
        <w:tc>
          <w:tcPr>
            <w:tcW w:w="0" w:type="auto"/>
            <w:vAlign w:val="center"/>
            <w:hideMark/>
          </w:tcPr>
          <w:p w14:paraId="6016E565" w14:textId="77777777" w:rsidR="0009738E" w:rsidRPr="0009738E" w:rsidRDefault="0009738E" w:rsidP="0009738E">
            <w:pPr>
              <w:rPr>
                <w:lang w:val="en-FI"/>
              </w:rPr>
            </w:pPr>
            <w:r w:rsidRPr="0009738E">
              <w:rPr>
                <w:lang w:val="en-FI"/>
              </w:rPr>
              <w:t>739.54</w:t>
            </w:r>
          </w:p>
        </w:tc>
        <w:tc>
          <w:tcPr>
            <w:tcW w:w="0" w:type="auto"/>
            <w:vAlign w:val="center"/>
            <w:hideMark/>
          </w:tcPr>
          <w:p w14:paraId="696B4056" w14:textId="77777777" w:rsidR="0009738E" w:rsidRPr="0009738E" w:rsidRDefault="0009738E" w:rsidP="0009738E">
            <w:pPr>
              <w:rPr>
                <w:lang w:val="en-FI"/>
              </w:rPr>
            </w:pPr>
            <w:r w:rsidRPr="0009738E">
              <w:rPr>
                <w:lang w:val="en-FI"/>
              </w:rPr>
              <w:t>488.14</w:t>
            </w:r>
          </w:p>
        </w:tc>
        <w:tc>
          <w:tcPr>
            <w:tcW w:w="0" w:type="auto"/>
            <w:vAlign w:val="center"/>
            <w:hideMark/>
          </w:tcPr>
          <w:p w14:paraId="52900B9E" w14:textId="77777777" w:rsidR="0009738E" w:rsidRPr="0009738E" w:rsidRDefault="0009738E" w:rsidP="0009738E">
            <w:pPr>
              <w:rPr>
                <w:lang w:val="en-FI"/>
              </w:rPr>
            </w:pPr>
            <w:r w:rsidRPr="0009738E">
              <w:rPr>
                <w:lang w:val="en-FI"/>
              </w:rPr>
              <w:t>91.23</w:t>
            </w:r>
          </w:p>
        </w:tc>
      </w:tr>
      <w:tr w:rsidR="00001DD7" w:rsidRPr="0009738E" w14:paraId="1E3C0E52" w14:textId="77777777" w:rsidTr="00001DD7">
        <w:trPr>
          <w:trHeight w:val="565"/>
          <w:tblCellSpacing w:w="15" w:type="dxa"/>
          <w:jc w:val="center"/>
        </w:trPr>
        <w:tc>
          <w:tcPr>
            <w:tcW w:w="0" w:type="auto"/>
            <w:shd w:val="clear" w:color="auto" w:fill="D9D9D9" w:themeFill="background1" w:themeFillShade="D9"/>
            <w:vAlign w:val="center"/>
            <w:hideMark/>
          </w:tcPr>
          <w:p w14:paraId="43C20227" w14:textId="77777777" w:rsidR="0009738E" w:rsidRPr="0009738E" w:rsidRDefault="0009738E" w:rsidP="0009738E">
            <w:pPr>
              <w:rPr>
                <w:lang w:val="en-FI"/>
              </w:rPr>
            </w:pPr>
            <w:r w:rsidRPr="0009738E">
              <w:rPr>
                <w:lang w:val="en-FI"/>
              </w:rPr>
              <w:t>Ore Pulp Flow (m³/hr)</w:t>
            </w:r>
          </w:p>
        </w:tc>
        <w:tc>
          <w:tcPr>
            <w:tcW w:w="0" w:type="auto"/>
            <w:vAlign w:val="center"/>
            <w:hideMark/>
          </w:tcPr>
          <w:p w14:paraId="04D95C6D" w14:textId="77777777" w:rsidR="0009738E" w:rsidRPr="0009738E" w:rsidRDefault="0009738E" w:rsidP="0009738E">
            <w:pPr>
              <w:rPr>
                <w:lang w:val="en-FI"/>
              </w:rPr>
            </w:pPr>
            <w:r w:rsidRPr="0009738E">
              <w:rPr>
                <w:lang w:val="en-FI"/>
              </w:rPr>
              <w:t>376.25</w:t>
            </w:r>
          </w:p>
        </w:tc>
        <w:tc>
          <w:tcPr>
            <w:tcW w:w="0" w:type="auto"/>
            <w:vAlign w:val="center"/>
            <w:hideMark/>
          </w:tcPr>
          <w:p w14:paraId="21BB754D" w14:textId="77777777" w:rsidR="0009738E" w:rsidRPr="0009738E" w:rsidRDefault="0009738E" w:rsidP="0009738E">
            <w:pPr>
              <w:rPr>
                <w:lang w:val="en-FI"/>
              </w:rPr>
            </w:pPr>
            <w:r w:rsidRPr="0009738E">
              <w:rPr>
                <w:lang w:val="en-FI"/>
              </w:rPr>
              <w:t>399.25</w:t>
            </w:r>
          </w:p>
        </w:tc>
        <w:tc>
          <w:tcPr>
            <w:tcW w:w="0" w:type="auto"/>
            <w:vAlign w:val="center"/>
            <w:hideMark/>
          </w:tcPr>
          <w:p w14:paraId="2F8FCB30" w14:textId="77777777" w:rsidR="0009738E" w:rsidRPr="0009738E" w:rsidRDefault="0009738E" w:rsidP="0009738E">
            <w:pPr>
              <w:rPr>
                <w:lang w:val="en-FI"/>
              </w:rPr>
            </w:pPr>
            <w:r w:rsidRPr="0009738E">
              <w:rPr>
                <w:lang w:val="en-FI"/>
              </w:rPr>
              <w:t>418.64</w:t>
            </w:r>
          </w:p>
        </w:tc>
        <w:tc>
          <w:tcPr>
            <w:tcW w:w="0" w:type="auto"/>
            <w:vAlign w:val="center"/>
            <w:hideMark/>
          </w:tcPr>
          <w:p w14:paraId="3A72BD77" w14:textId="77777777" w:rsidR="0009738E" w:rsidRPr="0009738E" w:rsidRDefault="0009738E" w:rsidP="0009738E">
            <w:pPr>
              <w:rPr>
                <w:lang w:val="en-FI"/>
              </w:rPr>
            </w:pPr>
            <w:r w:rsidRPr="0009738E">
              <w:rPr>
                <w:lang w:val="en-FI"/>
              </w:rPr>
              <w:t>397.58</w:t>
            </w:r>
          </w:p>
        </w:tc>
        <w:tc>
          <w:tcPr>
            <w:tcW w:w="0" w:type="auto"/>
            <w:vAlign w:val="center"/>
            <w:hideMark/>
          </w:tcPr>
          <w:p w14:paraId="5EDB4D94" w14:textId="77777777" w:rsidR="0009738E" w:rsidRPr="0009738E" w:rsidRDefault="0009738E" w:rsidP="0009738E">
            <w:pPr>
              <w:rPr>
                <w:lang w:val="en-FI"/>
              </w:rPr>
            </w:pPr>
            <w:r w:rsidRPr="0009738E">
              <w:rPr>
                <w:lang w:val="en-FI"/>
              </w:rPr>
              <w:t>9.70</w:t>
            </w:r>
          </w:p>
        </w:tc>
      </w:tr>
      <w:tr w:rsidR="00001DD7" w:rsidRPr="0009738E" w14:paraId="1325F81F" w14:textId="77777777" w:rsidTr="00001DD7">
        <w:trPr>
          <w:trHeight w:val="565"/>
          <w:tblCellSpacing w:w="15" w:type="dxa"/>
          <w:jc w:val="center"/>
        </w:trPr>
        <w:tc>
          <w:tcPr>
            <w:tcW w:w="0" w:type="auto"/>
            <w:shd w:val="clear" w:color="auto" w:fill="D9D9D9" w:themeFill="background1" w:themeFillShade="D9"/>
            <w:vAlign w:val="center"/>
            <w:hideMark/>
          </w:tcPr>
          <w:p w14:paraId="00FE1451" w14:textId="77777777" w:rsidR="0009738E" w:rsidRPr="0009738E" w:rsidRDefault="0009738E" w:rsidP="0009738E">
            <w:pPr>
              <w:rPr>
                <w:lang w:val="en-FI"/>
              </w:rPr>
            </w:pPr>
            <w:r w:rsidRPr="0009738E">
              <w:rPr>
                <w:lang w:val="en-FI"/>
              </w:rPr>
              <w:t>Ore Pulp pH</w:t>
            </w:r>
          </w:p>
        </w:tc>
        <w:tc>
          <w:tcPr>
            <w:tcW w:w="0" w:type="auto"/>
            <w:vAlign w:val="center"/>
            <w:hideMark/>
          </w:tcPr>
          <w:p w14:paraId="2E5E2791" w14:textId="77777777" w:rsidR="0009738E" w:rsidRPr="0009738E" w:rsidRDefault="0009738E" w:rsidP="0009738E">
            <w:pPr>
              <w:rPr>
                <w:lang w:val="en-FI"/>
              </w:rPr>
            </w:pPr>
            <w:r w:rsidRPr="0009738E">
              <w:rPr>
                <w:lang w:val="en-FI"/>
              </w:rPr>
              <w:t>8.75</w:t>
            </w:r>
          </w:p>
        </w:tc>
        <w:tc>
          <w:tcPr>
            <w:tcW w:w="0" w:type="auto"/>
            <w:vAlign w:val="center"/>
            <w:hideMark/>
          </w:tcPr>
          <w:p w14:paraId="6D20ABBC" w14:textId="77777777" w:rsidR="0009738E" w:rsidRPr="0009738E" w:rsidRDefault="0009738E" w:rsidP="0009738E">
            <w:pPr>
              <w:rPr>
                <w:lang w:val="en-FI"/>
              </w:rPr>
            </w:pPr>
            <w:r w:rsidRPr="0009738E">
              <w:rPr>
                <w:lang w:val="en-FI"/>
              </w:rPr>
              <w:t>9.80</w:t>
            </w:r>
          </w:p>
        </w:tc>
        <w:tc>
          <w:tcPr>
            <w:tcW w:w="0" w:type="auto"/>
            <w:vAlign w:val="center"/>
            <w:hideMark/>
          </w:tcPr>
          <w:p w14:paraId="19692A45" w14:textId="77777777" w:rsidR="0009738E" w:rsidRPr="0009738E" w:rsidRDefault="0009738E" w:rsidP="0009738E">
            <w:pPr>
              <w:rPr>
                <w:lang w:val="en-FI"/>
              </w:rPr>
            </w:pPr>
            <w:r w:rsidRPr="0009738E">
              <w:rPr>
                <w:lang w:val="en-FI"/>
              </w:rPr>
              <w:t>10.81</w:t>
            </w:r>
          </w:p>
        </w:tc>
        <w:tc>
          <w:tcPr>
            <w:tcW w:w="0" w:type="auto"/>
            <w:vAlign w:val="center"/>
            <w:hideMark/>
          </w:tcPr>
          <w:p w14:paraId="72876890" w14:textId="77777777" w:rsidR="0009738E" w:rsidRPr="0009738E" w:rsidRDefault="0009738E" w:rsidP="0009738E">
            <w:pPr>
              <w:rPr>
                <w:lang w:val="en-FI"/>
              </w:rPr>
            </w:pPr>
            <w:r w:rsidRPr="0009738E">
              <w:rPr>
                <w:lang w:val="en-FI"/>
              </w:rPr>
              <w:t>9.77</w:t>
            </w:r>
          </w:p>
        </w:tc>
        <w:tc>
          <w:tcPr>
            <w:tcW w:w="0" w:type="auto"/>
            <w:vAlign w:val="center"/>
            <w:hideMark/>
          </w:tcPr>
          <w:p w14:paraId="4FC351CD" w14:textId="77777777" w:rsidR="0009738E" w:rsidRPr="0009738E" w:rsidRDefault="0009738E" w:rsidP="0009738E">
            <w:pPr>
              <w:rPr>
                <w:lang w:val="en-FI"/>
              </w:rPr>
            </w:pPr>
            <w:r w:rsidRPr="0009738E">
              <w:rPr>
                <w:lang w:val="en-FI"/>
              </w:rPr>
              <w:t>0.39</w:t>
            </w:r>
          </w:p>
        </w:tc>
      </w:tr>
      <w:tr w:rsidR="00001DD7" w:rsidRPr="0009738E" w14:paraId="77F6F659" w14:textId="77777777" w:rsidTr="00001DD7">
        <w:trPr>
          <w:trHeight w:val="574"/>
          <w:tblCellSpacing w:w="15" w:type="dxa"/>
          <w:jc w:val="center"/>
        </w:trPr>
        <w:tc>
          <w:tcPr>
            <w:tcW w:w="0" w:type="auto"/>
            <w:shd w:val="clear" w:color="auto" w:fill="D9D9D9" w:themeFill="background1" w:themeFillShade="D9"/>
            <w:vAlign w:val="center"/>
            <w:hideMark/>
          </w:tcPr>
          <w:p w14:paraId="32AC7E27" w14:textId="77777777" w:rsidR="0009738E" w:rsidRPr="0009738E" w:rsidRDefault="0009738E" w:rsidP="0009738E">
            <w:pPr>
              <w:rPr>
                <w:lang w:val="en-FI"/>
              </w:rPr>
            </w:pPr>
            <w:r w:rsidRPr="0009738E">
              <w:rPr>
                <w:lang w:val="en-FI"/>
              </w:rPr>
              <w:t>Ore Pulp Density (kg/L)</w:t>
            </w:r>
          </w:p>
        </w:tc>
        <w:tc>
          <w:tcPr>
            <w:tcW w:w="0" w:type="auto"/>
            <w:vAlign w:val="center"/>
            <w:hideMark/>
          </w:tcPr>
          <w:p w14:paraId="1E705D2F" w14:textId="77777777" w:rsidR="0009738E" w:rsidRPr="0009738E" w:rsidRDefault="0009738E" w:rsidP="0009738E">
            <w:pPr>
              <w:rPr>
                <w:lang w:val="en-FI"/>
              </w:rPr>
            </w:pPr>
            <w:r w:rsidRPr="0009738E">
              <w:rPr>
                <w:lang w:val="en-FI"/>
              </w:rPr>
              <w:t>1.52</w:t>
            </w:r>
          </w:p>
        </w:tc>
        <w:tc>
          <w:tcPr>
            <w:tcW w:w="0" w:type="auto"/>
            <w:vAlign w:val="center"/>
            <w:hideMark/>
          </w:tcPr>
          <w:p w14:paraId="57B3A4B2" w14:textId="77777777" w:rsidR="0009738E" w:rsidRPr="0009738E" w:rsidRDefault="0009738E" w:rsidP="0009738E">
            <w:pPr>
              <w:rPr>
                <w:lang w:val="en-FI"/>
              </w:rPr>
            </w:pPr>
            <w:r w:rsidRPr="0009738E">
              <w:rPr>
                <w:lang w:val="en-FI"/>
              </w:rPr>
              <w:t>1.70</w:t>
            </w:r>
          </w:p>
        </w:tc>
        <w:tc>
          <w:tcPr>
            <w:tcW w:w="0" w:type="auto"/>
            <w:vAlign w:val="center"/>
            <w:hideMark/>
          </w:tcPr>
          <w:p w14:paraId="21C22B97" w14:textId="77777777" w:rsidR="0009738E" w:rsidRPr="0009738E" w:rsidRDefault="0009738E" w:rsidP="0009738E">
            <w:pPr>
              <w:rPr>
                <w:lang w:val="en-FI"/>
              </w:rPr>
            </w:pPr>
            <w:r w:rsidRPr="0009738E">
              <w:rPr>
                <w:lang w:val="en-FI"/>
              </w:rPr>
              <w:t>1.85</w:t>
            </w:r>
          </w:p>
        </w:tc>
        <w:tc>
          <w:tcPr>
            <w:tcW w:w="0" w:type="auto"/>
            <w:vAlign w:val="center"/>
            <w:hideMark/>
          </w:tcPr>
          <w:p w14:paraId="310EFB0D" w14:textId="77777777" w:rsidR="0009738E" w:rsidRPr="0009738E" w:rsidRDefault="0009738E" w:rsidP="0009738E">
            <w:pPr>
              <w:rPr>
                <w:lang w:val="en-FI"/>
              </w:rPr>
            </w:pPr>
            <w:r w:rsidRPr="0009738E">
              <w:rPr>
                <w:lang w:val="en-FI"/>
              </w:rPr>
              <w:t>1.68</w:t>
            </w:r>
          </w:p>
        </w:tc>
        <w:tc>
          <w:tcPr>
            <w:tcW w:w="0" w:type="auto"/>
            <w:vAlign w:val="center"/>
            <w:hideMark/>
          </w:tcPr>
          <w:p w14:paraId="26C1E83B" w14:textId="77777777" w:rsidR="0009738E" w:rsidRPr="0009738E" w:rsidRDefault="0009738E" w:rsidP="0009738E">
            <w:pPr>
              <w:rPr>
                <w:lang w:val="en-FI"/>
              </w:rPr>
            </w:pPr>
            <w:r w:rsidRPr="0009738E">
              <w:rPr>
                <w:lang w:val="en-FI"/>
              </w:rPr>
              <w:t>0.07</w:t>
            </w:r>
          </w:p>
        </w:tc>
      </w:tr>
      <w:tr w:rsidR="00001DD7" w:rsidRPr="0009738E" w14:paraId="1A222522" w14:textId="77777777" w:rsidTr="00001DD7">
        <w:trPr>
          <w:trHeight w:val="565"/>
          <w:tblCellSpacing w:w="15" w:type="dxa"/>
          <w:jc w:val="center"/>
        </w:trPr>
        <w:tc>
          <w:tcPr>
            <w:tcW w:w="0" w:type="auto"/>
            <w:shd w:val="clear" w:color="auto" w:fill="D9D9D9" w:themeFill="background1" w:themeFillShade="D9"/>
            <w:vAlign w:val="center"/>
            <w:hideMark/>
          </w:tcPr>
          <w:p w14:paraId="5855A925" w14:textId="77777777" w:rsidR="0009738E" w:rsidRPr="0009738E" w:rsidRDefault="0009738E" w:rsidP="0009738E">
            <w:pPr>
              <w:rPr>
                <w:lang w:val="en-FI"/>
              </w:rPr>
            </w:pPr>
            <w:r w:rsidRPr="0009738E">
              <w:rPr>
                <w:lang w:val="en-FI"/>
              </w:rPr>
              <w:t>Flotation Column Air Flow</w:t>
            </w:r>
          </w:p>
        </w:tc>
        <w:tc>
          <w:tcPr>
            <w:tcW w:w="0" w:type="auto"/>
            <w:vAlign w:val="center"/>
            <w:hideMark/>
          </w:tcPr>
          <w:p w14:paraId="6946D12C" w14:textId="77777777" w:rsidR="0009738E" w:rsidRPr="0009738E" w:rsidRDefault="0009738E" w:rsidP="0009738E">
            <w:pPr>
              <w:rPr>
                <w:lang w:val="en-FI"/>
              </w:rPr>
            </w:pPr>
            <w:r w:rsidRPr="0009738E">
              <w:rPr>
                <w:lang w:val="en-FI"/>
              </w:rPr>
              <w:t>175.16</w:t>
            </w:r>
          </w:p>
        </w:tc>
        <w:tc>
          <w:tcPr>
            <w:tcW w:w="0" w:type="auto"/>
            <w:vAlign w:val="center"/>
            <w:hideMark/>
          </w:tcPr>
          <w:p w14:paraId="5CD371EE" w14:textId="77777777" w:rsidR="0009738E" w:rsidRPr="0009738E" w:rsidRDefault="0009738E" w:rsidP="0009738E">
            <w:pPr>
              <w:rPr>
                <w:lang w:val="en-FI"/>
              </w:rPr>
            </w:pPr>
            <w:r w:rsidRPr="0009738E">
              <w:rPr>
                <w:lang w:val="en-FI"/>
              </w:rPr>
              <w:t>296.22</w:t>
            </w:r>
          </w:p>
        </w:tc>
        <w:tc>
          <w:tcPr>
            <w:tcW w:w="0" w:type="auto"/>
            <w:vAlign w:val="center"/>
            <w:hideMark/>
          </w:tcPr>
          <w:p w14:paraId="36C69559" w14:textId="77777777" w:rsidR="0009738E" w:rsidRPr="0009738E" w:rsidRDefault="0009738E" w:rsidP="0009738E">
            <w:pPr>
              <w:rPr>
                <w:lang w:val="en-FI"/>
              </w:rPr>
            </w:pPr>
            <w:r w:rsidRPr="0009738E">
              <w:rPr>
                <w:lang w:val="en-FI"/>
              </w:rPr>
              <w:t>375.99</w:t>
            </w:r>
          </w:p>
        </w:tc>
        <w:tc>
          <w:tcPr>
            <w:tcW w:w="0" w:type="auto"/>
            <w:vAlign w:val="center"/>
            <w:hideMark/>
          </w:tcPr>
          <w:p w14:paraId="7B5C41A8" w14:textId="77777777" w:rsidR="0009738E" w:rsidRPr="0009738E" w:rsidRDefault="0009738E" w:rsidP="0009738E">
            <w:pPr>
              <w:rPr>
                <w:lang w:val="en-FI"/>
              </w:rPr>
            </w:pPr>
            <w:r w:rsidRPr="0009738E">
              <w:rPr>
                <w:lang w:val="en-FI"/>
              </w:rPr>
              <w:t>277.16</w:t>
            </w:r>
          </w:p>
        </w:tc>
        <w:tc>
          <w:tcPr>
            <w:tcW w:w="0" w:type="auto"/>
            <w:vAlign w:val="center"/>
            <w:hideMark/>
          </w:tcPr>
          <w:p w14:paraId="1D4FD16E" w14:textId="77777777" w:rsidR="0009738E" w:rsidRPr="0009738E" w:rsidRDefault="0009738E" w:rsidP="0009738E">
            <w:pPr>
              <w:rPr>
                <w:lang w:val="en-FI"/>
              </w:rPr>
            </w:pPr>
            <w:r w:rsidRPr="0009738E">
              <w:rPr>
                <w:lang w:val="en-FI"/>
              </w:rPr>
              <w:t>30.15</w:t>
            </w:r>
          </w:p>
        </w:tc>
      </w:tr>
      <w:tr w:rsidR="00001DD7" w:rsidRPr="0009738E" w14:paraId="30A32D6A" w14:textId="77777777" w:rsidTr="00001DD7">
        <w:trPr>
          <w:trHeight w:val="574"/>
          <w:tblCellSpacing w:w="15" w:type="dxa"/>
          <w:jc w:val="center"/>
        </w:trPr>
        <w:tc>
          <w:tcPr>
            <w:tcW w:w="0" w:type="auto"/>
            <w:shd w:val="clear" w:color="auto" w:fill="D9D9D9" w:themeFill="background1" w:themeFillShade="D9"/>
            <w:vAlign w:val="center"/>
            <w:hideMark/>
          </w:tcPr>
          <w:p w14:paraId="2AF7375C" w14:textId="77777777" w:rsidR="0009738E" w:rsidRPr="0009738E" w:rsidRDefault="0009738E" w:rsidP="0009738E">
            <w:pPr>
              <w:rPr>
                <w:lang w:val="en-FI"/>
              </w:rPr>
            </w:pPr>
            <w:r w:rsidRPr="0009738E">
              <w:rPr>
                <w:lang w:val="en-FI"/>
              </w:rPr>
              <w:t>% Iron Concentrate</w:t>
            </w:r>
          </w:p>
        </w:tc>
        <w:tc>
          <w:tcPr>
            <w:tcW w:w="0" w:type="auto"/>
            <w:vAlign w:val="center"/>
            <w:hideMark/>
          </w:tcPr>
          <w:p w14:paraId="69138C20" w14:textId="77777777" w:rsidR="0009738E" w:rsidRPr="0009738E" w:rsidRDefault="0009738E" w:rsidP="0009738E">
            <w:pPr>
              <w:rPr>
                <w:lang w:val="en-FI"/>
              </w:rPr>
            </w:pPr>
            <w:r w:rsidRPr="0009738E">
              <w:rPr>
                <w:lang w:val="en-FI"/>
              </w:rPr>
              <w:t>62.05</w:t>
            </w:r>
          </w:p>
        </w:tc>
        <w:tc>
          <w:tcPr>
            <w:tcW w:w="0" w:type="auto"/>
            <w:vAlign w:val="center"/>
            <w:hideMark/>
          </w:tcPr>
          <w:p w14:paraId="2DF3A14F" w14:textId="77777777" w:rsidR="0009738E" w:rsidRPr="0009738E" w:rsidRDefault="0009738E" w:rsidP="0009738E">
            <w:pPr>
              <w:rPr>
                <w:lang w:val="en-FI"/>
              </w:rPr>
            </w:pPr>
            <w:r w:rsidRPr="0009738E">
              <w:rPr>
                <w:lang w:val="en-FI"/>
              </w:rPr>
              <w:t>65.21</w:t>
            </w:r>
          </w:p>
        </w:tc>
        <w:tc>
          <w:tcPr>
            <w:tcW w:w="0" w:type="auto"/>
            <w:vAlign w:val="center"/>
            <w:hideMark/>
          </w:tcPr>
          <w:p w14:paraId="76802CF0" w14:textId="77777777" w:rsidR="0009738E" w:rsidRPr="0009738E" w:rsidRDefault="0009738E" w:rsidP="0009738E">
            <w:pPr>
              <w:rPr>
                <w:lang w:val="en-FI"/>
              </w:rPr>
            </w:pPr>
            <w:r w:rsidRPr="0009738E">
              <w:rPr>
                <w:lang w:val="en-FI"/>
              </w:rPr>
              <w:t>68.01</w:t>
            </w:r>
          </w:p>
        </w:tc>
        <w:tc>
          <w:tcPr>
            <w:tcW w:w="0" w:type="auto"/>
            <w:vAlign w:val="center"/>
            <w:hideMark/>
          </w:tcPr>
          <w:p w14:paraId="2E48D9D7" w14:textId="77777777" w:rsidR="0009738E" w:rsidRPr="0009738E" w:rsidRDefault="0009738E" w:rsidP="0009738E">
            <w:pPr>
              <w:rPr>
                <w:lang w:val="en-FI"/>
              </w:rPr>
            </w:pPr>
            <w:r w:rsidRPr="0009738E">
              <w:rPr>
                <w:lang w:val="en-FI"/>
              </w:rPr>
              <w:t>65.05</w:t>
            </w:r>
          </w:p>
        </w:tc>
        <w:tc>
          <w:tcPr>
            <w:tcW w:w="0" w:type="auto"/>
            <w:vAlign w:val="center"/>
            <w:hideMark/>
          </w:tcPr>
          <w:p w14:paraId="3BD9E140" w14:textId="77777777" w:rsidR="0009738E" w:rsidRPr="0009738E" w:rsidRDefault="0009738E" w:rsidP="0009738E">
            <w:pPr>
              <w:rPr>
                <w:lang w:val="en-FI"/>
              </w:rPr>
            </w:pPr>
            <w:r w:rsidRPr="0009738E">
              <w:rPr>
                <w:lang w:val="en-FI"/>
              </w:rPr>
              <w:t>1.12</w:t>
            </w:r>
          </w:p>
        </w:tc>
      </w:tr>
      <w:tr w:rsidR="00001DD7" w:rsidRPr="0009738E" w14:paraId="4CCB4A30" w14:textId="77777777" w:rsidTr="00001DD7">
        <w:trPr>
          <w:trHeight w:val="557"/>
          <w:tblCellSpacing w:w="15" w:type="dxa"/>
          <w:jc w:val="center"/>
        </w:trPr>
        <w:tc>
          <w:tcPr>
            <w:tcW w:w="0" w:type="auto"/>
            <w:shd w:val="clear" w:color="auto" w:fill="D9D9D9" w:themeFill="background1" w:themeFillShade="D9"/>
            <w:vAlign w:val="center"/>
            <w:hideMark/>
          </w:tcPr>
          <w:p w14:paraId="7F121B30" w14:textId="77777777" w:rsidR="0009738E" w:rsidRPr="0009738E" w:rsidRDefault="0009738E" w:rsidP="0009738E">
            <w:pPr>
              <w:rPr>
                <w:lang w:val="en-FI"/>
              </w:rPr>
            </w:pPr>
            <w:r w:rsidRPr="0009738E">
              <w:rPr>
                <w:lang w:val="en-FI"/>
              </w:rPr>
              <w:t>% Silica Concentrate</w:t>
            </w:r>
          </w:p>
        </w:tc>
        <w:tc>
          <w:tcPr>
            <w:tcW w:w="0" w:type="auto"/>
            <w:vAlign w:val="center"/>
            <w:hideMark/>
          </w:tcPr>
          <w:p w14:paraId="74A9FEEA" w14:textId="77777777" w:rsidR="0009738E" w:rsidRPr="0009738E" w:rsidRDefault="0009738E" w:rsidP="0009738E">
            <w:pPr>
              <w:rPr>
                <w:lang w:val="en-FI"/>
              </w:rPr>
            </w:pPr>
            <w:r w:rsidRPr="0009738E">
              <w:rPr>
                <w:lang w:val="en-FI"/>
              </w:rPr>
              <w:t>0.60</w:t>
            </w:r>
          </w:p>
        </w:tc>
        <w:tc>
          <w:tcPr>
            <w:tcW w:w="0" w:type="auto"/>
            <w:vAlign w:val="center"/>
            <w:hideMark/>
          </w:tcPr>
          <w:p w14:paraId="38A5483A" w14:textId="77777777" w:rsidR="0009738E" w:rsidRPr="0009738E" w:rsidRDefault="0009738E" w:rsidP="0009738E">
            <w:pPr>
              <w:rPr>
                <w:lang w:val="en-FI"/>
              </w:rPr>
            </w:pPr>
            <w:r w:rsidRPr="0009738E">
              <w:rPr>
                <w:lang w:val="en-FI"/>
              </w:rPr>
              <w:t>2.00</w:t>
            </w:r>
          </w:p>
        </w:tc>
        <w:tc>
          <w:tcPr>
            <w:tcW w:w="0" w:type="auto"/>
            <w:vAlign w:val="center"/>
            <w:hideMark/>
          </w:tcPr>
          <w:p w14:paraId="37D09E3B" w14:textId="77777777" w:rsidR="0009738E" w:rsidRPr="0009738E" w:rsidRDefault="0009738E" w:rsidP="0009738E">
            <w:pPr>
              <w:rPr>
                <w:lang w:val="en-FI"/>
              </w:rPr>
            </w:pPr>
            <w:r w:rsidRPr="0009738E">
              <w:rPr>
                <w:lang w:val="en-FI"/>
              </w:rPr>
              <w:t>5.53</w:t>
            </w:r>
          </w:p>
        </w:tc>
        <w:tc>
          <w:tcPr>
            <w:tcW w:w="0" w:type="auto"/>
            <w:vAlign w:val="center"/>
            <w:hideMark/>
          </w:tcPr>
          <w:p w14:paraId="59530A02" w14:textId="77777777" w:rsidR="0009738E" w:rsidRPr="0009738E" w:rsidRDefault="0009738E" w:rsidP="0009738E">
            <w:pPr>
              <w:rPr>
                <w:lang w:val="en-FI"/>
              </w:rPr>
            </w:pPr>
            <w:r w:rsidRPr="0009738E">
              <w:rPr>
                <w:lang w:val="en-FI"/>
              </w:rPr>
              <w:t>2.33</w:t>
            </w:r>
          </w:p>
        </w:tc>
        <w:tc>
          <w:tcPr>
            <w:tcW w:w="0" w:type="auto"/>
            <w:vAlign w:val="center"/>
            <w:hideMark/>
          </w:tcPr>
          <w:p w14:paraId="61B3E0FE" w14:textId="77777777" w:rsidR="0009738E" w:rsidRPr="0009738E" w:rsidRDefault="0009738E" w:rsidP="0009738E">
            <w:pPr>
              <w:rPr>
                <w:lang w:val="en-FI"/>
              </w:rPr>
            </w:pPr>
            <w:r w:rsidRPr="0009738E">
              <w:rPr>
                <w:lang w:val="en-FI"/>
              </w:rPr>
              <w:t>1.13</w:t>
            </w:r>
          </w:p>
        </w:tc>
      </w:tr>
    </w:tbl>
    <w:p w14:paraId="040C5135" w14:textId="77777777" w:rsidR="0009738E" w:rsidRDefault="0009738E" w:rsidP="0009738E">
      <w:pPr>
        <w:rPr>
          <w:lang w:val="en-FI"/>
        </w:rPr>
      </w:pPr>
    </w:p>
    <w:p w14:paraId="60DB2914" w14:textId="1C12C549" w:rsidR="001C4797" w:rsidRDefault="00BC33F5" w:rsidP="00BC33F5">
      <w:pPr>
        <w:rPr>
          <w:lang w:val="en-FI"/>
        </w:rPr>
      </w:pPr>
      <w:r w:rsidRPr="00BC33F5">
        <w:t>The concentration of the silica feed fluctuates between 1.31% and 33.4%, with an average value of 14.65%.</w:t>
      </w:r>
      <w:r w:rsidRPr="00BC33F5">
        <w:br/>
        <w:t>The silica concentrate (the process output) varies from 0.60% to 5.53%, with an average of 2.33%, which is the reason for successful separation the most time.</w:t>
      </w:r>
      <w:r w:rsidRPr="00BC33F5">
        <w:br/>
        <w:t xml:space="preserve">The starch and </w:t>
      </w:r>
      <w:proofErr w:type="spellStart"/>
      <w:r w:rsidRPr="00BC33F5">
        <w:t>amina</w:t>
      </w:r>
      <w:proofErr w:type="spellEnd"/>
      <w:r w:rsidRPr="00BC33F5">
        <w:t xml:space="preserve"> flows (chemical agents) have the ranges of wide distributions, which show that chemical inputs were fluctuating during the process.</w:t>
      </w:r>
      <w:r w:rsidRPr="00BC33F5">
        <w:br/>
        <w:t>The air flows in the flotation columns also exhibit variability, but they mostly fall within a narrow band around their medians.</w:t>
      </w:r>
    </w:p>
    <w:p w14:paraId="3F5A4A30" w14:textId="77777777" w:rsidR="001C4797" w:rsidRDefault="001C4797" w:rsidP="001C4797">
      <w:pPr>
        <w:rPr>
          <w:lang w:val="en-FI"/>
        </w:rPr>
      </w:pPr>
    </w:p>
    <w:p w14:paraId="21549BB3" w14:textId="77777777" w:rsidR="00EE3F37" w:rsidRPr="00EE3F37" w:rsidRDefault="00EE3F37" w:rsidP="00EE3F37">
      <w:pPr>
        <w:rPr>
          <w:b/>
          <w:bCs/>
          <w:lang w:val="en-FI"/>
        </w:rPr>
      </w:pPr>
      <w:r w:rsidRPr="00EE3F37">
        <w:rPr>
          <w:b/>
          <w:bCs/>
          <w:lang w:val="en-FI"/>
        </w:rPr>
        <w:t>4. Visualization and Comment on Dataset</w:t>
      </w:r>
    </w:p>
    <w:p w14:paraId="7D281BA0" w14:textId="77777777" w:rsidR="00DE4F40" w:rsidRDefault="00DA787A" w:rsidP="00DA787A">
      <w:r w:rsidRPr="00DA787A">
        <w:t>The following plots created for better understanding of the data:</w:t>
      </w:r>
      <w:r w:rsidRPr="00DA787A">
        <w:br/>
      </w:r>
      <w:r w:rsidRPr="00DA787A">
        <w:br/>
        <w:t>Time series plot: This is the visualization that shows the trends in Silica Feed and Silica Concentrate passing over time. Feed concentration fluctuates wildly, while the collector exhibits an almost stable low range, thus revealing the effectiveness of the flotation.</w:t>
      </w:r>
    </w:p>
    <w:p w14:paraId="2B91B7B8" w14:textId="77777777" w:rsidR="00D321D2" w:rsidRDefault="00D321D2" w:rsidP="00DA787A">
      <w:r w:rsidRPr="00D321D2">
        <w:rPr>
          <w:noProof/>
        </w:rPr>
        <w:lastRenderedPageBreak/>
        <w:drawing>
          <wp:inline distT="0" distB="0" distL="0" distR="0" wp14:anchorId="73A33019" wp14:editId="25F4BE1A">
            <wp:extent cx="5731510" cy="2679700"/>
            <wp:effectExtent l="0" t="0" r="0" b="0"/>
            <wp:docPr id="65134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r w:rsidR="00DA787A" w:rsidRPr="00DA787A">
        <w:br/>
      </w:r>
      <w:r w:rsidR="00DA787A" w:rsidRPr="00DA787A">
        <w:br/>
        <w:t>Correlation Heatmap: Displays the correlations between the variables. There are some strong linkages between different flotation columns, so it is likely that these variables are highly interdependent. The connection between air flows and concentrate levels has a low strength, though.</w:t>
      </w:r>
    </w:p>
    <w:p w14:paraId="44C451D2" w14:textId="2AAC93F8" w:rsidR="00001DD7" w:rsidRDefault="00D321D2" w:rsidP="00DA787A">
      <w:r w:rsidRPr="00D321D2">
        <w:rPr>
          <w:noProof/>
        </w:rPr>
        <w:drawing>
          <wp:inline distT="0" distB="0" distL="0" distR="0" wp14:anchorId="14BD5CE3" wp14:editId="6BE7A9C4">
            <wp:extent cx="5731510" cy="2679700"/>
            <wp:effectExtent l="0" t="0" r="0" b="6350"/>
            <wp:docPr id="1941183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r w:rsidR="00DA787A" w:rsidRPr="00DA787A">
        <w:br/>
      </w:r>
      <w:r w:rsidR="00DA787A" w:rsidRPr="00DA787A">
        <w:br/>
        <w:t>Box Plots and Histograms: These plots represent the distribution of values for every variable. The box plots illustrate the outliers in variables, like Ore Pulp Flow and Amina Flow, which are very likely to be the ones that need special attention during pre-treatment. The histograms show that some of the flotation column air flows have a skewed distribution, this points to process variability.</w:t>
      </w:r>
    </w:p>
    <w:p w14:paraId="1BB3B690" w14:textId="0E621E06" w:rsidR="00D321D2" w:rsidRDefault="00545263" w:rsidP="00DA787A">
      <w:r w:rsidRPr="00545263">
        <w:rPr>
          <w:noProof/>
        </w:rPr>
        <w:lastRenderedPageBreak/>
        <w:drawing>
          <wp:inline distT="0" distB="0" distL="0" distR="0" wp14:anchorId="2598092D" wp14:editId="27CDBFC3">
            <wp:extent cx="5667693" cy="3161899"/>
            <wp:effectExtent l="0" t="0" r="0" b="0"/>
            <wp:docPr id="1208625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8843" r="7351"/>
                    <a:stretch/>
                  </pic:blipFill>
                  <pic:spPr bwMode="auto">
                    <a:xfrm>
                      <a:off x="0" y="0"/>
                      <a:ext cx="5676832" cy="3166997"/>
                    </a:xfrm>
                    <a:prstGeom prst="rect">
                      <a:avLst/>
                    </a:prstGeom>
                    <a:noFill/>
                    <a:ln>
                      <a:noFill/>
                    </a:ln>
                    <a:extLst>
                      <a:ext uri="{53640926-AAD7-44D8-BBD7-CCE9431645EC}">
                        <a14:shadowObscured xmlns:a14="http://schemas.microsoft.com/office/drawing/2010/main"/>
                      </a:ext>
                    </a:extLst>
                  </pic:spPr>
                </pic:pic>
              </a:graphicData>
            </a:graphic>
          </wp:inline>
        </w:drawing>
      </w:r>
    </w:p>
    <w:p w14:paraId="2B310F14" w14:textId="77777777" w:rsidR="00545263" w:rsidRDefault="00545263" w:rsidP="00DA787A"/>
    <w:p w14:paraId="3BEC712E" w14:textId="4FF61067" w:rsidR="00006F9B" w:rsidRDefault="00545263" w:rsidP="00DA787A">
      <w:r w:rsidRPr="00545263">
        <w:rPr>
          <w:noProof/>
        </w:rPr>
        <w:drawing>
          <wp:inline distT="0" distB="0" distL="0" distR="0" wp14:anchorId="12374040" wp14:editId="75C34EBC">
            <wp:extent cx="5731844" cy="3172516"/>
            <wp:effectExtent l="0" t="0" r="2540" b="0"/>
            <wp:docPr id="1687586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9321" r="6208"/>
                    <a:stretch/>
                  </pic:blipFill>
                  <pic:spPr bwMode="auto">
                    <a:xfrm>
                      <a:off x="0" y="0"/>
                      <a:ext cx="5739462" cy="3176733"/>
                    </a:xfrm>
                    <a:prstGeom prst="rect">
                      <a:avLst/>
                    </a:prstGeom>
                    <a:noFill/>
                    <a:ln>
                      <a:noFill/>
                    </a:ln>
                    <a:extLst>
                      <a:ext uri="{53640926-AAD7-44D8-BBD7-CCE9431645EC}">
                        <a14:shadowObscured xmlns:a14="http://schemas.microsoft.com/office/drawing/2010/main"/>
                      </a:ext>
                    </a:extLst>
                  </pic:spPr>
                </pic:pic>
              </a:graphicData>
            </a:graphic>
          </wp:inline>
        </w:drawing>
      </w:r>
    </w:p>
    <w:p w14:paraId="4A3D75C6" w14:textId="2AE85C2F" w:rsidR="00006F9B" w:rsidRDefault="00253DA7" w:rsidP="00253DA7">
      <w:r w:rsidRPr="00253DA7">
        <w:t xml:space="preserve">5. </w:t>
      </w:r>
      <w:r w:rsidRPr="00253DA7">
        <w:rPr>
          <w:b/>
          <w:bCs/>
        </w:rPr>
        <w:t>Challenges and Pretreatment Steps</w:t>
      </w:r>
    </w:p>
    <w:p w14:paraId="3D56E035" w14:textId="6DD34F1A" w:rsidR="0075101B" w:rsidRDefault="0075101B" w:rsidP="001413CD">
      <w:r w:rsidRPr="0075101B">
        <w:t>Obstacles Discovered:</w:t>
      </w:r>
      <w:r w:rsidRPr="0075101B">
        <w:br/>
      </w:r>
      <w:r w:rsidRPr="0075101B">
        <w:br/>
      </w:r>
      <w:r w:rsidR="001413CD" w:rsidRPr="001413CD">
        <w:t>Time Series Synchronization: Variables are measured at the same times, but there can be some delays between them due to process lags.</w:t>
      </w:r>
      <w:r w:rsidR="001413CD" w:rsidRPr="001413CD">
        <w:br/>
      </w:r>
      <w:r w:rsidR="001413CD" w:rsidRPr="001413CD">
        <w:br/>
        <w:t>Missing Values: Even though there were no missing values in the dataset, the researchers should keep a close eye on this point during further analysis.</w:t>
      </w:r>
      <w:r w:rsidR="001413CD" w:rsidRPr="001413CD">
        <w:br/>
      </w:r>
      <w:r w:rsidR="001413CD" w:rsidRPr="001413CD">
        <w:lastRenderedPageBreak/>
        <w:br/>
        <w:t>Outliers: Various variables, such as ore pulp flow and air flows, point potential outliers that may be indicative of abnormal process conditions.</w:t>
      </w:r>
      <w:r w:rsidR="001413CD" w:rsidRPr="001413CD">
        <w:br/>
      </w:r>
      <w:r w:rsidR="001413CD" w:rsidRPr="001413CD">
        <w:br/>
        <w:t>Highly Correlated Variables: Several of the flotation column air flow and level readings exhibit extremely high correlation, which may generate dimensionality reduction methods like PCA (Principal Component Analysis).</w:t>
      </w:r>
    </w:p>
    <w:p w14:paraId="2D70102A" w14:textId="77777777" w:rsidR="00253DA7" w:rsidRDefault="00253DA7" w:rsidP="0075101B"/>
    <w:p w14:paraId="5E6FB5AB" w14:textId="77777777" w:rsidR="00C923A7" w:rsidRDefault="004715F2" w:rsidP="00C923A7">
      <w:r w:rsidRPr="004715F2">
        <w:t>Pretreatment Plan:</w:t>
      </w:r>
      <w:r w:rsidRPr="004715F2">
        <w:br/>
      </w:r>
    </w:p>
    <w:p w14:paraId="571BC52D" w14:textId="77777777" w:rsidR="00C923A7" w:rsidRDefault="00C923A7" w:rsidP="00C923A7">
      <w:r w:rsidRPr="00C923A7">
        <w:t xml:space="preserve">Handling Outliers: Use statistical methods, IQR being the preferred one, to either discard or modify outliers which are probably due to the process malfunction. </w:t>
      </w:r>
      <w:r w:rsidRPr="00C923A7">
        <w:br/>
      </w:r>
    </w:p>
    <w:p w14:paraId="3C794BA8" w14:textId="77777777" w:rsidR="00C923A7" w:rsidRDefault="00C923A7" w:rsidP="00C923A7">
      <w:r w:rsidRPr="00C923A7">
        <w:t>Rescaling Variables: Employ the min-max normalization method on the variables with different ranges so that they are at the same scale for machine learning models.</w:t>
      </w:r>
      <w:r w:rsidRPr="00C923A7">
        <w:br/>
        <w:t xml:space="preserve">Feature Selection: Floatation columns are likely to behave similarly therefore, we can either opt to choose the most representative features or apply PCA to reduce the number of features. </w:t>
      </w:r>
      <w:r w:rsidRPr="00C923A7">
        <w:br/>
      </w:r>
    </w:p>
    <w:p w14:paraId="1C676A46" w14:textId="5F6839AB" w:rsidR="00253DA7" w:rsidRDefault="00C923A7" w:rsidP="00C923A7">
      <w:r w:rsidRPr="00C923A7">
        <w:t xml:space="preserve">Lagged Variables: Generate lagged features for the main input variables (e.g., air flows, pulp density, chemical flows) </w:t>
      </w:r>
      <w:proofErr w:type="gramStart"/>
      <w:r w:rsidRPr="00C923A7">
        <w:t>in order to</w:t>
      </w:r>
      <w:proofErr w:type="gramEnd"/>
      <w:r w:rsidRPr="00C923A7">
        <w:t xml:space="preserve"> introduce the time dependencies as well as to get better silica concentration forecasting.</w:t>
      </w:r>
    </w:p>
    <w:p w14:paraId="0C8AE310" w14:textId="77777777" w:rsidR="004715F2" w:rsidRDefault="004715F2" w:rsidP="004715F2"/>
    <w:p w14:paraId="2463C020" w14:textId="5B092DD7" w:rsidR="006136B5" w:rsidRDefault="00391BF5" w:rsidP="00391BF5">
      <w:pPr>
        <w:rPr>
          <w:lang w:val="en-FI"/>
        </w:rPr>
      </w:pPr>
      <w:r w:rsidRPr="00391BF5">
        <w:t xml:space="preserve">6. </w:t>
      </w:r>
      <w:r w:rsidRPr="00391BF5">
        <w:rPr>
          <w:b/>
          <w:bCs/>
        </w:rPr>
        <w:t>Code Sharing and Communication Strategy</w:t>
      </w:r>
    </w:p>
    <w:p w14:paraId="7FC868F8" w14:textId="77777777" w:rsidR="00391BF5" w:rsidRDefault="00391BF5" w:rsidP="00391BF5">
      <w:pPr>
        <w:rPr>
          <w:lang w:val="en-FI"/>
        </w:rPr>
      </w:pPr>
    </w:p>
    <w:p w14:paraId="02AD7F39" w14:textId="74AA0275" w:rsidR="006136B5" w:rsidRPr="00397F66" w:rsidRDefault="00223575" w:rsidP="00223575">
      <w:pPr>
        <w:rPr>
          <w:lang w:val="en-FI"/>
        </w:rPr>
      </w:pPr>
      <w:r w:rsidRPr="00223575">
        <w:t>We are using GitHub for sharing codes and models for collaboration with each other.</w:t>
      </w:r>
      <w:r w:rsidRPr="00223575">
        <w:br/>
      </w:r>
      <w:r w:rsidRPr="00223575">
        <w:br/>
        <w:t>Summary:</w:t>
      </w:r>
      <w:r w:rsidRPr="00223575">
        <w:br/>
      </w:r>
      <w:r w:rsidRPr="00223575">
        <w:br/>
        <w:t>The dataset has been imported and prepared for visualization in a successful manner.</w:t>
      </w:r>
      <w:r w:rsidRPr="00223575">
        <w:br/>
        <w:t>From our first analysis, it seems that the flotation process is mostly stable, but there are some outliers and process variability that need to be dealt with during the pretreatment stage.</w:t>
      </w:r>
      <w:r w:rsidRPr="00223575">
        <w:br/>
        <w:t xml:space="preserve">The various visualizations such as time series plots, correlation heatmaps, box plots, and histograms give a better picture of the process </w:t>
      </w:r>
      <w:proofErr w:type="spellStart"/>
      <w:r w:rsidRPr="00223575">
        <w:t>behavior</w:t>
      </w:r>
      <w:proofErr w:type="spellEnd"/>
      <w:r w:rsidRPr="00223575">
        <w:t xml:space="preserve"> and relationships between the variables.</w:t>
      </w:r>
      <w:r w:rsidRPr="00223575">
        <w:br/>
        <w:t xml:space="preserve">A comprehensive pretreatment plan is elaborated to deal with outliers, normalize data, </w:t>
      </w:r>
      <w:r w:rsidRPr="00223575">
        <w:lastRenderedPageBreak/>
        <w:t>and reduce dimensionality, thus making the way for accurate silica concentration predictions in the subsequent phases.</w:t>
      </w:r>
      <w:r w:rsidR="006136B5" w:rsidRPr="006136B5">
        <w:br/>
      </w:r>
    </w:p>
    <w:sectPr w:rsidR="006136B5" w:rsidRPr="0039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6237B"/>
    <w:multiLevelType w:val="multilevel"/>
    <w:tmpl w:val="9F7C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F7637"/>
    <w:multiLevelType w:val="multilevel"/>
    <w:tmpl w:val="F194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448579">
    <w:abstractNumId w:val="1"/>
  </w:num>
  <w:num w:numId="2" w16cid:durableId="171063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E3"/>
    <w:rsid w:val="00001DD7"/>
    <w:rsid w:val="00006F9B"/>
    <w:rsid w:val="000801EC"/>
    <w:rsid w:val="00083281"/>
    <w:rsid w:val="0009738E"/>
    <w:rsid w:val="000B4546"/>
    <w:rsid w:val="00121862"/>
    <w:rsid w:val="001413CD"/>
    <w:rsid w:val="001433D7"/>
    <w:rsid w:val="001C4797"/>
    <w:rsid w:val="00223575"/>
    <w:rsid w:val="00253DA7"/>
    <w:rsid w:val="002D28DF"/>
    <w:rsid w:val="002F00C1"/>
    <w:rsid w:val="00391BF5"/>
    <w:rsid w:val="00397F66"/>
    <w:rsid w:val="004715F2"/>
    <w:rsid w:val="005003BB"/>
    <w:rsid w:val="00524A13"/>
    <w:rsid w:val="00545263"/>
    <w:rsid w:val="006136B5"/>
    <w:rsid w:val="00684E26"/>
    <w:rsid w:val="0075101B"/>
    <w:rsid w:val="00A277FD"/>
    <w:rsid w:val="00AB364A"/>
    <w:rsid w:val="00BA0B61"/>
    <w:rsid w:val="00BA7C6E"/>
    <w:rsid w:val="00BC33F5"/>
    <w:rsid w:val="00C348E3"/>
    <w:rsid w:val="00C923A7"/>
    <w:rsid w:val="00D321D2"/>
    <w:rsid w:val="00DA787A"/>
    <w:rsid w:val="00DE4F40"/>
    <w:rsid w:val="00EC3FF5"/>
    <w:rsid w:val="00EE3F37"/>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772C"/>
  <w15:chartTrackingRefBased/>
  <w15:docId w15:val="{9AF6A8C0-AB96-40FA-AD84-94DCF013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4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8E3"/>
    <w:rPr>
      <w:rFonts w:eastAsiaTheme="majorEastAsia" w:cstheme="majorBidi"/>
      <w:color w:val="272727" w:themeColor="text1" w:themeTint="D8"/>
    </w:rPr>
  </w:style>
  <w:style w:type="paragraph" w:styleId="Title">
    <w:name w:val="Title"/>
    <w:basedOn w:val="Normal"/>
    <w:next w:val="Normal"/>
    <w:link w:val="TitleChar"/>
    <w:uiPriority w:val="10"/>
    <w:qFormat/>
    <w:rsid w:val="00C34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8E3"/>
    <w:pPr>
      <w:spacing w:before="160"/>
      <w:jc w:val="center"/>
    </w:pPr>
    <w:rPr>
      <w:i/>
      <w:iCs/>
      <w:color w:val="404040" w:themeColor="text1" w:themeTint="BF"/>
    </w:rPr>
  </w:style>
  <w:style w:type="character" w:customStyle="1" w:styleId="QuoteChar">
    <w:name w:val="Quote Char"/>
    <w:basedOn w:val="DefaultParagraphFont"/>
    <w:link w:val="Quote"/>
    <w:uiPriority w:val="29"/>
    <w:rsid w:val="00C348E3"/>
    <w:rPr>
      <w:i/>
      <w:iCs/>
      <w:color w:val="404040" w:themeColor="text1" w:themeTint="BF"/>
    </w:rPr>
  </w:style>
  <w:style w:type="paragraph" w:styleId="ListParagraph">
    <w:name w:val="List Paragraph"/>
    <w:basedOn w:val="Normal"/>
    <w:uiPriority w:val="34"/>
    <w:qFormat/>
    <w:rsid w:val="00C348E3"/>
    <w:pPr>
      <w:ind w:left="720"/>
      <w:contextualSpacing/>
    </w:pPr>
  </w:style>
  <w:style w:type="character" w:styleId="IntenseEmphasis">
    <w:name w:val="Intense Emphasis"/>
    <w:basedOn w:val="DefaultParagraphFont"/>
    <w:uiPriority w:val="21"/>
    <w:qFormat/>
    <w:rsid w:val="00C348E3"/>
    <w:rPr>
      <w:i/>
      <w:iCs/>
      <w:color w:val="0F4761" w:themeColor="accent1" w:themeShade="BF"/>
    </w:rPr>
  </w:style>
  <w:style w:type="paragraph" w:styleId="IntenseQuote">
    <w:name w:val="Intense Quote"/>
    <w:basedOn w:val="Normal"/>
    <w:next w:val="Normal"/>
    <w:link w:val="IntenseQuoteChar"/>
    <w:uiPriority w:val="30"/>
    <w:qFormat/>
    <w:rsid w:val="00C3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8E3"/>
    <w:rPr>
      <w:i/>
      <w:iCs/>
      <w:color w:val="0F4761" w:themeColor="accent1" w:themeShade="BF"/>
    </w:rPr>
  </w:style>
  <w:style w:type="character" w:styleId="IntenseReference">
    <w:name w:val="Intense Reference"/>
    <w:basedOn w:val="DefaultParagraphFont"/>
    <w:uiPriority w:val="32"/>
    <w:qFormat/>
    <w:rsid w:val="00C34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1449">
      <w:bodyDiv w:val="1"/>
      <w:marLeft w:val="0"/>
      <w:marRight w:val="0"/>
      <w:marTop w:val="0"/>
      <w:marBottom w:val="0"/>
      <w:divBdr>
        <w:top w:val="none" w:sz="0" w:space="0" w:color="auto"/>
        <w:left w:val="none" w:sz="0" w:space="0" w:color="auto"/>
        <w:bottom w:val="none" w:sz="0" w:space="0" w:color="auto"/>
        <w:right w:val="none" w:sz="0" w:space="0" w:color="auto"/>
      </w:divBdr>
    </w:div>
    <w:div w:id="96995632">
      <w:bodyDiv w:val="1"/>
      <w:marLeft w:val="0"/>
      <w:marRight w:val="0"/>
      <w:marTop w:val="0"/>
      <w:marBottom w:val="0"/>
      <w:divBdr>
        <w:top w:val="none" w:sz="0" w:space="0" w:color="auto"/>
        <w:left w:val="none" w:sz="0" w:space="0" w:color="auto"/>
        <w:bottom w:val="none" w:sz="0" w:space="0" w:color="auto"/>
        <w:right w:val="none" w:sz="0" w:space="0" w:color="auto"/>
      </w:divBdr>
    </w:div>
    <w:div w:id="321781875">
      <w:bodyDiv w:val="1"/>
      <w:marLeft w:val="0"/>
      <w:marRight w:val="0"/>
      <w:marTop w:val="0"/>
      <w:marBottom w:val="0"/>
      <w:divBdr>
        <w:top w:val="none" w:sz="0" w:space="0" w:color="auto"/>
        <w:left w:val="none" w:sz="0" w:space="0" w:color="auto"/>
        <w:bottom w:val="none" w:sz="0" w:space="0" w:color="auto"/>
        <w:right w:val="none" w:sz="0" w:space="0" w:color="auto"/>
      </w:divBdr>
    </w:div>
    <w:div w:id="1012948310">
      <w:bodyDiv w:val="1"/>
      <w:marLeft w:val="0"/>
      <w:marRight w:val="0"/>
      <w:marTop w:val="0"/>
      <w:marBottom w:val="0"/>
      <w:divBdr>
        <w:top w:val="none" w:sz="0" w:space="0" w:color="auto"/>
        <w:left w:val="none" w:sz="0" w:space="0" w:color="auto"/>
        <w:bottom w:val="none" w:sz="0" w:space="0" w:color="auto"/>
        <w:right w:val="none" w:sz="0" w:space="0" w:color="auto"/>
      </w:divBdr>
    </w:div>
    <w:div w:id="1335449734">
      <w:bodyDiv w:val="1"/>
      <w:marLeft w:val="0"/>
      <w:marRight w:val="0"/>
      <w:marTop w:val="0"/>
      <w:marBottom w:val="0"/>
      <w:divBdr>
        <w:top w:val="none" w:sz="0" w:space="0" w:color="auto"/>
        <w:left w:val="none" w:sz="0" w:space="0" w:color="auto"/>
        <w:bottom w:val="none" w:sz="0" w:space="0" w:color="auto"/>
        <w:right w:val="none" w:sz="0" w:space="0" w:color="auto"/>
      </w:divBdr>
    </w:div>
    <w:div w:id="1417482213">
      <w:bodyDiv w:val="1"/>
      <w:marLeft w:val="0"/>
      <w:marRight w:val="0"/>
      <w:marTop w:val="0"/>
      <w:marBottom w:val="0"/>
      <w:divBdr>
        <w:top w:val="none" w:sz="0" w:space="0" w:color="auto"/>
        <w:left w:val="none" w:sz="0" w:space="0" w:color="auto"/>
        <w:bottom w:val="none" w:sz="0" w:space="0" w:color="auto"/>
        <w:right w:val="none" w:sz="0" w:space="0" w:color="auto"/>
      </w:divBdr>
    </w:div>
    <w:div w:id="1450934191">
      <w:bodyDiv w:val="1"/>
      <w:marLeft w:val="0"/>
      <w:marRight w:val="0"/>
      <w:marTop w:val="0"/>
      <w:marBottom w:val="0"/>
      <w:divBdr>
        <w:top w:val="none" w:sz="0" w:space="0" w:color="auto"/>
        <w:left w:val="none" w:sz="0" w:space="0" w:color="auto"/>
        <w:bottom w:val="none" w:sz="0" w:space="0" w:color="auto"/>
        <w:right w:val="none" w:sz="0" w:space="0" w:color="auto"/>
      </w:divBdr>
    </w:div>
    <w:div w:id="1462532146">
      <w:bodyDiv w:val="1"/>
      <w:marLeft w:val="0"/>
      <w:marRight w:val="0"/>
      <w:marTop w:val="0"/>
      <w:marBottom w:val="0"/>
      <w:divBdr>
        <w:top w:val="none" w:sz="0" w:space="0" w:color="auto"/>
        <w:left w:val="none" w:sz="0" w:space="0" w:color="auto"/>
        <w:bottom w:val="none" w:sz="0" w:space="0" w:color="auto"/>
        <w:right w:val="none" w:sz="0" w:space="0" w:color="auto"/>
      </w:divBdr>
    </w:div>
    <w:div w:id="1594632299">
      <w:bodyDiv w:val="1"/>
      <w:marLeft w:val="0"/>
      <w:marRight w:val="0"/>
      <w:marTop w:val="0"/>
      <w:marBottom w:val="0"/>
      <w:divBdr>
        <w:top w:val="none" w:sz="0" w:space="0" w:color="auto"/>
        <w:left w:val="none" w:sz="0" w:space="0" w:color="auto"/>
        <w:bottom w:val="none" w:sz="0" w:space="0" w:color="auto"/>
        <w:right w:val="none" w:sz="0" w:space="0" w:color="auto"/>
      </w:divBdr>
    </w:div>
    <w:div w:id="177832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Ataei Maryam</dc:creator>
  <cp:keywords/>
  <dc:description/>
  <cp:lastModifiedBy>Ataei Maryam</cp:lastModifiedBy>
  <cp:revision>32</cp:revision>
  <dcterms:created xsi:type="dcterms:W3CDTF">2024-09-15T11:21:00Z</dcterms:created>
  <dcterms:modified xsi:type="dcterms:W3CDTF">2024-09-15T12:08:00Z</dcterms:modified>
</cp:coreProperties>
</file>