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mbria" w:cs="Cambria" w:eastAsia="Cambria" w:hAnsi="Cambria"/>
          <w:b/>
          <w:bCs/>
          <w:color w:val="171A19"/>
          <w:sz w:val="44"/>
          <w:szCs w:val="44"/>
        </w:rPr>
        <w:t xml:space="preserve">Сценарий презентации VibeVO</w:t>
      </w:r>
    </w:p>
    <w:p>
      <w:pPr>
        <w:spacing w:after="240"/>
      </w:pPr>
      <w:r>
        <w:rPr>
          <w:rFonts w:ascii="Calibri" w:cs="Calibri" w:eastAsia="Calibri" w:hAnsi="Calibri"/>
          <w:color w:val="5C6360"/>
          <w:sz w:val="21"/>
          <w:szCs w:val="21"/>
        </w:rPr>
        <w:t xml:space="preserve">Midea × VibeVO: охватная кампания в коротких видео. 11 слайдов. Около 14 минут чистой речи, 20–22 минуты с паузами и репликами клиента.</w:t>
      </w:r>
    </w:p>
    <w:p>
      <w:pPr>
        <w:spacing w:after="100" w:line="280"/>
      </w:pPr>
      <w:r>
        <w:rPr>
          <w:rFonts w:ascii="Calibri" w:cs="Calibri" w:eastAsia="Calibri" w:hAnsi="Calibri"/>
          <w:color w:val="5C6360"/>
          <w:sz w:val="20"/>
          <w:szCs w:val="20"/>
        </w:rPr>
        <w:t xml:space="preserve">Обычным текстом — то, что произносится вслух. Курсивом с полоской — что делать руками. В плашках — то, что нельзя пропустить. Цифры в речи записаны словами: читать вслух «3,31 млн» неудобно.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400"/>
      </w:tblGrid>
      <w:tr>
        <w:trPr>
          <w:tblHeader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Время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Что показываем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Длительность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00:00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Рамка — зачем это после «Главного ингредиента»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1,5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01:30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Слайды 1–2 · титул и задача кампании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2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03:30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 3 · пять потребностей одной аудитории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2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05:30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Слайды 4–6 · два формата и как устроен каждый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5,5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11:00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Слайды 7–8 · от потребности к сценарию по секундам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4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15:00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 9 · как это видит зритель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1,5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16:30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Слайды 10–11 · деньги и измерение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4 мин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20:30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Закрытие и решения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1,5 мин</w:t>
            </w:r>
          </w:p>
        </w:tc>
      </w:tr>
    </w:tbl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00:00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Рамка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hd w:fill="E2EFEF" w:val="clear"/>
        <w:spacing w:after="140"/>
        <w:ind w:left="120" w:right="120"/>
      </w:pPr>
      <w:r>
        <w:rPr>
          <w:rFonts w:ascii="Calibri" w:cs="Calibri" w:eastAsia="Calibri" w:hAnsi="Calibri"/>
          <w:b/>
          <w:bCs/>
          <w:color w:val="0E6B72"/>
          <w:sz w:val="17"/>
          <w:szCs w:val="17"/>
        </w:rPr>
        <w:t xml:space="preserve">НА ЭКРАНЕ:  </w:t>
      </w:r>
      <w:r>
        <w:rPr>
          <w:rFonts w:ascii="Calibri" w:cs="Calibri" w:eastAsia="Calibri" w:hAnsi="Calibri"/>
          <w:color w:val="0E6B72"/>
          <w:sz w:val="19"/>
          <w:szCs w:val="19"/>
        </w:rPr>
        <w:t xml:space="preserve">Экран пока не нужен — или титульный слайд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Это отдельное предложение, поэтому начну с того, зачем оно вообще появилось.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Прошлый сезон «Главного ингредиента» дал пятьдесят миллионов просмотров. Формат работал на знание бренда, и это мы считаем результатом. Но полная стоимость просмотра вышла в рубль семьдесят восемь копеек, потому что три четверти бюджета ушли не в охват, а в собственный продакшн: гонорары, права, съёмки.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Здесь конструкция принципиально другая. Мы ничего не снимаем с нуля и не строим своё шоу. Мы покупаем доступ к контенту, который уже собирает миллионы просмотров, и встраиваем в него бренд. Отсюда и совсем другой порядок цифр, который вы увидите в конце.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Покажу за двадцать минут: какую задачу решаем, как устроены два формата внутри кампании, как выглядит готовый ролик по секундам и сколько это стоит. В конце скажу, что нужно от вас, чтобы запустить.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01:30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1 — титул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30 сек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Кампания идёт в трёх площадках: TikTok, VK Video и YouTube Shorts. Внутри два формата — баннерные размещения и то, что мы называем UGC-контент-заводом. Они решают разные задачи, и сейчас объясню какие.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02:00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2 — задача кампании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Задача из вашего брифа — повысить узнаваемость Midea среди целевой аудитории и усилить позиции бренда на этапе выбора техники.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Мы разложили её на два уровня, потому что одним инструментом они не закрываются.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Первый — знание бренда. Здесь работает заметность и частота: человек должен регулярно видеть Midea там, где он и так проводит время.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Второй — рассмотрение. Здесь одной частоты мало. Нужно, чтобы человек понял, что именно техника делает и зачем она ему нужна. Одним баннером это не объяснишь.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Вся дальнейшая презентация про то, как мы закрываем эти два уровня двумя разными форматами.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03:30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3 — целевая аудитория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2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Аудитория у нас одна, но говорить с ней одним сообщением бессмысленно. Мы разложили её на пять потребностей, и под каждую есть свой повод для разговора.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Меньше времени на быт. Человеку нужно освободить вечер. Показываем, как техника забирает на себя посуду, стирку, уборку.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Ремонт и новая квартира. Человек обустраивается и боится ошибиться с выбором. Помогаем понять, что предусмотреть заранее.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Интерьер и дизайн. Важно, чтобы техника не портила пространство. Показываем, как она в него вписывается.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Кулинария и домашняя еда. Показываем Midea на всём цикле: хранить, приготовить, разогреть, убрать.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Разумная покупка и технологии. Человек хочет понимать, за что платит. Объясняем функции через реальные сценарии.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Это не деление ради красивого слайда. Через два слайда вы увидите, что каждая из пяти потребностей превращается в конкретный сценарий ролика и в конкретный тип блогера.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05:30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4 — два формата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Вот как устроена связка.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Баннерное размещение отвечает за знание. Мы размещаем брендированный баннер Midea внутри высокоохватных коротких видео. Его роль — набрать число контактов и сделать бренд заметным в ленте.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UGC-видео блогеров отвечает за рассмотрение. Авторы показывают технику в жизненных сценариях. Роль — объяснить пользу и дать понятные причины рассматривать бренд при выборе.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это не «или-или». Баннер без UGC даёт узнавание без содержания: человек видел логотип, но не понял, что за ним. UGC без баннера даёт содержание без масштаба: хороший ролик, который посмотрели немногие. Работает именно связка.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07:00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5 — баннерные размещения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2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Разберу каждый формат отдельно. Сначала баннер.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Механика: внутри коротких видео с высоким объёмом просмотров показывается анимированный баннер Midea. Подчеркну — это не преролл перед роликом, который все пролистывают. Баннер находится внутри уже работающего вирусного контента, в тот момент, когда человек смотрит.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Что получает Midea: большой объём контактов и рост заметности. На этот формат приходится девяносто восемь процентов всех показов кампании — он и создаёт масштаб.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Запуск в четыре шага. Адаптируем баннер под вертикальный формат. Определяем допустимые категории контента — то есть заранее договариваемся, рядом с чем бренд показывать нельзя. Запускаем размещения через сеть VibeVO. Контролируем выходы.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На втором шаге остановлюсь отдельно: список запрещённых категорий мы согласуем с вами до старта. Это ваша зона контроля, и лучше закрыть её на берегу.</w:t>
      </w:r>
    </w:p>
    <w:p>
      <w:pPr>
        <w:pBdr>
          <w:left w:val="single" w:color="A32218" w:sz="18" w:space="8"/>
        </w:pBdr>
        <w:shd w:fill="F9E7E4" w:val="clear"/>
        <w:spacing w:after="40" w:before="160" w:line="260"/>
        <w:ind w:left="160" w:right="160"/>
      </w:pPr>
      <w:r>
        <w:rPr>
          <w:rFonts w:ascii="Calibri" w:cs="Calibri" w:eastAsia="Calibri" w:hAnsi="Calibri"/>
          <w:b/>
          <w:bCs/>
          <w:color w:val="A32218"/>
          <w:spacing w:val="24"/>
          <w:sz w:val="17"/>
          <w:szCs w:val="17"/>
        </w:rPr>
        <w:t xml:space="preserve">БРЕНД-БЕЗОПАСНОСТЬ СПРОСЯТ ОБЯЗАТЕЛЬНО</w:t>
      </w:r>
    </w:p>
    <w:p>
      <w:pPr>
        <w:pBdr>
          <w:left w:val="single" w:color="A32218" w:sz="18" w:space="8"/>
        </w:pBdr>
        <w:shd w:fill="F9E7E4" w:val="clear"/>
        <w:spacing w:after="6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Вирусный контент в TikTok — первое, о чём подумает бренд-менеджер. В деке на эту тему одна строчка: «определяем допустимые категории контента».</w:t>
      </w:r>
    </w:p>
    <w:p>
      <w:pPr>
        <w:pBdr>
          <w:left w:val="single" w:color="A32218" w:sz="18" w:space="8"/>
        </w:pBdr>
        <w:shd w:fill="F9E7E4" w:val="clear"/>
        <w:spacing w:after="20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Проговорите её сами и предложите прислать список категорий на согласование — иначе вопрос прозвучит как претензия, а не как рабочий момент.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09:00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6 — UGC-контент-завод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2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Второй формат. Здесь продукт становится частью контента автора.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Механика такая. Мы разрабатываем единое мастер-ТЗ с пятью сценариями — по одному на каждую потребность из тех пяти, что я показывал. Блогеры делают ролики на его основе, но адаптируют под собственную подачу и тематику канала. Ролики выходят на страницах авторов и набирают просмотры среди их аудитории — то есть среди людей, которые этому автору уже доверяют.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Что это даёт: масштабируемый контент в единой коммуникационной рамке. Разные авторы говорят одни и те же ключевые вещи о Midea, но каждый — на языке своей аудитории.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Запуск тоже в четыре шага: согласовываем мастер-ТЗ и пул блогеров, каждый автор выбирает подходящий ему сценарий, адаптирует под свой формат, публикует у себя.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главное отличие от прошлого сезона: производство ролика уже входит в стоимость размещения. Мы не строим продакшн — мы покупаем готовый. Именно та статья расходов, которая съела три четверти прошлого бюджета, здесь просто отсутствует.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11:00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7 — пять сегментов, пять сценариев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Вот как потребность превращается в конкретику — и в конкретного автора.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«Меньше времени на быт» — показываем, как техника забирает рутину; авторы из бытовых лайфхаков, клининга, расхламления, организации пространства.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«Ремонт и новая квартира» — что предусмотреть заранее и как не ошибиться; авторы из ремонта, новостроек, приёмки квартир, переездов.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«Интерьер и дизайн» — техника не перегружает пространство; дизайн интерьера, кухни, home decor.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«Кулинария» — весь цикл от хранения до уборки; рецепты, домашняя кухня, семейная еда, заготовки.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«Разумная покупка» — как функции работают в реальности; техноблоги, обзоры, сравнения, smart home.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Логика простая: баннер работает на всю целевую аудиторию сразу, а UGC адаптируется под каждую потребность отдельно.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12:30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8 — сценарий по секундам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2,5 мин</w:t>
      </w:r>
    </w:p>
    <w:p>
      <w:pPr>
        <w:shd w:fill="E2EFEF" w:val="clear"/>
        <w:spacing w:after="140"/>
        <w:ind w:left="120" w:right="120"/>
      </w:pPr>
      <w:r>
        <w:rPr>
          <w:rFonts w:ascii="Calibri" w:cs="Calibri" w:eastAsia="Calibri" w:hAnsi="Calibri"/>
          <w:b/>
          <w:bCs/>
          <w:color w:val="0E6B72"/>
          <w:sz w:val="17"/>
          <w:szCs w:val="17"/>
        </w:rPr>
        <w:t xml:space="preserve">НА ЭКРАНЕ:  </w:t>
      </w:r>
      <w:r>
        <w:rPr>
          <w:rFonts w:ascii="Calibri" w:cs="Calibri" w:eastAsia="Calibri" w:hAnsi="Calibri"/>
          <w:color w:val="0E6B72"/>
          <w:sz w:val="19"/>
          <w:szCs w:val="19"/>
        </w:rPr>
        <w:t xml:space="preserve">Самый сильный слайд деки. Не торопиться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Это самый важный слайд, и я на нём задержусь. Он показывает, что мы контролируем не только тему ролика, но и его конструкцию.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По каждому сегменту расписано, как развивается сюжет по секундам и в какой момент в него входит продукт.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Возьмём кулинарию. Ноль–три секунды: готовое блюдо крупным планом. Сразу результат — чтобы человек не пролистнул. Четыре–двенадцать: процесс приготовления, техника Midea в работе, режимы и функции в реальном сценарии. Тринадцать–двадцать: готовый стол, а после еды посуда отправляется в посудомоечную машину. Цикл закрыт.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Или «разумная покупка». Начинаем с вопроса самого покупателя: «за что вы платите в этой функции?» Дальше показываем работу функции и объясняем практическую пользу. В конце короткий вывод: кому это полезно и в каких ситуациях имеет смысл.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Во всех пяти сценариях одна логика: сначала потребность человека, потом продукт Midea как решение, потом понятный результат. Эта структура зафиксирована в мастер-ТЗ, и от неё авторы не отходят. Меняется подача — не конструкция.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сравнение, ради которого этот слайд здесь. В прошлом сезоне продукт появлялся в середине тридцатипятиминутного ролика — до этой середины доходили три процента зрителей. Здесь он в кадре на третьей секунде.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15:00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9 — как это видит зритель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Чтобы не оставаться в теории — вот как это выглядит на практике.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Три схемы размещения и реальный кадр из уже работающей кампании. Не макет, а живой скриншот: баннер внутри вирусного ролика.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Справа — пример масс-постинга: бренд сделал UGC-контент, который потом посеяли по каналам. Ссылки рабочие, можно открыть прямо сейчас и посмотреть, как это видит зритель.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Главное, что я хочу оставить с этого слайда: бренд всегда внутри кадра, а не перед роликом. Его не пролистывают, потому что пролистать его можно только вместе с самим видео.</w:t>
      </w:r>
    </w:p>
    <w:p>
      <w:pPr>
        <w:pBdr>
          <w:left w:val="single" w:color="A32218" w:sz="18" w:space="8"/>
        </w:pBdr>
        <w:shd w:fill="F9E7E4" w:val="clear"/>
        <w:spacing w:after="40" w:before="160" w:line="260"/>
        <w:ind w:left="160" w:right="160"/>
      </w:pPr>
      <w:r>
        <w:rPr>
          <w:rFonts w:ascii="Calibri" w:cs="Calibri" w:eastAsia="Calibri" w:hAnsi="Calibri"/>
          <w:b/>
          <w:bCs/>
          <w:color w:val="A32218"/>
          <w:spacing w:val="24"/>
          <w:sz w:val="17"/>
          <w:szCs w:val="17"/>
        </w:rPr>
        <w:t xml:space="preserve">НА СЛАЙДЕ НАЗВАН WINLINE</w:t>
      </w:r>
    </w:p>
    <w:p>
      <w:pPr>
        <w:pBdr>
          <w:left w:val="single" w:color="A32218" w:sz="18" w:space="8"/>
        </w:pBdr>
        <w:shd w:fill="F9E7E4" w:val="clear"/>
        <w:spacing w:after="6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Кейс букмекера в презентации для бытовой техники может вызвать реакцию. Если спросят — отвечайте, что это пример механики, а не отраслевой бенчмарк: там показано, как UGC-ролики расходятся по каналам, и сама механика от категории не зависит.</w:t>
      </w:r>
    </w:p>
    <w:p>
      <w:pPr>
        <w:pBdr>
          <w:left w:val="single" w:color="A32218" w:sz="18" w:space="8"/>
        </w:pBdr>
        <w:shd w:fill="F9E7E4" w:val="clear"/>
        <w:spacing w:after="20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Если успеете до встречи — попросите у команды VibeVO кейс из более близкой категории. Это снимет вопрос целиком.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16:30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10 — медиаплан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2,5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Деньги. Бюджет кампании — три миллиона триста тринадцать тысяч рублей без НДС, четыре миллиона сорок три тысячи с НДС. За это шестьдесят два миллиона показов и охват около тридцати одного миллиона человек с частотой два.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Теперь разложу — и сразу объясню цифру, которая в таблице выглядит странно.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Баннеры: шестьдесят один миллион показов за миллион пятьсот тридцать тысяч рублей. CPM — двадцать пять рублей за тысячу показов.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UGC: один миллион показов за миллион пятьсот восемьдесят тысяч. CPM — тысяча пятьсот восемьдесят рублей за тысячу.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То есть по бюджету форматы почти поровну: сорок шесть процентов и сорок восемь. А по показам баннер даёт девяносто восемь процентов, UGC — полтора.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Выглядит как перекос, но это осознанное решение. Баннер покупает частоту контакта — его работа набрать объём. UGC покупает понимание продукта, и в его цену уже включено производство роликов. Это два разных товара по разной цене, и вместе они дают то, чего не даёт ни один по отдельности. Оставшиеся шесть процентов — менеджмент кампании.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для ощущения масштаба: один показ обходится примерно в пять копеек, один охваченный человек — в одиннадцать. Сравнивать это напрямую со стоимостью просмотра в шоу нельзя, показ и досмотренный просмотр — разные вещи. Но порядок величины показывает, за счёт чего здесь берётся охват: мы не платим за создание контента, мы платим за доступ к уже собранной аудитории.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Последнее про эти цифры: это прогноз на основе тридцатидневного среза площадки, а не гарантия. Фактические показы фиксируются в отчёте по каждому размещению.</w:t>
      </w:r>
    </w:p>
    <w:p>
      <w:pPr>
        <w:pBdr>
          <w:left w:val="single" w:color="A32218" w:sz="18" w:space="8"/>
        </w:pBdr>
        <w:shd w:fill="F9E7E4" w:val="clear"/>
        <w:spacing w:after="40" w:before="160" w:line="260"/>
        <w:ind w:left="160" w:right="160"/>
      </w:pPr>
      <w:r>
        <w:rPr>
          <w:rFonts w:ascii="Calibri" w:cs="Calibri" w:eastAsia="Calibri" w:hAnsi="Calibri"/>
          <w:b/>
          <w:bCs/>
          <w:color w:val="A32218"/>
          <w:spacing w:val="24"/>
          <w:sz w:val="17"/>
          <w:szCs w:val="17"/>
        </w:rPr>
        <w:t xml:space="preserve">ПРОВЕРЬТЕ ДО ВСТРЕЧИ: CPV 0,04 ₽</w:t>
      </w:r>
    </w:p>
    <w:p>
      <w:pPr>
        <w:pBdr>
          <w:left w:val="single" w:color="A32218" w:sz="18" w:space="8"/>
        </w:pBdr>
        <w:shd w:fill="F9E7E4" w:val="clear"/>
        <w:spacing w:after="6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На слайде 11 указан CPV 0,04 ₽. Бюджет 3 313 661 ₽ на 62 060 031 показ даёт 0,053 ₽; без менеджмента 0,050 ₽; на охват — 0,107 ₽. Ни один вариант не даёт 0,04.</w:t>
      </w:r>
    </w:p>
    <w:p>
      <w:pPr>
        <w:pBdr>
          <w:left w:val="single" w:color="A32218" w:sz="18" w:space="8"/>
        </w:pBdr>
        <w:shd w:fill="F9E7E4" w:val="clear"/>
        <w:spacing w:after="200" w:line="260"/>
        <w:ind w:left="160" w:right="160"/>
      </w:pPr>
      <w:r>
        <w:rPr>
          <w:rFonts w:ascii="Calibri" w:cs="Calibri" w:eastAsia="Calibri" w:hAnsi="Calibri"/>
          <w:color w:val="171A19"/>
          <w:sz w:val="20"/>
          <w:szCs w:val="20"/>
        </w:rPr>
        <w:t xml:space="preserve">Уточните базу у команды VibeVO или назовите 0,05 ₽ сами. Это единственная цифра в деке, которая не сходится при проверке делением, а поделить два числа с соседнего слайда клиент сможет.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19:00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Слайд 11 — что фиксируем как KPI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последнее — как мы это измеряем. Здесь мы сознательно закрываем слабое место прошлого сезона.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Фиксируем только то, что подтверждается фактом площадки: объём показов, стоимость контакта и вовлечённость. Никаких показателей, которые нельзя проверить руками.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Что вы получаете. Real-time дашборд — показы, просмотры и реакции видны в течение всей кампании, а не в отчёте через месяц. Выгрузка всех размещений со ссылкой на каждый пост: можно открыть любой и убедиться, что он существует. Срезы по сегментам — видно, какой из пяти сценариев мастер-ТЗ работает лучше, и это знание переносится в следующий флайт. И пост-кампейн отчёт с итогом по KPI и рекомендациями.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В отчёте по «Главному ингредиенту» мы честно написали, что измерения бизнес-эффекта не было — ни меток, ни промокодов. Здесь измерение заложено с первого дня.</w:t>
      </w:r>
    </w:p>
    <w:p>
      <w:pPr>
        <w:pStyle w:val="Heading2"/>
        <w:spacing w:after="60" w:before="320"/>
      </w:pPr>
      <w:r>
        <w:rPr>
          <w:rFonts w:ascii="Consolas" w:cs="Consolas" w:eastAsia="Consolas" w:hAnsi="Consolas"/>
          <w:b/>
          <w:bCs/>
          <w:color w:val="9A5B00"/>
          <w:sz w:val="24"/>
          <w:szCs w:val="24"/>
        </w:rPr>
        <w:t xml:space="preserve">20:30   </w:t>
      </w:r>
      <w:r>
        <w:rPr>
          <w:rFonts w:ascii="Cambria" w:cs="Cambria" w:eastAsia="Cambria" w:hAnsi="Cambria"/>
          <w:b/>
          <w:bCs/>
          <w:color w:val="171A19"/>
          <w:sz w:val="25"/>
          <w:szCs w:val="25"/>
        </w:rPr>
        <w:t xml:space="preserve">Закрытие и решения</w:t>
      </w:r>
      <w:r>
        <w:rPr>
          <w:rFonts w:ascii="Calibri" w:cs="Calibri" w:eastAsia="Calibri" w:hAnsi="Calibri"/>
          <w:color w:val="5C6360"/>
          <w:sz w:val="19"/>
          <w:szCs w:val="19"/>
        </w:rPr>
        <w:t xml:space="preserve">   1,5 мин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Соберу коротко.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Три миллиона триста тринадцать тысяч рублей без НДС. Шестьдесят два миллиона показов, тридцать один миллион охвата, пять сегментов и два формата, которые вместе закрывают и знание, и рассмотрение.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Чтобы запустить, от вас нужно два решения. Первое — согласовать формат с глобальным брендом. Второе — подтвердить бюджет и флайт кампании.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После этого мы готовим мастер-ТЗ по пяти сегментам, адаптируем баннеры и запускаем кампанию с real-time дашбордом.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И отдельная просьба: до старта согласуйте с нами список категорий контента, рядом с которыми бренд показывать нельзя. Это быстрее сделать сейчас, чем разбирать по ходу кампании.</w:t>
      </w:r>
    </w:p>
    <w:p>
      <w:pPr>
        <w:spacing w:after="140" w:line="300"/>
      </w:pPr>
      <w:r>
        <w:rPr>
          <w:rFonts w:ascii="Calibri" w:cs="Calibri" w:eastAsia="Calibri" w:hAnsi="Calibri"/>
          <w:color w:val="171A19"/>
          <w:sz w:val="23"/>
          <w:szCs w:val="23"/>
        </w:rPr>
        <w:t xml:space="preserve">Какие вопросы?</w:t>
      </w:r>
    </w:p>
    <w:p>
      <w:pPr>
        <w:pBdr>
          <w:left w:val="single" w:color="D6D9D3" w:sz="10" w:space="10"/>
        </w:pBdr>
        <w:spacing w:after="160" w:before="100" w:line="260"/>
        <w:ind w:left="280"/>
      </w:pPr>
      <w:r>
        <w:rPr>
          <w:rFonts w:ascii="Calibri" w:cs="Calibri" w:eastAsia="Calibri" w:hAnsi="Calibri"/>
          <w:i/>
          <w:iCs/>
          <w:color w:val="5C6360"/>
          <w:sz w:val="20"/>
          <w:szCs w:val="20"/>
        </w:rPr>
        <w:t xml:space="preserve">Закончить вопросом и замолчать. Пауза здесь работает на вас.</w:t>
      </w:r>
    </w:p>
    <w:p>
      <w:pPr>
        <w:spacing w:after="100" w:before="200"/>
      </w:pPr>
      <w:r>
        <w:rPr>
          <w:rFonts w:ascii="Cambria" w:cs="Cambria" w:eastAsia="Cambria" w:hAnsi="Cambria"/>
          <w:b/>
          <w:bCs/>
          <w:color w:val="171A19"/>
          <w:sz w:val="24"/>
          <w:szCs w:val="24"/>
        </w:rPr>
        <w:t xml:space="preserve">Решения, которые нужны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Согласование формата с глобальным брендом.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Подтверждение бюджета и флайта кампании.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Список запрещённых категорий контента для баннерных размещений.</w:t>
      </w:r>
    </w:p>
    <w:p>
      <w:r>
        <w:br w:type="page"/>
      </w:r>
    </w:p>
    <w:p>
      <w:pPr>
        <w:pStyle w:val="Heading1"/>
        <w:spacing w:after="60" w:before="420"/>
      </w:pPr>
      <w:r>
        <w:rPr>
          <w:rFonts w:ascii="Cambria" w:cs="Cambria" w:eastAsia="Cambria" w:hAnsi="Cambria"/>
          <w:b/>
          <w:bCs/>
          <w:color w:val="171A19"/>
          <w:sz w:val="32"/>
          <w:szCs w:val="32"/>
        </w:rPr>
        <w:t xml:space="preserve">Заготовленные ответы</w:t>
      </w:r>
    </w:p>
    <w:p>
      <w:pPr>
        <w:pBdr>
          <w:bottom w:val="single" w:color="171A19" w:sz="12" w:space="6"/>
        </w:pBdr>
        <w:spacing w:after="200"/>
      </w:pPr>
      <w:r>
        <w:rPr>
          <w:rFonts w:ascii="Calibri" w:cs="Calibri" w:eastAsia="Calibri" w:hAnsi="Calibri"/>
          <w:i/>
          <w:iCs/>
          <w:color w:val="5C6360"/>
          <w:sz w:val="20"/>
          <w:szCs w:val="20"/>
        </w:rPr>
        <w:t xml:space="preserve">Двенадцать вопросов. Первые четыре — те, на которых разговор может застопориться, два последних касаются пробелов в самой деке.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CPV указан 0,04 ₽. Как получилась эта цифра?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Проверьте до встречи. Бюджет 3 313 661 ₽ на 62 060 031 показ даёт 0,053 ₽. Без менеджмента — 0,050 ₽. На охват 31 млн — 0,107 ₽. Ни один вариант не даёт 0,04 ₽.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Если база не подтвердится, назовите 0,05 ₽ сами. Округление вниз на двадцать процентов в цифре, которую легко проверить делением, стоит дороже самой цифры.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Почему UGC в 63 раза дороже баннера за один показ?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Это разные товары. Баннер — 25,1 ₽ за тысячу показов: покупаем частоту контакта и заметность в ленте. UGC — 1 579,9 ₽ за тысячу, и в эту цену уже входит производство ролика автором по мастер-ТЗ.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Поэтому по бюджету они почти поровну — 1,53 и 1,58 млн ₽, — но дают 61 млн и 1 млн показов. Баннер отвечает за знание, UGC за рассмотрение. По отдельности ни один задачу брифа не закрывает.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Где именно покажут баннер? Как вы гарантируете бренд-безопасность?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В деке это второй шаг запуска: «определяем допустимые категории контента». На практике — мы присылаем список категорий, вы вычёркиваете те, рядом с которыми Midea быть не должна, и размещения идут только по согласованному списку. Выходы контролируем, в отчёте есть ссылка на каждое размещение.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Предложите сами прислать список на согласование до старта — это переводит вопрос из претензии в рабочий пункт.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Охват 31 миллион — это же четверть страны. Реально?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Это оценка площадки: 62 млн показов при частоте 2. То есть не 31 млн человек, посмотревших ролик, а 31 млн уникальных устройств, до которых дошёл хотя бы один контакт с брендом.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Цифра рассчитана по тридцатидневному срезу сети VibeVO и является прогнозом, а не обязательством. Фактический охват фиксируется в отчёте.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Что такое «показ» в вертикальном видео? Это то же, что просмотр?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Нет, и это важно не путать. Показ — это факт того, что баннер был отрисован в ролике, который человек смотрел. Просмотр в «Главном ингредиенте» — это счётчик Медиатеки VK. Разные метрики разных площадок.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Поэтому мы и не сравниваем 5 копеек за показ с 1,78 ₽ за просмотр напрямую. Сравнивать корректно внутри одной метрики: по показам эта кампания даёт объём, которого собственным продакшном не купить ни за какие деньги.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Сколько всего роликов снимут блогеры? Сколько авторов?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В деке этого нет. Указан только объём — миллион показов UGC и CPM 1 579,9 ₽. Количество авторов и роликов не названо.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Узнайте у команды VibeVO до встречи. Вопрос прозвучит почти наверняка: «миллион показов» — это абстракция, а «двенадцать авторов, двадцать роликов» — конкретика, за которую клиент может зацепиться и одобрить.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Сколько длится кампания?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В деке срок не указан. Медиаплан построен на тридцатидневном срезе площадки, из чего можно предположить месячный флайт, но прямо это нигде не сказано.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Уточните до встречи. «Подтвердить флайт» стоит у вас же в списке решений — неловко просить подтвердить то, чего вы не назвали.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Можно взять только баннеры и не платить за UGC?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Технически да: баннеры — это 1,53 млн ₽ и 61 млн показов. Но тогда кампания закрывает только первый уровень задачи из брифа — знание. Рассмотрение остаётся незакрытым: человек увидит логотип, но не поймёт, что за ним.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Если бюджет ограничен, честнее сократить объём обоих форматов пропорционально, чем убрать один целиком.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Кто отбирает блогеров и кто отвечает за качество роликов?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Пул блогеров мы согласовываем с вами — это отдельный шаг в запуске UGC. Мастер-ТЗ тоже проходит согласование до того, как авторы начнут снимать.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Конструкция ролика зафиксирована в ТЗ: где потребность, где продукт, где результат. Автор меняет подачу, но не структуру. Готовые ролики попадают в выгрузку со ссылками, так что каждый можно посмотреть.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Что если ролики не наберут просмотров?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Объём по UGC закупается по CPM, то есть мы платим за показы, а не за факт публикации. Недобор виден в real-time дашборде в течение кампании, а не постфактум.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Здесь стоит заранее договориться о допустимом отклонении от плана и о том, что происходит при недоборе — добор объёма или пересчёт. В деке этого условия нет, зафиксируйте его в договоре.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Почему это лучше, чем ещё один сезон шоу?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Не лучше — другое. Шоу давало глубокий контакт с одной аудиторией, зрителями VK, и стоило 89,5 млн ₽. Эта кампания даёт массовый контакт с новыми аудиториями за 3,3 млн и не требует собственного продакшна.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Главный урок прошлого сезона: три четверти бюджета ушли в создание контента, а длинный формат досматривали плохо. Здесь мы не создаём контент — мы встраиваемся в существующий, и продукт появляется на третьей секунде.</w:t>
      </w:r>
    </w:p>
    <w:p>
      <w:pPr>
        <w:pStyle w:val="Heading3"/>
        <w:spacing w:after="60" w:before="260"/>
      </w:pPr>
      <w:r>
        <w:rPr>
          <w:rFonts w:ascii="Cambria" w:cs="Cambria" w:eastAsia="Cambria" w:hAnsi="Cambria"/>
          <w:b/>
          <w:bCs/>
          <w:color w:val="171A19"/>
          <w:sz w:val="23"/>
          <w:szCs w:val="23"/>
        </w:rPr>
        <w:t xml:space="preserve">Как мы поймём, что кампания сработала?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По трём вещам, все проверяемые. Объём показов против плана — видно в дашборде в реальном времени. Стоимость контакта по каждой линии — CPM баннеров и UGC. И вовлечённость на UGC-роликах: реакции и комментарии на страницах авторов.</w:t>
      </w:r>
    </w:p>
    <w:p>
      <w:pPr>
        <w:spacing w:after="100" w:line="280"/>
        <w:ind w:left="240"/>
      </w:pPr>
      <w:r>
        <w:rPr>
          <w:rFonts w:ascii="Calibri" w:cs="Calibri" w:eastAsia="Calibri" w:hAnsi="Calibri"/>
          <w:color w:val="171A19"/>
          <w:sz w:val="21"/>
          <w:szCs w:val="21"/>
        </w:rPr>
        <w:t xml:space="preserve">Плюс срез по пяти сегментам: какой сценарий сработал лучше. Это не просто отчётность, а вход в следующий флайт — во втором заходе бюджет перераспределяется в пользу работающих сценариев.</w:t>
      </w:r>
    </w:p>
    <w:p>
      <w:r>
        <w:br w:type="page"/>
      </w:r>
    </w:p>
    <w:p>
      <w:pPr>
        <w:pStyle w:val="Heading1"/>
        <w:spacing w:after="60" w:before="420"/>
      </w:pPr>
      <w:r>
        <w:rPr>
          <w:rFonts w:ascii="Cambria" w:cs="Cambria" w:eastAsia="Cambria" w:hAnsi="Cambria"/>
          <w:b/>
          <w:bCs/>
          <w:color w:val="171A19"/>
          <w:sz w:val="32"/>
          <w:szCs w:val="32"/>
        </w:rPr>
        <w:t xml:space="preserve">Цифры под рукой</w:t>
      </w:r>
    </w:p>
    <w:p>
      <w:pPr>
        <w:pBdr>
          <w:bottom w:val="single" w:color="171A19" w:sz="12" w:space="6"/>
        </w:pBdr>
        <w:spacing w:after="200"/>
      </w:pPr>
      <w:r>
        <w:rPr>
          <w:rFonts w:ascii="Calibri" w:cs="Calibri" w:eastAsia="Calibri" w:hAnsi="Calibri"/>
          <w:i/>
          <w:iCs/>
          <w:color w:val="5C6360"/>
          <w:sz w:val="20"/>
          <w:szCs w:val="20"/>
        </w:rPr>
        <w:t xml:space="preserve">Всё, что может понадобиться в ответе.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1700"/>
        <w:gridCol w:w="1500"/>
        <w:gridCol w:w="1500"/>
      </w:tblGrid>
      <w:tr>
        <w:trPr>
          <w:tblHeader/>
        </w:trP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Линия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Показы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Бюджет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CPM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Доля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Баннерные размещения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61 060 031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1,53 млн ₽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25,1 ₽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46,3%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UGC контент-завод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1 000 000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1,58 млн ₽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1 579,9 ₽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47,7%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Менеджмент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0,20 млн ₽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6,0%</w:t>
            </w:r>
          </w:p>
        </w:tc>
      </w:tr>
      <w:tr>
        <w:tc>
          <w:tcPr>
            <w:tcW w:type="dxa" w:w="2900"/>
            <w:shd w:fill="E9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1A19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000"/>
            <w:shd w:fill="E9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1A19"/>
                <w:sz w:val="20"/>
                <w:szCs w:val="20"/>
              </w:rPr>
              <w:t xml:space="preserve">62 060 031</w:t>
            </w:r>
          </w:p>
        </w:tc>
        <w:tc>
          <w:tcPr>
            <w:tcW w:type="dxa" w:w="1700"/>
            <w:shd w:fill="E9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1A19"/>
                <w:sz w:val="20"/>
                <w:szCs w:val="20"/>
              </w:rPr>
              <w:t xml:space="preserve">3,31 млн ₽</w:t>
            </w:r>
          </w:p>
        </w:tc>
        <w:tc>
          <w:tcPr>
            <w:tcW w:type="dxa" w:w="1500"/>
            <w:shd w:fill="E9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1A19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shd w:fill="E9E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1A19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C6360"/>
                <w:sz w:val="17"/>
                <w:szCs w:val="17"/>
              </w:rPr>
              <w:t xml:space="preserve">Значение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Бюджет с НДС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4,04 млн ₽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Охват (оценка)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31 030 016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Клики (прогноз), CTR 0,10%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62 060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Стоимость одного показа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0,053 ₽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Стоимость охваченного человека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0,107 ₽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Доля показов у баннеров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98,4%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Для сравнения: полный CPV шоу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71A19"/>
                <w:sz w:val="20"/>
                <w:szCs w:val="20"/>
              </w:rPr>
              <w:t xml:space="preserve">1,78 ₽</w:t>
            </w:r>
          </w:p>
        </w:tc>
      </w:tr>
    </w:tbl>
    <w:p>
      <w:pPr>
        <w:pStyle w:val="Heading1"/>
        <w:spacing w:after="60" w:before="420"/>
      </w:pPr>
      <w:r>
        <w:rPr>
          <w:rFonts w:ascii="Cambria" w:cs="Cambria" w:eastAsia="Cambria" w:hAnsi="Cambria"/>
          <w:b/>
          <w:bCs/>
          <w:color w:val="171A19"/>
          <w:sz w:val="32"/>
          <w:szCs w:val="32"/>
        </w:rPr>
        <w:t xml:space="preserve">Если это блок внутри большой встречи</w:t>
      </w:r>
    </w:p>
    <w:p>
      <w:pPr>
        <w:pBdr>
          <w:bottom w:val="single" w:color="171A19" w:sz="12" w:space="6"/>
        </w:pBdr>
        <w:spacing w:after="200"/>
      </w:pPr>
      <w:r>
        <w:rPr>
          <w:rFonts w:ascii="Calibri" w:cs="Calibri" w:eastAsia="Calibri" w:hAnsi="Calibri"/>
          <w:i/>
          <w:iCs/>
          <w:color w:val="5C6360"/>
          <w:sz w:val="20"/>
          <w:szCs w:val="20"/>
        </w:rPr>
        <w:t xml:space="preserve">В сценарии на 50 минут у VibeVO всего 9 минут. Вот что из этого текста остаётся.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УБРАТЬ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Рамку (00:00) — в большой встрече её заменяет блок «Три критерия».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УБРАТЬ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Слайд 3 в подробностях (03:30) — назвать пять потребностей списком, без расшифровки каждой.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СЖАТЬ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Слайды 5 и 6 до одного абзаца каждый: что делает формат и что получает Midea.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УБРАТЬ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Слайд 9 (15:00) — показать кадр молча, одной фразой про «бренд внутри кадра».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ОСТАВИТЬ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Слайд 8 по секундам целиком — это то, ради чего деку вообще показывают.</w:t>
      </w:r>
    </w:p>
    <w:p>
      <w:pPr>
        <w:spacing w:after="90" w:line="260"/>
      </w:pPr>
      <w:r>
        <w:rPr>
          <w:rFonts w:ascii="Consolas" w:cs="Consolas" w:eastAsia="Consolas" w:hAnsi="Consolas"/>
          <w:b/>
          <w:bCs/>
          <w:color w:val="A32218"/>
          <w:sz w:val="18"/>
          <w:szCs w:val="18"/>
        </w:rPr>
        <w:t xml:space="preserve">ОСТАВИТЬ   </w:t>
      </w:r>
      <w:r>
        <w:rPr>
          <w:rFonts w:ascii="Calibri" w:cs="Calibri" w:eastAsia="Calibri" w:hAnsi="Calibri"/>
          <w:color w:val="171A19"/>
          <w:sz w:val="21"/>
          <w:szCs w:val="21"/>
        </w:rPr>
        <w:t xml:space="preserve">Разбор медиаплана с объяснением разрыва в 63 раза и оговоркой про показ ≠ просмотр.</w:t>
      </w:r>
    </w:p>
    <w:p>
      <w:pPr>
        <w:spacing w:after="300"/>
      </w:pPr>
    </w:p>
    <w:p>
      <w:pPr>
        <w:pBdr>
          <w:top w:val="single" w:color="D6D9D3" w:sz="6" w:space="8"/>
        </w:pBdr>
        <w:spacing w:before="200"/>
      </w:pPr>
      <w:r>
        <w:rPr>
          <w:rFonts w:ascii="Calibri" w:cs="Calibri" w:eastAsia="Calibri" w:hAnsi="Calibri"/>
          <w:i/>
          <w:iCs/>
          <w:color w:val="5C6360"/>
          <w:sz w:val="18"/>
          <w:szCs w:val="18"/>
        </w:rPr>
        <w:t xml:space="preserve">Собрано по презентации Midea × VibeVO (11 слайдов, версия v4) и по итогам сезона «Главного ингредиента» из интерактивного дашборда. Все суммы без НДС, кроме отдельно указанных. Цифры сверены с медиапланом деки; расхождение одно — CPV 0,04 ₽ на слайде 11. В деке не указаны количество авторов и роликов по UGC и длительность флайта — оба пробела вынесены в раздел вопросов. Хронометраж: текст — около 1 600 слов, это 13–14 минут чтения вслух; таймкоды рассчитаны на 20–22 минуты с учётом пауз и реплик клиента.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презентации VibeVO</dc:title>
  <dc:creator>AdVisor Media</dc:creator>
  <dc:description>Полный текст выступления по презентации Midea × VibeVO</dc:description>
  <cp:lastModifiedBy>Un-named</cp:lastModifiedBy>
  <cp:revision>1</cp:revision>
  <dcterms:created xsi:type="dcterms:W3CDTF">2026-09-29T12:09:11.404Z</dcterms:created>
  <dcterms:modified xsi:type="dcterms:W3CDTF">2026-09-29T12:09:11.404Z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