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37782906"/>
        <w:docPartObj>
          <w:docPartGallery w:val="Cover Pages"/>
          <w:docPartUnique/>
        </w:docPartObj>
      </w:sdtPr>
      <w:sdtEndPr>
        <w:rPr>
          <w:rFonts w:eastAsiaTheme="majorEastAsia"/>
          <w:color w:val="FFFFFF" w:themeColor="background1"/>
          <w:sz w:val="84"/>
          <w:szCs w:val="84"/>
        </w:rPr>
      </w:sdtEndPr>
      <w:sdtContent>
        <w:p w14:paraId="686E6067" w14:textId="33D857AE" w:rsidR="00A51A99" w:rsidRDefault="00673611">
          <w:r>
            <w:rPr>
              <w:noProof/>
            </w:rPr>
            <mc:AlternateContent>
              <mc:Choice Requires="wps">
                <w:drawing>
                  <wp:anchor distT="0" distB="0" distL="114300" distR="114300" simplePos="0" relativeHeight="251660288" behindDoc="0" locked="0" layoutInCell="1" allowOverlap="1" wp14:anchorId="7B6E0727" wp14:editId="3F3ED8BE">
                    <wp:simplePos x="0" y="0"/>
                    <wp:positionH relativeFrom="page">
                      <wp:posOffset>3439795</wp:posOffset>
                    </wp:positionH>
                    <wp:positionV relativeFrom="page">
                      <wp:posOffset>267335</wp:posOffset>
                    </wp:positionV>
                    <wp:extent cx="2875915" cy="3048000"/>
                    <wp:effectExtent l="0" t="0" r="0" b="0"/>
                    <wp:wrapNone/>
                    <wp:docPr id="467" name="Rectangle 10"/>
                    <wp:cNvGraphicFramePr/>
                    <a:graphic xmlns:a="http://schemas.openxmlformats.org/drawingml/2006/main">
                      <a:graphicData uri="http://schemas.microsoft.com/office/word/2010/wordprocessingShape">
                        <wps:wsp>
                          <wps:cNvSpPr/>
                          <wps:spPr>
                            <a:xfrm>
                              <a:off x="0" y="0"/>
                              <a:ext cx="2875915" cy="3048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65E7C1" w14:textId="40F79DA5" w:rsidR="00A51A99" w:rsidRDefault="00000000" w:rsidP="00673611">
                                <w:pPr>
                                  <w:spacing w:line="276" w:lineRule="auto"/>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673611" w:rsidRPr="00673611">
                                      <w:rPr>
                                        <w:color w:val="FFFFFF" w:themeColor="background1"/>
                                      </w:rPr>
                                      <w:t>Mariarosaria Di Bagno</w:t>
                                    </w:r>
                                    <w:r w:rsidR="00673611">
                                      <w:rPr>
                                        <w:color w:val="FFFFFF" w:themeColor="background1"/>
                                      </w:rPr>
                                      <w:t xml:space="preserve">                  </w:t>
                                    </w:r>
                                  </w:sdtContent>
                                </w:sdt>
                              </w:p>
                              <w:p w14:paraId="2E5930DA" w14:textId="139C769E" w:rsidR="00673611" w:rsidRDefault="00673611" w:rsidP="00673611">
                                <w:pPr>
                                  <w:spacing w:line="276" w:lineRule="auto"/>
                                  <w:jc w:val="center"/>
                                  <w:rPr>
                                    <w:color w:val="FFFFFF" w:themeColor="background1"/>
                                  </w:rPr>
                                </w:pPr>
                                <w:r>
                                  <w:rPr>
                                    <w:color w:val="FFFFFF" w:themeColor="background1"/>
                                  </w:rPr>
                                  <w:t>Academic year 2025-2026</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0</wp14:pctHeight>
                    </wp14:sizeRelV>
                  </wp:anchor>
                </w:drawing>
              </mc:Choice>
              <mc:Fallback>
                <w:pict>
                  <v:rect w14:anchorId="7B6E0727" id="Rectangle 10" o:spid="_x0000_s1026" style="position:absolute;margin-left:270.85pt;margin-top:21.05pt;width:226.45pt;height:240pt;z-index:251660288;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" fillcolor="black [3213]" stroked="f" strokeweight="1.5pt">
                    <v:textbox inset="14.4pt,14.4pt,14.4pt,28.8pt">
                      <w:txbxContent>
                        <w:p w14:paraId="7165E7C1" w14:textId="40F79DA5" w:rsidR="00A51A99" w:rsidRDefault="00000000" w:rsidP="00673611">
                          <w:pPr>
                            <w:spacing w:line="276" w:lineRule="auto"/>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673611" w:rsidRPr="00673611">
                                <w:rPr>
                                  <w:color w:val="FFFFFF" w:themeColor="background1"/>
                                </w:rPr>
                                <w:t>Mariarosaria Di Bagno</w:t>
                              </w:r>
                              <w:r w:rsidR="00673611">
                                <w:rPr>
                                  <w:color w:val="FFFFFF" w:themeColor="background1"/>
                                </w:rPr>
                                <w:t xml:space="preserve">                  </w:t>
                              </w:r>
                            </w:sdtContent>
                          </w:sdt>
                        </w:p>
                        <w:p w14:paraId="2E5930DA" w14:textId="139C769E" w:rsidR="00673611" w:rsidRDefault="00673611" w:rsidP="00673611">
                          <w:pPr>
                            <w:spacing w:line="276" w:lineRule="auto"/>
                            <w:jc w:val="center"/>
                            <w:rPr>
                              <w:color w:val="FFFFFF" w:themeColor="background1"/>
                            </w:rPr>
                          </w:pPr>
                          <w:r>
                            <w:rPr>
                              <w:color w:val="FFFFFF" w:themeColor="background1"/>
                            </w:rPr>
                            <w:t>Academic year 2025-2026</w:t>
                          </w:r>
                        </w:p>
                      </w:txbxContent>
                    </v:textbox>
                    <w10:wrap anchorx="page" anchory="page"/>
                  </v:rect>
                </w:pict>
              </mc:Fallback>
            </mc:AlternateContent>
          </w:r>
          <w:r w:rsidR="00A51A99">
            <w:rPr>
              <w:noProof/>
            </w:rPr>
            <mc:AlternateContent>
              <mc:Choice Requires="wps">
                <w:drawing>
                  <wp:anchor distT="0" distB="0" distL="114300" distR="114300" simplePos="0" relativeHeight="251663360" behindDoc="1" locked="0" layoutInCell="1" allowOverlap="1" wp14:anchorId="12EAA5DD" wp14:editId="28203CF1">
                    <wp:simplePos x="0" y="0"/>
                    <wp:positionH relativeFrom="page">
                      <wp:align>center</wp:align>
                    </wp:positionH>
                    <wp:positionV relativeFrom="page">
                      <wp:align>center</wp:align>
                    </wp:positionV>
                    <wp:extent cx="7383780" cy="9555480"/>
                    <wp:effectExtent l="12700" t="12700" r="18415" b="15240"/>
                    <wp:wrapNone/>
                    <wp:docPr id="46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flip="none" rotWithShape="1">
                              <a:gsLst>
                                <a:gs pos="0">
                                  <a:schemeClr val="tx1">
                                    <a:tint val="66000"/>
                                    <a:satMod val="160000"/>
                                  </a:schemeClr>
                                </a:gs>
                                <a:gs pos="50000">
                                  <a:schemeClr val="tx1">
                                    <a:tint val="44500"/>
                                    <a:satMod val="160000"/>
                                  </a:schemeClr>
                                </a:gs>
                                <a:gs pos="100000">
                                  <a:schemeClr val="tx1">
                                    <a:tint val="23500"/>
                                    <a:satMod val="160000"/>
                                  </a:schemeClr>
                                </a:gs>
                              </a:gsLst>
                              <a:lin ang="5400000" scaled="1"/>
                              <a:tileRect/>
                            </a:gradFill>
                            <a:ln/>
                          </wps:spPr>
                          <wps:style>
                            <a:lnRef idx="2">
                              <a:schemeClr val="dk1"/>
                            </a:lnRef>
                            <a:fillRef idx="1">
                              <a:schemeClr val="lt1"/>
                            </a:fillRef>
                            <a:effectRef idx="0">
                              <a:schemeClr val="dk1"/>
                            </a:effectRef>
                            <a:fontRef idx="minor">
                              <a:schemeClr val="dk1"/>
                            </a:fontRef>
                          </wps:style>
                          <wps:txbx>
                            <w:txbxContent>
                              <w:p w14:paraId="7959F2A1" w14:textId="77777777" w:rsidR="00673611" w:rsidRDefault="00673611">
                                <w:pPr>
                                  <w:rPr>
                                    <w:color w:val="FFFFFF" w:themeColor="background1"/>
                                  </w:rPr>
                                </w:pPr>
                              </w:p>
                              <w:p w14:paraId="34AA9CB5" w14:textId="77777777" w:rsidR="00673611" w:rsidRDefault="00673611">
                                <w:pPr>
                                  <w:rPr>
                                    <w:color w:val="FFFFFF" w:themeColor="background1"/>
                                  </w:rPr>
                                </w:pPr>
                              </w:p>
                              <w:p w14:paraId="1A832C9C" w14:textId="77777777" w:rsidR="00673611" w:rsidRDefault="00673611">
                                <w:pPr>
                                  <w:rPr>
                                    <w:color w:val="FFFFFF" w:themeColor="background1"/>
                                  </w:rPr>
                                </w:pPr>
                              </w:p>
                              <w:p w14:paraId="5006A34F" w14:textId="77777777" w:rsidR="00673611" w:rsidRDefault="00673611">
                                <w:pPr>
                                  <w:rPr>
                                    <w:color w:val="FFFFFF" w:themeColor="background1"/>
                                  </w:rPr>
                                </w:pPr>
                              </w:p>
                              <w:p w14:paraId="78FF65AF" w14:textId="77777777" w:rsidR="00673611" w:rsidRDefault="00673611">
                                <w:pPr>
                                  <w:rPr>
                                    <w:color w:val="FFFFFF" w:themeColor="background1"/>
                                  </w:rPr>
                                </w:pPr>
                              </w:p>
                              <w:p w14:paraId="34E07B7E" w14:textId="77777777" w:rsidR="00673611" w:rsidRDefault="00673611">
                                <w:pPr>
                                  <w:rPr>
                                    <w:color w:val="FFFFFF" w:themeColor="background1"/>
                                  </w:rPr>
                                </w:pPr>
                              </w:p>
                              <w:p w14:paraId="2B6689C8" w14:textId="77777777" w:rsidR="00673611" w:rsidRDefault="00673611">
                                <w:pPr>
                                  <w:rPr>
                                    <w:color w:val="FFFFFF" w:themeColor="background1"/>
                                  </w:rPr>
                                </w:pPr>
                              </w:p>
                              <w:p w14:paraId="5304EEDC" w14:textId="77777777" w:rsidR="00673611" w:rsidRDefault="00673611">
                                <w:pPr>
                                  <w:rPr>
                                    <w:color w:val="FFFFFF" w:themeColor="background1"/>
                                  </w:rPr>
                                </w:pPr>
                              </w:p>
                              <w:p w14:paraId="2CAED269" w14:textId="77777777" w:rsidR="00673611" w:rsidRDefault="00673611">
                                <w:pPr>
                                  <w:rPr>
                                    <w:color w:val="FFFFFF" w:themeColor="background1"/>
                                  </w:rPr>
                                </w:pPr>
                              </w:p>
                              <w:p w14:paraId="039B7F47" w14:textId="77777777" w:rsidR="00673611" w:rsidRDefault="00673611">
                                <w:pPr>
                                  <w:rPr>
                                    <w:color w:val="FFFFFF" w:themeColor="background1"/>
                                  </w:rPr>
                                </w:pPr>
                              </w:p>
                              <w:p w14:paraId="4ECDDE49" w14:textId="77777777" w:rsidR="00673611" w:rsidRDefault="00673611">
                                <w:pPr>
                                  <w:rPr>
                                    <w:color w:val="FFFFFF" w:themeColor="background1"/>
                                  </w:rPr>
                                </w:pPr>
                              </w:p>
                              <w:p w14:paraId="7B4F738E" w14:textId="77777777" w:rsidR="00673611" w:rsidRDefault="00673611">
                                <w:pPr>
                                  <w:rPr>
                                    <w:color w:val="FFFFFF" w:themeColor="background1"/>
                                  </w:rPr>
                                </w:pPr>
                              </w:p>
                              <w:p w14:paraId="50355260" w14:textId="77777777" w:rsidR="00673611" w:rsidRDefault="00673611">
                                <w:pPr>
                                  <w:rPr>
                                    <w:color w:val="FFFFFF" w:themeColor="background1"/>
                                  </w:rPr>
                                </w:pPr>
                              </w:p>
                              <w:p w14:paraId="04FA850B" w14:textId="77777777" w:rsidR="00673611" w:rsidRDefault="00673611">
                                <w:pPr>
                                  <w:rPr>
                                    <w:color w:val="FFFFFF" w:themeColor="background1"/>
                                  </w:rPr>
                                </w:pPr>
                              </w:p>
                              <w:p w14:paraId="28E49054" w14:textId="77777777" w:rsidR="00673611" w:rsidRDefault="00673611">
                                <w:pPr>
                                  <w:rPr>
                                    <w:color w:val="FFFFFF" w:themeColor="background1"/>
                                  </w:rPr>
                                </w:pPr>
                              </w:p>
                              <w:p w14:paraId="0158F048" w14:textId="77777777" w:rsidR="00673611" w:rsidRDefault="00673611">
                                <w:pPr>
                                  <w:rPr>
                                    <w:color w:val="FFFFFF" w:themeColor="background1"/>
                                  </w:rPr>
                                </w:pPr>
                              </w:p>
                              <w:p w14:paraId="367F5A31" w14:textId="77777777" w:rsidR="00673611" w:rsidRDefault="00673611">
                                <w:pPr>
                                  <w:rPr>
                                    <w:color w:val="FFFFFF" w:themeColor="background1"/>
                                  </w:rPr>
                                </w:pPr>
                              </w:p>
                              <w:p w14:paraId="6339FE64" w14:textId="77777777" w:rsidR="00673611" w:rsidRDefault="00673611">
                                <w:pPr>
                                  <w:rPr>
                                    <w:color w:val="FFFFFF" w:themeColor="background1"/>
                                  </w:rPr>
                                </w:pPr>
                              </w:p>
                              <w:p w14:paraId="53021846" w14:textId="77777777" w:rsidR="00673611" w:rsidRDefault="00673611">
                                <w:pPr>
                                  <w:rPr>
                                    <w:color w:val="FFFFFF" w:themeColor="background1"/>
                                  </w:rPr>
                                </w:pPr>
                              </w:p>
                              <w:p w14:paraId="09152489" w14:textId="77777777" w:rsidR="00673611" w:rsidRDefault="00673611">
                                <w:pPr>
                                  <w:rPr>
                                    <w:color w:val="FFFFFF" w:themeColor="background1"/>
                                  </w:rPr>
                                </w:pPr>
                              </w:p>
                              <w:p w14:paraId="7FC72228" w14:textId="77777777" w:rsidR="00673611" w:rsidRDefault="00673611">
                                <w:pPr>
                                  <w:rPr>
                                    <w:color w:val="FFFFFF" w:themeColor="background1"/>
                                  </w:rPr>
                                </w:pPr>
                              </w:p>
                              <w:p w14:paraId="777EFE51" w14:textId="77777777" w:rsidR="00673611" w:rsidRDefault="00673611">
                                <w:pPr>
                                  <w:rPr>
                                    <w:color w:val="FFFFFF" w:themeColor="background1"/>
                                  </w:rPr>
                                </w:pPr>
                              </w:p>
                              <w:p w14:paraId="44F63430" w14:textId="77777777" w:rsidR="00673611" w:rsidRDefault="00673611">
                                <w:pPr>
                                  <w:rPr>
                                    <w:color w:val="FFFFFF" w:themeColor="background1"/>
                                  </w:rPr>
                                </w:pPr>
                              </w:p>
                              <w:p w14:paraId="1DEE4869" w14:textId="77777777" w:rsidR="00673611" w:rsidRDefault="00673611">
                                <w:pPr>
                                  <w:rPr>
                                    <w:color w:val="FFFFFF" w:themeColor="background1"/>
                                  </w:rPr>
                                </w:pPr>
                              </w:p>
                              <w:p w14:paraId="5330FDE7" w14:textId="77777777" w:rsidR="00673611" w:rsidRDefault="00673611">
                                <w:pPr>
                                  <w:rPr>
                                    <w:color w:val="FFFFFF" w:themeColor="background1"/>
                                  </w:rPr>
                                </w:pPr>
                              </w:p>
                              <w:p w14:paraId="48150FD8" w14:textId="77777777" w:rsidR="00673611" w:rsidRDefault="00673611">
                                <w:pPr>
                                  <w:rPr>
                                    <w:color w:val="FFFFFF" w:themeColor="background1"/>
                                  </w:rPr>
                                </w:pPr>
                              </w:p>
                              <w:p w14:paraId="0726DF3A" w14:textId="77777777" w:rsidR="00673611" w:rsidRDefault="00673611">
                                <w:pPr>
                                  <w:rPr>
                                    <w:color w:val="FFFFFF" w:themeColor="background1"/>
                                  </w:rPr>
                                </w:pPr>
                              </w:p>
                              <w:p w14:paraId="512EE8CA" w14:textId="77777777" w:rsidR="00673611" w:rsidRDefault="00673611">
                                <w:pPr>
                                  <w:rPr>
                                    <w:color w:val="FFFFFF" w:themeColor="background1"/>
                                  </w:rPr>
                                </w:pPr>
                              </w:p>
                              <w:p w14:paraId="55FA5873" w14:textId="77777777" w:rsidR="00673611" w:rsidRDefault="00673611">
                                <w:pPr>
                                  <w:rPr>
                                    <w:color w:val="FFFFFF" w:themeColor="background1"/>
                                  </w:rPr>
                                </w:pPr>
                              </w:p>
                              <w:p w14:paraId="69AE6CF2" w14:textId="77777777" w:rsidR="00673611" w:rsidRDefault="00673611">
                                <w:pPr>
                                  <w:rPr>
                                    <w:color w:val="FFFFFF" w:themeColor="background1"/>
                                  </w:rPr>
                                </w:pPr>
                              </w:p>
                              <w:p w14:paraId="1E4DEF83" w14:textId="77777777" w:rsidR="00673611" w:rsidRDefault="00673611">
                                <w:pPr>
                                  <w:rPr>
                                    <w:color w:val="FFFFFF" w:themeColor="background1"/>
                                  </w:rPr>
                                </w:pPr>
                              </w:p>
                              <w:p w14:paraId="6B967D3D" w14:textId="77777777" w:rsidR="00673611" w:rsidRDefault="00673611">
                                <w:pPr>
                                  <w:rPr>
                                    <w:color w:val="FFFFFF" w:themeColor="background1"/>
                                  </w:rPr>
                                </w:pPr>
                              </w:p>
                              <w:p w14:paraId="0DAAABAE" w14:textId="77777777" w:rsidR="00673611" w:rsidRDefault="00673611">
                                <w:pPr>
                                  <w:rPr>
                                    <w:color w:val="FFFFFF" w:themeColor="background1"/>
                                  </w:rPr>
                                </w:pPr>
                              </w:p>
                              <w:p w14:paraId="09D20342" w14:textId="77777777" w:rsidR="00673611" w:rsidRDefault="00673611">
                                <w:pPr>
                                  <w:rPr>
                                    <w:color w:val="FFFFFF" w:themeColor="background1"/>
                                  </w:rPr>
                                </w:pPr>
                              </w:p>
                              <w:p w14:paraId="4EDDA706" w14:textId="77777777" w:rsidR="00673611" w:rsidRDefault="00673611">
                                <w:pPr>
                                  <w:rPr>
                                    <w:color w:val="FFFFFF" w:themeColor="background1"/>
                                  </w:rPr>
                                </w:pPr>
                              </w:p>
                              <w:p w14:paraId="23668A69" w14:textId="77777777" w:rsidR="00673611" w:rsidRDefault="00673611">
                                <w:pPr>
                                  <w:rPr>
                                    <w:color w:val="FFFFFF" w:themeColor="background1"/>
                                  </w:rPr>
                                </w:pPr>
                              </w:p>
                              <w:p w14:paraId="27BDF43B" w14:textId="77777777" w:rsidR="00673611" w:rsidRDefault="00673611">
                                <w:pPr>
                                  <w:rPr>
                                    <w:color w:val="FFFFFF" w:themeColor="background1"/>
                                  </w:rPr>
                                </w:pPr>
                              </w:p>
                              <w:p w14:paraId="239BFD3D" w14:textId="77777777" w:rsidR="00673611" w:rsidRDefault="00673611">
                                <w:pPr>
                                  <w:rPr>
                                    <w:color w:val="FFFFFF" w:themeColor="background1"/>
                                  </w:rPr>
                                </w:pPr>
                              </w:p>
                              <w:p w14:paraId="15013F34" w14:textId="77777777" w:rsidR="00673611" w:rsidRDefault="00673611">
                                <w:pPr>
                                  <w:rPr>
                                    <w:color w:val="FFFFFF" w:themeColor="background1"/>
                                  </w:rPr>
                                </w:pPr>
                              </w:p>
                              <w:p w14:paraId="6A981876" w14:textId="77777777" w:rsidR="00673611" w:rsidRDefault="00673611">
                                <w:pPr>
                                  <w:rPr>
                                    <w:color w:val="FFFFFF" w:themeColor="background1"/>
                                  </w:rPr>
                                </w:pPr>
                              </w:p>
                              <w:p w14:paraId="6166E7DB" w14:textId="77777777" w:rsidR="00673611" w:rsidRDefault="00673611">
                                <w:pPr>
                                  <w:rPr>
                                    <w:color w:val="FFFFFF" w:themeColor="background1"/>
                                  </w:rPr>
                                </w:pPr>
                              </w:p>
                              <w:p w14:paraId="0DA51625" w14:textId="77777777" w:rsidR="00673611" w:rsidRDefault="00673611">
                                <w:pPr>
                                  <w:rPr>
                                    <w:color w:val="FFFFFF" w:themeColor="background1"/>
                                  </w:rPr>
                                </w:pPr>
                              </w:p>
                              <w:p w14:paraId="26F51FA6" w14:textId="77777777" w:rsidR="00673611" w:rsidRDefault="00673611">
                                <w:pPr>
                                  <w:rPr>
                                    <w:color w:val="FFFFFF" w:themeColor="background1"/>
                                  </w:rPr>
                                </w:pPr>
                              </w:p>
                              <w:p w14:paraId="3F905390" w14:textId="77777777" w:rsidR="00673611" w:rsidRDefault="00673611">
                                <w:pPr>
                                  <w:rPr>
                                    <w:color w:val="FFFFFF" w:themeColor="background1"/>
                                  </w:rPr>
                                </w:pPr>
                              </w:p>
                              <w:p w14:paraId="61E85CB6" w14:textId="77777777" w:rsidR="00673611" w:rsidRDefault="00673611">
                                <w:pPr>
                                  <w:rPr>
                                    <w:color w:val="FFFFFF" w:themeColor="background1"/>
                                  </w:rPr>
                                </w:pPr>
                              </w:p>
                              <w:p w14:paraId="7FE2C355" w14:textId="77777777" w:rsidR="00673611" w:rsidRDefault="00673611">
                                <w:pPr>
                                  <w:rPr>
                                    <w:color w:val="FFFFFF" w:themeColor="background1"/>
                                  </w:rPr>
                                </w:pPr>
                              </w:p>
                              <w:p w14:paraId="1457685E" w14:textId="77777777" w:rsidR="00673611" w:rsidRDefault="00673611">
                                <w:pPr>
                                  <w:rPr>
                                    <w:color w:val="FFFFFF" w:themeColor="background1"/>
                                  </w:rPr>
                                </w:pPr>
                              </w:p>
                              <w:p w14:paraId="052FE389" w14:textId="77777777" w:rsidR="00673611" w:rsidRDefault="00673611">
                                <w:pPr>
                                  <w:rPr>
                                    <w:color w:val="FFFFFF" w:themeColor="background1"/>
                                  </w:rPr>
                                </w:pPr>
                              </w:p>
                              <w:p w14:paraId="2E90F2C5" w14:textId="77777777" w:rsidR="00673611" w:rsidRDefault="00673611">
                                <w:pPr>
                                  <w:rPr>
                                    <w:color w:val="FFFFFF" w:themeColor="background1"/>
                                  </w:rPr>
                                </w:pPr>
                              </w:p>
                              <w:p w14:paraId="5F27E519" w14:textId="77777777" w:rsidR="00673611" w:rsidRDefault="00673611">
                                <w:pPr>
                                  <w:rPr>
                                    <w:color w:val="FFFFFF" w:themeColor="background1"/>
                                  </w:rPr>
                                </w:pPr>
                              </w:p>
                              <w:p w14:paraId="6C64B1D1" w14:textId="77777777" w:rsidR="00673611" w:rsidRPr="00673611" w:rsidRDefault="00673611" w:rsidP="00673611">
                                <w:pPr>
                                  <w:jc w:val="center"/>
                                  <w:rPr>
                                    <w:color w:val="000000" w:themeColor="text1"/>
                                  </w:rPr>
                                </w:pPr>
                              </w:p>
                              <w:p w14:paraId="2A8E0042" w14:textId="77777777" w:rsidR="00673611" w:rsidRPr="00673611" w:rsidRDefault="00673611" w:rsidP="00673611">
                                <w:pPr>
                                  <w:jc w:val="center"/>
                                  <w:rPr>
                                    <w:color w:val="000000" w:themeColor="text1"/>
                                  </w:rPr>
                                </w:pPr>
                                <w:r w:rsidRPr="00673611">
                                  <w:rPr>
                                    <w:color w:val="000000" w:themeColor="text1"/>
                                  </w:rPr>
                                  <w:t>Short Paper</w:t>
                                </w:r>
                              </w:p>
                              <w:p w14:paraId="783F7184" w14:textId="6E0698FB" w:rsidR="00673611" w:rsidRPr="00673611" w:rsidRDefault="00673611" w:rsidP="00673611">
                                <w:pPr>
                                  <w:jc w:val="center"/>
                                  <w:rPr>
                                    <w:color w:val="000000" w:themeColor="text1"/>
                                  </w:rPr>
                                </w:pPr>
                                <w:r w:rsidRPr="00673611">
                                  <w:rPr>
                                    <w:color w:val="000000" w:themeColor="text1"/>
                                  </w:rPr>
                                  <w:t>Economics &amp; Politics</w:t>
                                </w:r>
                              </w:p>
                              <w:p w14:paraId="13DBC6CA" w14:textId="0E27D158" w:rsidR="00A51A99" w:rsidRPr="00673611" w:rsidRDefault="00673611" w:rsidP="00673611">
                                <w:pPr>
                                  <w:jc w:val="center"/>
                                  <w:rPr>
                                    <w:color w:val="000000" w:themeColor="text1"/>
                                  </w:rPr>
                                </w:pPr>
                                <w:r w:rsidRPr="00673611">
                                  <w:rPr>
                                    <w:color w:val="000000" w:themeColor="text1"/>
                                  </w:rPr>
                                  <w:t>Bocconi University</w:t>
                                </w: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2EAA5DD" id="Rectangle 8"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" fillcolor="#575757 [2141]" strokecolor="black [3200]" strokeweight="1.5pt">
                    <v:fill color2="#c5c5c5 [765]" rotate="t" colors="0 #9e9e9e;.5 #c4c4c4;1 #e3e3e3" focus="100%" type="gradient"/>
                    <v:path arrowok="t"/>
                    <v:textbox inset="21.6pt,,21.6pt">
                      <w:txbxContent>
                        <w:p w14:paraId="7959F2A1" w14:textId="77777777" w:rsidR="00673611" w:rsidRDefault="00673611">
                          <w:pPr>
                            <w:rPr>
                              <w:color w:val="FFFFFF" w:themeColor="background1"/>
                            </w:rPr>
                          </w:pPr>
                        </w:p>
                        <w:p w14:paraId="34AA9CB5" w14:textId="77777777" w:rsidR="00673611" w:rsidRDefault="00673611">
                          <w:pPr>
                            <w:rPr>
                              <w:color w:val="FFFFFF" w:themeColor="background1"/>
                            </w:rPr>
                          </w:pPr>
                        </w:p>
                        <w:p w14:paraId="1A832C9C" w14:textId="77777777" w:rsidR="00673611" w:rsidRDefault="00673611">
                          <w:pPr>
                            <w:rPr>
                              <w:color w:val="FFFFFF" w:themeColor="background1"/>
                            </w:rPr>
                          </w:pPr>
                        </w:p>
                        <w:p w14:paraId="5006A34F" w14:textId="77777777" w:rsidR="00673611" w:rsidRDefault="00673611">
                          <w:pPr>
                            <w:rPr>
                              <w:color w:val="FFFFFF" w:themeColor="background1"/>
                            </w:rPr>
                          </w:pPr>
                        </w:p>
                        <w:p w14:paraId="78FF65AF" w14:textId="77777777" w:rsidR="00673611" w:rsidRDefault="00673611">
                          <w:pPr>
                            <w:rPr>
                              <w:color w:val="FFFFFF" w:themeColor="background1"/>
                            </w:rPr>
                          </w:pPr>
                        </w:p>
                        <w:p w14:paraId="34E07B7E" w14:textId="77777777" w:rsidR="00673611" w:rsidRDefault="00673611">
                          <w:pPr>
                            <w:rPr>
                              <w:color w:val="FFFFFF" w:themeColor="background1"/>
                            </w:rPr>
                          </w:pPr>
                        </w:p>
                        <w:p w14:paraId="2B6689C8" w14:textId="77777777" w:rsidR="00673611" w:rsidRDefault="00673611">
                          <w:pPr>
                            <w:rPr>
                              <w:color w:val="FFFFFF" w:themeColor="background1"/>
                            </w:rPr>
                          </w:pPr>
                        </w:p>
                        <w:p w14:paraId="5304EEDC" w14:textId="77777777" w:rsidR="00673611" w:rsidRDefault="00673611">
                          <w:pPr>
                            <w:rPr>
                              <w:color w:val="FFFFFF" w:themeColor="background1"/>
                            </w:rPr>
                          </w:pPr>
                        </w:p>
                        <w:p w14:paraId="2CAED269" w14:textId="77777777" w:rsidR="00673611" w:rsidRDefault="00673611">
                          <w:pPr>
                            <w:rPr>
                              <w:color w:val="FFFFFF" w:themeColor="background1"/>
                            </w:rPr>
                          </w:pPr>
                        </w:p>
                        <w:p w14:paraId="039B7F47" w14:textId="77777777" w:rsidR="00673611" w:rsidRDefault="00673611">
                          <w:pPr>
                            <w:rPr>
                              <w:color w:val="FFFFFF" w:themeColor="background1"/>
                            </w:rPr>
                          </w:pPr>
                        </w:p>
                        <w:p w14:paraId="4ECDDE49" w14:textId="77777777" w:rsidR="00673611" w:rsidRDefault="00673611">
                          <w:pPr>
                            <w:rPr>
                              <w:color w:val="FFFFFF" w:themeColor="background1"/>
                            </w:rPr>
                          </w:pPr>
                        </w:p>
                        <w:p w14:paraId="7B4F738E" w14:textId="77777777" w:rsidR="00673611" w:rsidRDefault="00673611">
                          <w:pPr>
                            <w:rPr>
                              <w:color w:val="FFFFFF" w:themeColor="background1"/>
                            </w:rPr>
                          </w:pPr>
                        </w:p>
                        <w:p w14:paraId="50355260" w14:textId="77777777" w:rsidR="00673611" w:rsidRDefault="00673611">
                          <w:pPr>
                            <w:rPr>
                              <w:color w:val="FFFFFF" w:themeColor="background1"/>
                            </w:rPr>
                          </w:pPr>
                        </w:p>
                        <w:p w14:paraId="04FA850B" w14:textId="77777777" w:rsidR="00673611" w:rsidRDefault="00673611">
                          <w:pPr>
                            <w:rPr>
                              <w:color w:val="FFFFFF" w:themeColor="background1"/>
                            </w:rPr>
                          </w:pPr>
                        </w:p>
                        <w:p w14:paraId="28E49054" w14:textId="77777777" w:rsidR="00673611" w:rsidRDefault="00673611">
                          <w:pPr>
                            <w:rPr>
                              <w:color w:val="FFFFFF" w:themeColor="background1"/>
                            </w:rPr>
                          </w:pPr>
                        </w:p>
                        <w:p w14:paraId="0158F048" w14:textId="77777777" w:rsidR="00673611" w:rsidRDefault="00673611">
                          <w:pPr>
                            <w:rPr>
                              <w:color w:val="FFFFFF" w:themeColor="background1"/>
                            </w:rPr>
                          </w:pPr>
                        </w:p>
                        <w:p w14:paraId="367F5A31" w14:textId="77777777" w:rsidR="00673611" w:rsidRDefault="00673611">
                          <w:pPr>
                            <w:rPr>
                              <w:color w:val="FFFFFF" w:themeColor="background1"/>
                            </w:rPr>
                          </w:pPr>
                        </w:p>
                        <w:p w14:paraId="6339FE64" w14:textId="77777777" w:rsidR="00673611" w:rsidRDefault="00673611">
                          <w:pPr>
                            <w:rPr>
                              <w:color w:val="FFFFFF" w:themeColor="background1"/>
                            </w:rPr>
                          </w:pPr>
                        </w:p>
                        <w:p w14:paraId="53021846" w14:textId="77777777" w:rsidR="00673611" w:rsidRDefault="00673611">
                          <w:pPr>
                            <w:rPr>
                              <w:color w:val="FFFFFF" w:themeColor="background1"/>
                            </w:rPr>
                          </w:pPr>
                        </w:p>
                        <w:p w14:paraId="09152489" w14:textId="77777777" w:rsidR="00673611" w:rsidRDefault="00673611">
                          <w:pPr>
                            <w:rPr>
                              <w:color w:val="FFFFFF" w:themeColor="background1"/>
                            </w:rPr>
                          </w:pPr>
                        </w:p>
                        <w:p w14:paraId="7FC72228" w14:textId="77777777" w:rsidR="00673611" w:rsidRDefault="00673611">
                          <w:pPr>
                            <w:rPr>
                              <w:color w:val="FFFFFF" w:themeColor="background1"/>
                            </w:rPr>
                          </w:pPr>
                        </w:p>
                        <w:p w14:paraId="777EFE51" w14:textId="77777777" w:rsidR="00673611" w:rsidRDefault="00673611">
                          <w:pPr>
                            <w:rPr>
                              <w:color w:val="FFFFFF" w:themeColor="background1"/>
                            </w:rPr>
                          </w:pPr>
                        </w:p>
                        <w:p w14:paraId="44F63430" w14:textId="77777777" w:rsidR="00673611" w:rsidRDefault="00673611">
                          <w:pPr>
                            <w:rPr>
                              <w:color w:val="FFFFFF" w:themeColor="background1"/>
                            </w:rPr>
                          </w:pPr>
                        </w:p>
                        <w:p w14:paraId="1DEE4869" w14:textId="77777777" w:rsidR="00673611" w:rsidRDefault="00673611">
                          <w:pPr>
                            <w:rPr>
                              <w:color w:val="FFFFFF" w:themeColor="background1"/>
                            </w:rPr>
                          </w:pPr>
                        </w:p>
                        <w:p w14:paraId="5330FDE7" w14:textId="77777777" w:rsidR="00673611" w:rsidRDefault="00673611">
                          <w:pPr>
                            <w:rPr>
                              <w:color w:val="FFFFFF" w:themeColor="background1"/>
                            </w:rPr>
                          </w:pPr>
                        </w:p>
                        <w:p w14:paraId="48150FD8" w14:textId="77777777" w:rsidR="00673611" w:rsidRDefault="00673611">
                          <w:pPr>
                            <w:rPr>
                              <w:color w:val="FFFFFF" w:themeColor="background1"/>
                            </w:rPr>
                          </w:pPr>
                        </w:p>
                        <w:p w14:paraId="0726DF3A" w14:textId="77777777" w:rsidR="00673611" w:rsidRDefault="00673611">
                          <w:pPr>
                            <w:rPr>
                              <w:color w:val="FFFFFF" w:themeColor="background1"/>
                            </w:rPr>
                          </w:pPr>
                        </w:p>
                        <w:p w14:paraId="512EE8CA" w14:textId="77777777" w:rsidR="00673611" w:rsidRDefault="00673611">
                          <w:pPr>
                            <w:rPr>
                              <w:color w:val="FFFFFF" w:themeColor="background1"/>
                            </w:rPr>
                          </w:pPr>
                        </w:p>
                        <w:p w14:paraId="55FA5873" w14:textId="77777777" w:rsidR="00673611" w:rsidRDefault="00673611">
                          <w:pPr>
                            <w:rPr>
                              <w:color w:val="FFFFFF" w:themeColor="background1"/>
                            </w:rPr>
                          </w:pPr>
                        </w:p>
                        <w:p w14:paraId="69AE6CF2" w14:textId="77777777" w:rsidR="00673611" w:rsidRDefault="00673611">
                          <w:pPr>
                            <w:rPr>
                              <w:color w:val="FFFFFF" w:themeColor="background1"/>
                            </w:rPr>
                          </w:pPr>
                        </w:p>
                        <w:p w14:paraId="1E4DEF83" w14:textId="77777777" w:rsidR="00673611" w:rsidRDefault="00673611">
                          <w:pPr>
                            <w:rPr>
                              <w:color w:val="FFFFFF" w:themeColor="background1"/>
                            </w:rPr>
                          </w:pPr>
                        </w:p>
                        <w:p w14:paraId="6B967D3D" w14:textId="77777777" w:rsidR="00673611" w:rsidRDefault="00673611">
                          <w:pPr>
                            <w:rPr>
                              <w:color w:val="FFFFFF" w:themeColor="background1"/>
                            </w:rPr>
                          </w:pPr>
                        </w:p>
                        <w:p w14:paraId="0DAAABAE" w14:textId="77777777" w:rsidR="00673611" w:rsidRDefault="00673611">
                          <w:pPr>
                            <w:rPr>
                              <w:color w:val="FFFFFF" w:themeColor="background1"/>
                            </w:rPr>
                          </w:pPr>
                        </w:p>
                        <w:p w14:paraId="09D20342" w14:textId="77777777" w:rsidR="00673611" w:rsidRDefault="00673611">
                          <w:pPr>
                            <w:rPr>
                              <w:color w:val="FFFFFF" w:themeColor="background1"/>
                            </w:rPr>
                          </w:pPr>
                        </w:p>
                        <w:p w14:paraId="4EDDA706" w14:textId="77777777" w:rsidR="00673611" w:rsidRDefault="00673611">
                          <w:pPr>
                            <w:rPr>
                              <w:color w:val="FFFFFF" w:themeColor="background1"/>
                            </w:rPr>
                          </w:pPr>
                        </w:p>
                        <w:p w14:paraId="23668A69" w14:textId="77777777" w:rsidR="00673611" w:rsidRDefault="00673611">
                          <w:pPr>
                            <w:rPr>
                              <w:color w:val="FFFFFF" w:themeColor="background1"/>
                            </w:rPr>
                          </w:pPr>
                        </w:p>
                        <w:p w14:paraId="27BDF43B" w14:textId="77777777" w:rsidR="00673611" w:rsidRDefault="00673611">
                          <w:pPr>
                            <w:rPr>
                              <w:color w:val="FFFFFF" w:themeColor="background1"/>
                            </w:rPr>
                          </w:pPr>
                        </w:p>
                        <w:p w14:paraId="239BFD3D" w14:textId="77777777" w:rsidR="00673611" w:rsidRDefault="00673611">
                          <w:pPr>
                            <w:rPr>
                              <w:color w:val="FFFFFF" w:themeColor="background1"/>
                            </w:rPr>
                          </w:pPr>
                        </w:p>
                        <w:p w14:paraId="15013F34" w14:textId="77777777" w:rsidR="00673611" w:rsidRDefault="00673611">
                          <w:pPr>
                            <w:rPr>
                              <w:color w:val="FFFFFF" w:themeColor="background1"/>
                            </w:rPr>
                          </w:pPr>
                        </w:p>
                        <w:p w14:paraId="6A981876" w14:textId="77777777" w:rsidR="00673611" w:rsidRDefault="00673611">
                          <w:pPr>
                            <w:rPr>
                              <w:color w:val="FFFFFF" w:themeColor="background1"/>
                            </w:rPr>
                          </w:pPr>
                        </w:p>
                        <w:p w14:paraId="6166E7DB" w14:textId="77777777" w:rsidR="00673611" w:rsidRDefault="00673611">
                          <w:pPr>
                            <w:rPr>
                              <w:color w:val="FFFFFF" w:themeColor="background1"/>
                            </w:rPr>
                          </w:pPr>
                        </w:p>
                        <w:p w14:paraId="0DA51625" w14:textId="77777777" w:rsidR="00673611" w:rsidRDefault="00673611">
                          <w:pPr>
                            <w:rPr>
                              <w:color w:val="FFFFFF" w:themeColor="background1"/>
                            </w:rPr>
                          </w:pPr>
                        </w:p>
                        <w:p w14:paraId="26F51FA6" w14:textId="77777777" w:rsidR="00673611" w:rsidRDefault="00673611">
                          <w:pPr>
                            <w:rPr>
                              <w:color w:val="FFFFFF" w:themeColor="background1"/>
                            </w:rPr>
                          </w:pPr>
                        </w:p>
                        <w:p w14:paraId="3F905390" w14:textId="77777777" w:rsidR="00673611" w:rsidRDefault="00673611">
                          <w:pPr>
                            <w:rPr>
                              <w:color w:val="FFFFFF" w:themeColor="background1"/>
                            </w:rPr>
                          </w:pPr>
                        </w:p>
                        <w:p w14:paraId="61E85CB6" w14:textId="77777777" w:rsidR="00673611" w:rsidRDefault="00673611">
                          <w:pPr>
                            <w:rPr>
                              <w:color w:val="FFFFFF" w:themeColor="background1"/>
                            </w:rPr>
                          </w:pPr>
                        </w:p>
                        <w:p w14:paraId="7FE2C355" w14:textId="77777777" w:rsidR="00673611" w:rsidRDefault="00673611">
                          <w:pPr>
                            <w:rPr>
                              <w:color w:val="FFFFFF" w:themeColor="background1"/>
                            </w:rPr>
                          </w:pPr>
                        </w:p>
                        <w:p w14:paraId="1457685E" w14:textId="77777777" w:rsidR="00673611" w:rsidRDefault="00673611">
                          <w:pPr>
                            <w:rPr>
                              <w:color w:val="FFFFFF" w:themeColor="background1"/>
                            </w:rPr>
                          </w:pPr>
                        </w:p>
                        <w:p w14:paraId="052FE389" w14:textId="77777777" w:rsidR="00673611" w:rsidRDefault="00673611">
                          <w:pPr>
                            <w:rPr>
                              <w:color w:val="FFFFFF" w:themeColor="background1"/>
                            </w:rPr>
                          </w:pPr>
                        </w:p>
                        <w:p w14:paraId="2E90F2C5" w14:textId="77777777" w:rsidR="00673611" w:rsidRDefault="00673611">
                          <w:pPr>
                            <w:rPr>
                              <w:color w:val="FFFFFF" w:themeColor="background1"/>
                            </w:rPr>
                          </w:pPr>
                        </w:p>
                        <w:p w14:paraId="5F27E519" w14:textId="77777777" w:rsidR="00673611" w:rsidRDefault="00673611">
                          <w:pPr>
                            <w:rPr>
                              <w:color w:val="FFFFFF" w:themeColor="background1"/>
                            </w:rPr>
                          </w:pPr>
                        </w:p>
                        <w:p w14:paraId="6C64B1D1" w14:textId="77777777" w:rsidR="00673611" w:rsidRPr="00673611" w:rsidRDefault="00673611" w:rsidP="00673611">
                          <w:pPr>
                            <w:jc w:val="center"/>
                            <w:rPr>
                              <w:color w:val="000000" w:themeColor="text1"/>
                            </w:rPr>
                          </w:pPr>
                        </w:p>
                        <w:p w14:paraId="2A8E0042" w14:textId="77777777" w:rsidR="00673611" w:rsidRPr="00673611" w:rsidRDefault="00673611" w:rsidP="00673611">
                          <w:pPr>
                            <w:jc w:val="center"/>
                            <w:rPr>
                              <w:color w:val="000000" w:themeColor="text1"/>
                            </w:rPr>
                          </w:pPr>
                          <w:r w:rsidRPr="00673611">
                            <w:rPr>
                              <w:color w:val="000000" w:themeColor="text1"/>
                            </w:rPr>
                            <w:t>Short Paper</w:t>
                          </w:r>
                        </w:p>
                        <w:p w14:paraId="783F7184" w14:textId="6E0698FB" w:rsidR="00673611" w:rsidRPr="00673611" w:rsidRDefault="00673611" w:rsidP="00673611">
                          <w:pPr>
                            <w:jc w:val="center"/>
                            <w:rPr>
                              <w:color w:val="000000" w:themeColor="text1"/>
                            </w:rPr>
                          </w:pPr>
                          <w:r w:rsidRPr="00673611">
                            <w:rPr>
                              <w:color w:val="000000" w:themeColor="text1"/>
                            </w:rPr>
                            <w:t>Economics &amp; Politics</w:t>
                          </w:r>
                        </w:p>
                        <w:p w14:paraId="13DBC6CA" w14:textId="0E27D158" w:rsidR="00A51A99" w:rsidRPr="00673611" w:rsidRDefault="00673611" w:rsidP="00673611">
                          <w:pPr>
                            <w:jc w:val="center"/>
                            <w:rPr>
                              <w:color w:val="000000" w:themeColor="text1"/>
                            </w:rPr>
                          </w:pPr>
                          <w:r w:rsidRPr="00673611">
                            <w:rPr>
                              <w:color w:val="000000" w:themeColor="text1"/>
                            </w:rPr>
                            <w:t>Bocconi University</w:t>
                          </w:r>
                        </w:p>
                      </w:txbxContent>
                    </v:textbox>
                    <w10:wrap anchorx="page" anchory="page"/>
                  </v:rect>
                </w:pict>
              </mc:Fallback>
            </mc:AlternateContent>
          </w:r>
          <w:r w:rsidR="00A51A99">
            <w:rPr>
              <w:noProof/>
            </w:rPr>
            <mc:AlternateContent>
              <mc:Choice Requires="wps">
                <w:drawing>
                  <wp:anchor distT="0" distB="0" distL="114300" distR="114300" simplePos="0" relativeHeight="251659264" behindDoc="0" locked="0" layoutInCell="1" allowOverlap="1" wp14:anchorId="184A7F71" wp14:editId="10A52CD6">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11430" b="8255"/>
                    <wp:wrapNone/>
                    <wp:docPr id="468" name="Rectangle 1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A459A0" w14:textId="77777777" w:rsidR="00673611" w:rsidRDefault="00673611" w:rsidP="00673611">
                                <w:pPr>
                                  <w:jc w:val="center"/>
                                  <w:rPr>
                                    <w:color w:val="000000"/>
                                    <w:sz w:val="44"/>
                                    <w:szCs w:val="44"/>
                                  </w:rPr>
                                </w:pPr>
                                <w:r w:rsidRPr="00673611">
                                  <w:rPr>
                                    <w:color w:val="000000"/>
                                    <w:sz w:val="44"/>
                                    <w:szCs w:val="44"/>
                                  </w:rPr>
                                  <w:br/>
                                </w:r>
                              </w:p>
                              <w:p w14:paraId="25A9CB30" w14:textId="77777777" w:rsidR="00673611" w:rsidRDefault="00673611" w:rsidP="00673611">
                                <w:pPr>
                                  <w:jc w:val="center"/>
                                  <w:rPr>
                                    <w:color w:val="000000"/>
                                    <w:sz w:val="44"/>
                                    <w:szCs w:val="44"/>
                                  </w:rPr>
                                </w:pPr>
                              </w:p>
                              <w:p w14:paraId="478818A5" w14:textId="77777777" w:rsidR="00673611" w:rsidRDefault="00673611" w:rsidP="00673611">
                                <w:pPr>
                                  <w:jc w:val="center"/>
                                  <w:rPr>
                                    <w:color w:val="000000"/>
                                    <w:sz w:val="44"/>
                                    <w:szCs w:val="44"/>
                                  </w:rPr>
                                </w:pPr>
                              </w:p>
                              <w:p w14:paraId="17F3C0CC" w14:textId="77777777" w:rsidR="00673611" w:rsidRDefault="00673611" w:rsidP="00673611">
                                <w:pPr>
                                  <w:jc w:val="center"/>
                                  <w:rPr>
                                    <w:color w:val="000000"/>
                                    <w:sz w:val="44"/>
                                    <w:szCs w:val="44"/>
                                  </w:rPr>
                                </w:pPr>
                              </w:p>
                              <w:p w14:paraId="68A5A3E3" w14:textId="77777777" w:rsidR="00673611" w:rsidRDefault="00673611" w:rsidP="00673611">
                                <w:pPr>
                                  <w:jc w:val="center"/>
                                  <w:rPr>
                                    <w:color w:val="000000"/>
                                    <w:sz w:val="44"/>
                                    <w:szCs w:val="44"/>
                                  </w:rPr>
                                </w:pPr>
                              </w:p>
                              <w:p w14:paraId="057CF98C" w14:textId="7D3801AF" w:rsidR="00673611" w:rsidRPr="0050570B" w:rsidRDefault="00673611" w:rsidP="00673611">
                                <w:pPr>
                                  <w:jc w:val="center"/>
                                  <w:rPr>
                                    <w:color w:val="000000"/>
                                    <w:sz w:val="48"/>
                                    <w:szCs w:val="48"/>
                                  </w:rPr>
                                </w:pPr>
                                <w:r w:rsidRPr="0050570B">
                                  <w:rPr>
                                    <w:color w:val="000000"/>
                                    <w:sz w:val="48"/>
                                    <w:szCs w:val="48"/>
                                  </w:rPr>
                                  <w:t>The Politics</w:t>
                                </w:r>
                              </w:p>
                              <w:p w14:paraId="09FC73D1" w14:textId="267E14CD" w:rsidR="00673611" w:rsidRPr="0050570B" w:rsidRDefault="00673611" w:rsidP="00673611">
                                <w:pPr>
                                  <w:jc w:val="center"/>
                                  <w:rPr>
                                    <w:color w:val="000000"/>
                                    <w:sz w:val="48"/>
                                    <w:szCs w:val="48"/>
                                  </w:rPr>
                                </w:pPr>
                                <w:r w:rsidRPr="0050570B">
                                  <w:rPr>
                                    <w:color w:val="000000"/>
                                    <w:sz w:val="48"/>
                                    <w:szCs w:val="48"/>
                                  </w:rPr>
                                  <w:t xml:space="preserve">of </w:t>
                                </w:r>
                              </w:p>
                              <w:p w14:paraId="47013850" w14:textId="52E3D8AE" w:rsidR="00673611" w:rsidRPr="0050570B" w:rsidRDefault="00673611" w:rsidP="00673611">
                                <w:pPr>
                                  <w:jc w:val="center"/>
                                  <w:rPr>
                                    <w:color w:val="000000"/>
                                    <w:sz w:val="48"/>
                                    <w:szCs w:val="48"/>
                                  </w:rPr>
                                </w:pPr>
                                <w:r w:rsidRPr="0050570B">
                                  <w:rPr>
                                    <w:color w:val="000000"/>
                                    <w:sz w:val="48"/>
                                    <w:szCs w:val="48"/>
                                  </w:rPr>
                                  <w:t>Financial Fragility</w:t>
                                </w:r>
                              </w:p>
                              <w:p w14:paraId="4B238B17" w14:textId="77777777" w:rsidR="00673611" w:rsidRPr="0050570B" w:rsidRDefault="00673611" w:rsidP="00673611">
                                <w:pPr>
                                  <w:jc w:val="center"/>
                                  <w:rPr>
                                    <w:color w:val="000000"/>
                                    <w:sz w:val="48"/>
                                    <w:szCs w:val="48"/>
                                  </w:rPr>
                                </w:pPr>
                              </w:p>
                              <w:p w14:paraId="28C28A9C" w14:textId="2002D02A" w:rsidR="00673611" w:rsidRPr="00673611" w:rsidRDefault="00673611" w:rsidP="00673611">
                                <w:pPr>
                                  <w:spacing w:line="360" w:lineRule="auto"/>
                                  <w:jc w:val="center"/>
                                  <w:rPr>
                                    <w:i/>
                                    <w:iCs/>
                                    <w:sz w:val="44"/>
                                    <w:szCs w:val="44"/>
                                    <w:lang w:val="en-GB"/>
                                  </w:rPr>
                                </w:pPr>
                                <w:r w:rsidRPr="00673611">
                                  <w:rPr>
                                    <w:i/>
                                    <w:iCs/>
                                    <w:color w:val="000000"/>
                                    <w:sz w:val="27"/>
                                    <w:szCs w:val="27"/>
                                  </w:rPr>
                                  <w:t>Financial Booms, Policy Failure, and Systemic Crises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84A7F71" id="Rectangle 12" o:spid="_x0000_s1028"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" fillcolor="white [3212]" strokecolor="#737373 [1614]" strokeweight="1.25pt">
                    <v:textbox>
                      <w:txbxContent>
                        <w:p w14:paraId="15A459A0" w14:textId="77777777" w:rsidR="00673611" w:rsidRDefault="00673611" w:rsidP="00673611">
                          <w:pPr>
                            <w:jc w:val="center"/>
                            <w:rPr>
                              <w:color w:val="000000"/>
                              <w:sz w:val="44"/>
                              <w:szCs w:val="44"/>
                            </w:rPr>
                          </w:pPr>
                          <w:r w:rsidRPr="00673611">
                            <w:rPr>
                              <w:color w:val="000000"/>
                              <w:sz w:val="44"/>
                              <w:szCs w:val="44"/>
                            </w:rPr>
                            <w:br/>
                          </w:r>
                        </w:p>
                        <w:p w14:paraId="25A9CB30" w14:textId="77777777" w:rsidR="00673611" w:rsidRDefault="00673611" w:rsidP="00673611">
                          <w:pPr>
                            <w:jc w:val="center"/>
                            <w:rPr>
                              <w:color w:val="000000"/>
                              <w:sz w:val="44"/>
                              <w:szCs w:val="44"/>
                            </w:rPr>
                          </w:pPr>
                        </w:p>
                        <w:p w14:paraId="478818A5" w14:textId="77777777" w:rsidR="00673611" w:rsidRDefault="00673611" w:rsidP="00673611">
                          <w:pPr>
                            <w:jc w:val="center"/>
                            <w:rPr>
                              <w:color w:val="000000"/>
                              <w:sz w:val="44"/>
                              <w:szCs w:val="44"/>
                            </w:rPr>
                          </w:pPr>
                        </w:p>
                        <w:p w14:paraId="17F3C0CC" w14:textId="77777777" w:rsidR="00673611" w:rsidRDefault="00673611" w:rsidP="00673611">
                          <w:pPr>
                            <w:jc w:val="center"/>
                            <w:rPr>
                              <w:color w:val="000000"/>
                              <w:sz w:val="44"/>
                              <w:szCs w:val="44"/>
                            </w:rPr>
                          </w:pPr>
                        </w:p>
                        <w:p w14:paraId="68A5A3E3" w14:textId="77777777" w:rsidR="00673611" w:rsidRDefault="00673611" w:rsidP="00673611">
                          <w:pPr>
                            <w:jc w:val="center"/>
                            <w:rPr>
                              <w:color w:val="000000"/>
                              <w:sz w:val="44"/>
                              <w:szCs w:val="44"/>
                            </w:rPr>
                          </w:pPr>
                        </w:p>
                        <w:p w14:paraId="057CF98C" w14:textId="7D3801AF" w:rsidR="00673611" w:rsidRPr="0050570B" w:rsidRDefault="00673611" w:rsidP="00673611">
                          <w:pPr>
                            <w:jc w:val="center"/>
                            <w:rPr>
                              <w:color w:val="000000"/>
                              <w:sz w:val="48"/>
                              <w:szCs w:val="48"/>
                            </w:rPr>
                          </w:pPr>
                          <w:r w:rsidRPr="0050570B">
                            <w:rPr>
                              <w:color w:val="000000"/>
                              <w:sz w:val="48"/>
                              <w:szCs w:val="48"/>
                            </w:rPr>
                            <w:t>The Politics</w:t>
                          </w:r>
                        </w:p>
                        <w:p w14:paraId="09FC73D1" w14:textId="267E14CD" w:rsidR="00673611" w:rsidRPr="0050570B" w:rsidRDefault="00673611" w:rsidP="00673611">
                          <w:pPr>
                            <w:jc w:val="center"/>
                            <w:rPr>
                              <w:color w:val="000000"/>
                              <w:sz w:val="48"/>
                              <w:szCs w:val="48"/>
                            </w:rPr>
                          </w:pPr>
                          <w:r w:rsidRPr="0050570B">
                            <w:rPr>
                              <w:color w:val="000000"/>
                              <w:sz w:val="48"/>
                              <w:szCs w:val="48"/>
                            </w:rPr>
                            <w:t xml:space="preserve">of </w:t>
                          </w:r>
                        </w:p>
                        <w:p w14:paraId="47013850" w14:textId="52E3D8AE" w:rsidR="00673611" w:rsidRPr="0050570B" w:rsidRDefault="00673611" w:rsidP="00673611">
                          <w:pPr>
                            <w:jc w:val="center"/>
                            <w:rPr>
                              <w:color w:val="000000"/>
                              <w:sz w:val="48"/>
                              <w:szCs w:val="48"/>
                            </w:rPr>
                          </w:pPr>
                          <w:r w:rsidRPr="0050570B">
                            <w:rPr>
                              <w:color w:val="000000"/>
                              <w:sz w:val="48"/>
                              <w:szCs w:val="48"/>
                            </w:rPr>
                            <w:t>Financial Fragility</w:t>
                          </w:r>
                        </w:p>
                        <w:p w14:paraId="4B238B17" w14:textId="77777777" w:rsidR="00673611" w:rsidRPr="0050570B" w:rsidRDefault="00673611" w:rsidP="00673611">
                          <w:pPr>
                            <w:jc w:val="center"/>
                            <w:rPr>
                              <w:color w:val="000000"/>
                              <w:sz w:val="48"/>
                              <w:szCs w:val="48"/>
                            </w:rPr>
                          </w:pPr>
                        </w:p>
                        <w:p w14:paraId="28C28A9C" w14:textId="2002D02A" w:rsidR="00673611" w:rsidRPr="00673611" w:rsidRDefault="00673611" w:rsidP="00673611">
                          <w:pPr>
                            <w:spacing w:line="360" w:lineRule="auto"/>
                            <w:jc w:val="center"/>
                            <w:rPr>
                              <w:i/>
                              <w:iCs/>
                              <w:sz w:val="44"/>
                              <w:szCs w:val="44"/>
                              <w:lang w:val="en-GB"/>
                            </w:rPr>
                          </w:pPr>
                          <w:r w:rsidRPr="00673611">
                            <w:rPr>
                              <w:i/>
                              <w:iCs/>
                              <w:color w:val="000000"/>
                              <w:sz w:val="27"/>
                              <w:szCs w:val="27"/>
                            </w:rPr>
                            <w:t>Financial Booms, Policy Failure, and Systemic Crises</w:t>
                          </w:r>
                        </w:p>
                      </w:txbxContent>
                    </v:textbox>
                    <w10:wrap anchorx="page" anchory="page"/>
                  </v:rect>
                </w:pict>
              </mc:Fallback>
            </mc:AlternateContent>
          </w:r>
          <w:r w:rsidR="00A51A99">
            <w:rPr>
              <w:noProof/>
            </w:rPr>
            <mc:AlternateContent>
              <mc:Choice Requires="wps">
                <w:drawing>
                  <wp:anchor distT="0" distB="0" distL="114300" distR="114300" simplePos="0" relativeHeight="251662336" behindDoc="0" locked="0" layoutInCell="1" allowOverlap="1" wp14:anchorId="2D03CB4C" wp14:editId="690DB70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14"/>
                    <wp:cNvGraphicFramePr/>
                    <a:graphic xmlns:a="http://schemas.openxmlformats.org/drawingml/2006/main">
                      <a:graphicData uri="http://schemas.microsoft.com/office/word/2010/wordprocessingShape">
                        <wps:wsp>
                          <wps:cNvSpPr/>
                          <wps:spPr>
                            <a:xfrm>
                              <a:off x="0" y="0"/>
                              <a:ext cx="2875915" cy="118745"/>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612DE1D3" id="Rectangle 14"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" fillcolor="#404040 [2429]" stroked="f" strokeweight="1.5pt">
                    <w10:wrap anchorx="page" anchory="page"/>
                  </v:rect>
                </w:pict>
              </mc:Fallback>
            </mc:AlternateContent>
          </w:r>
        </w:p>
        <w:p w14:paraId="4C04E5CC" w14:textId="35D0D8A2" w:rsidR="00A51A99" w:rsidRDefault="00A51A99">
          <w:pPr>
            <w:spacing w:after="160" w:line="278" w:lineRule="auto"/>
            <w:rPr>
              <w:rFonts w:eastAsiaTheme="majorEastAsia"/>
              <w:color w:val="FFFFFF" w:themeColor="background1"/>
              <w:sz w:val="84"/>
              <w:szCs w:val="84"/>
            </w:rPr>
          </w:pPr>
          <w:r>
            <w:rPr>
              <w:rFonts w:eastAsiaTheme="majorEastAsia"/>
              <w:color w:val="FFFFFF" w:themeColor="background1"/>
              <w:sz w:val="84"/>
              <w:szCs w:val="84"/>
            </w:rPr>
            <w:br w:type="page"/>
          </w:r>
        </w:p>
      </w:sdtContent>
    </w:sdt>
    <w:p w14:paraId="6F9CDE54" w14:textId="266000A1" w:rsidR="00E7512E" w:rsidRPr="00053BED" w:rsidRDefault="00053BED" w:rsidP="00053BED">
      <w:pPr>
        <w:spacing w:line="360" w:lineRule="auto"/>
        <w:rPr>
          <w:b/>
          <w:bCs/>
          <w:color w:val="000000"/>
        </w:rPr>
      </w:pPr>
      <w:r w:rsidRPr="00053BED">
        <w:rPr>
          <w:b/>
          <w:bCs/>
          <w:color w:val="000000"/>
        </w:rPr>
        <w:lastRenderedPageBreak/>
        <w:t>EXECUTIVE SUMMARY</w:t>
      </w:r>
    </w:p>
    <w:p w14:paraId="3ED8332B" w14:textId="26EA9E1B" w:rsidR="00053BED" w:rsidRPr="00053BED" w:rsidRDefault="00053BED" w:rsidP="00053BED">
      <w:pPr>
        <w:spacing w:line="360" w:lineRule="auto"/>
        <w:jc w:val="both"/>
        <w:rPr>
          <w:color w:val="000000"/>
        </w:rPr>
      </w:pPr>
      <w:r w:rsidRPr="00053BED">
        <w:rPr>
          <w:color w:val="000000"/>
        </w:rPr>
        <w:t>Financial crises start in the financial system but can have major consequences when they become systemic, affecting the wider economy by reducing growth and erasing policymakers’ previous efforts. This paper contributes to the political economy literature by identifying the main economic mechanisms driving financial crises: credit booms, asset-price bubbles, maturity mismatch, and information asymmetry. Its contribution is to connect these mechanisms to the role of policymakers, who are essential in addressing financial crises but often fail to prevent them because of informational limitations, political incentives, regulatory capture, ideology, and beliefs about efficient resource allocation.</w:t>
      </w:r>
      <w:r>
        <w:rPr>
          <w:color w:val="000000"/>
        </w:rPr>
        <w:t xml:space="preserve"> </w:t>
      </w:r>
      <w:r w:rsidRPr="00053BED">
        <w:rPr>
          <w:color w:val="000000"/>
        </w:rPr>
        <w:t>Following a framing of the importance of growth and an analytical framework built on different theories of financial crises, the paper examines two core dimensions: the economic mechanisms that generate systemic fragility and the role of policymakers in preventing or amplifying crises. This structure addresses the main research question: why do financial booms often lead to systemic financial crises, and why are policymakers frequently unable to prevent them?</w:t>
      </w:r>
      <w:r>
        <w:rPr>
          <w:color w:val="000000"/>
        </w:rPr>
        <w:t xml:space="preserve"> </w:t>
      </w:r>
      <w:r w:rsidRPr="00053BED">
        <w:rPr>
          <w:color w:val="000000"/>
        </w:rPr>
        <w:t>The main empirical illustrations are the Global Financial Crisis of 2007–2009, which became the Great Recession, and the Asian Financial Crisis of 1997–1998.</w:t>
      </w:r>
      <w:r>
        <w:rPr>
          <w:color w:val="000000"/>
        </w:rPr>
        <w:t xml:space="preserve"> </w:t>
      </w:r>
      <w:r w:rsidRPr="00053BED">
        <w:rPr>
          <w:color w:val="000000"/>
        </w:rPr>
        <w:t>The importance of this analysis lies in preventing systemic crises in which gains are privatised during the boom while losses are socialised during the bust. Crises persist not because policymakers know nothing, but because prevention is costly, uncertain, and politically difficult.</w:t>
      </w:r>
    </w:p>
    <w:p w14:paraId="131A46B3" w14:textId="77777777" w:rsidR="00180F20" w:rsidRPr="007265F7" w:rsidRDefault="00180F20" w:rsidP="00053BED">
      <w:pPr>
        <w:spacing w:line="480" w:lineRule="auto"/>
        <w:jc w:val="both"/>
        <w:rPr>
          <w:color w:val="000000"/>
        </w:rPr>
      </w:pPr>
    </w:p>
    <w:p w14:paraId="74AC162C" w14:textId="77777777" w:rsidR="00180F20" w:rsidRPr="007265F7" w:rsidRDefault="00180F20">
      <w:pPr>
        <w:rPr>
          <w:color w:val="000000"/>
        </w:rPr>
      </w:pPr>
    </w:p>
    <w:p w14:paraId="432BF0BE" w14:textId="77777777" w:rsidR="00180F20" w:rsidRPr="007265F7" w:rsidRDefault="00180F20">
      <w:pPr>
        <w:rPr>
          <w:color w:val="000000"/>
        </w:rPr>
      </w:pPr>
    </w:p>
    <w:p w14:paraId="71C8BF63" w14:textId="77777777" w:rsidR="00E7512E" w:rsidRDefault="00E7512E">
      <w:pPr>
        <w:rPr>
          <w:color w:val="000000"/>
        </w:rPr>
      </w:pPr>
    </w:p>
    <w:p w14:paraId="54A2BE71" w14:textId="77777777" w:rsidR="000B2FD4" w:rsidRDefault="000B2FD4">
      <w:pPr>
        <w:rPr>
          <w:color w:val="000000"/>
        </w:rPr>
      </w:pPr>
    </w:p>
    <w:p w14:paraId="40DFA2E9" w14:textId="77777777" w:rsidR="000B2FD4" w:rsidRDefault="000B2FD4">
      <w:pPr>
        <w:rPr>
          <w:color w:val="000000"/>
        </w:rPr>
      </w:pPr>
    </w:p>
    <w:p w14:paraId="77A2C7AC" w14:textId="77777777" w:rsidR="000B2FD4" w:rsidRDefault="000B2FD4">
      <w:pPr>
        <w:rPr>
          <w:color w:val="000000"/>
        </w:rPr>
      </w:pPr>
    </w:p>
    <w:p w14:paraId="4C241816" w14:textId="77777777" w:rsidR="000B2FD4" w:rsidRDefault="000B2FD4">
      <w:pPr>
        <w:rPr>
          <w:color w:val="000000"/>
        </w:rPr>
      </w:pPr>
    </w:p>
    <w:p w14:paraId="2C745C18" w14:textId="77777777" w:rsidR="000B2FD4" w:rsidRDefault="000B2FD4">
      <w:pPr>
        <w:rPr>
          <w:color w:val="000000"/>
        </w:rPr>
      </w:pPr>
    </w:p>
    <w:p w14:paraId="6F109E49" w14:textId="77777777" w:rsidR="000B2FD4" w:rsidRDefault="000B2FD4">
      <w:pPr>
        <w:rPr>
          <w:color w:val="000000"/>
        </w:rPr>
      </w:pPr>
    </w:p>
    <w:p w14:paraId="5721F783" w14:textId="77777777" w:rsidR="000B2FD4" w:rsidRDefault="000B2FD4">
      <w:pPr>
        <w:rPr>
          <w:color w:val="000000"/>
        </w:rPr>
      </w:pPr>
    </w:p>
    <w:p w14:paraId="0D4BF5FB" w14:textId="77777777" w:rsidR="000B2FD4" w:rsidRDefault="000B2FD4">
      <w:pPr>
        <w:rPr>
          <w:color w:val="000000"/>
        </w:rPr>
      </w:pPr>
    </w:p>
    <w:p w14:paraId="472A2B87" w14:textId="77777777" w:rsidR="000B2FD4" w:rsidRDefault="000B2FD4" w:rsidP="00776636">
      <w:pPr>
        <w:jc w:val="both"/>
        <w:rPr>
          <w:color w:val="000000"/>
        </w:rPr>
      </w:pPr>
    </w:p>
    <w:p w14:paraId="619E5C4D" w14:textId="77777777" w:rsidR="00A51A99" w:rsidRDefault="00A51A99" w:rsidP="00776636">
      <w:pPr>
        <w:jc w:val="both"/>
        <w:rPr>
          <w:color w:val="000000"/>
        </w:rPr>
      </w:pPr>
    </w:p>
    <w:p w14:paraId="4DCDAFC3" w14:textId="77777777" w:rsidR="00A51A99" w:rsidRDefault="00A51A99" w:rsidP="00776636">
      <w:pPr>
        <w:jc w:val="both"/>
        <w:rPr>
          <w:color w:val="000000"/>
        </w:rPr>
      </w:pPr>
    </w:p>
    <w:p w14:paraId="14C912E5" w14:textId="77777777" w:rsidR="00A51A99" w:rsidRDefault="00A51A99" w:rsidP="00776636">
      <w:pPr>
        <w:jc w:val="both"/>
        <w:rPr>
          <w:color w:val="000000"/>
        </w:rPr>
      </w:pPr>
    </w:p>
    <w:p w14:paraId="026CA30A" w14:textId="6B44EBEF" w:rsidR="000B2FD4" w:rsidRDefault="00A51A99" w:rsidP="00776636">
      <w:pPr>
        <w:jc w:val="both"/>
        <w:rPr>
          <w:color w:val="000000"/>
        </w:rPr>
      </w:pPr>
      <w:r w:rsidRPr="00A51A99">
        <w:rPr>
          <w:b/>
          <w:bCs/>
          <w:color w:val="000000"/>
        </w:rPr>
        <w:t>Note:</w:t>
      </w:r>
      <w:r w:rsidRPr="00A51A99">
        <w:rPr>
          <w:color w:val="000000"/>
        </w:rPr>
        <w:t> All graphs in the paper were produced by the author using RStudio. Data were obtained from FRED, the World Bank World Development Indicators, and the S&amp;P/Case-Shiller U.S. National Home Price Index.</w:t>
      </w:r>
    </w:p>
    <w:p w14:paraId="433AC82D" w14:textId="77777777" w:rsidR="000B2FD4" w:rsidRDefault="000B2FD4">
      <w:pPr>
        <w:rPr>
          <w:color w:val="000000"/>
        </w:rPr>
      </w:pPr>
    </w:p>
    <w:p w14:paraId="3D713ADC" w14:textId="77777777" w:rsidR="000B2FD4" w:rsidRPr="007265F7" w:rsidRDefault="000B2FD4">
      <w:pPr>
        <w:rPr>
          <w:color w:val="000000"/>
        </w:rPr>
      </w:pPr>
    </w:p>
    <w:p w14:paraId="7F5716CF" w14:textId="3F6E57D1" w:rsidR="00495BF0" w:rsidRPr="00C462C5" w:rsidRDefault="009A4070" w:rsidP="009A4070">
      <w:pPr>
        <w:pStyle w:val="Heading1"/>
        <w:rPr>
          <w:rFonts w:ascii="Times New Roman" w:hAnsi="Times New Roman" w:cs="Times New Roman"/>
          <w:b/>
          <w:bCs/>
          <w:color w:val="000000" w:themeColor="text1"/>
          <w:sz w:val="24"/>
          <w:szCs w:val="24"/>
        </w:rPr>
      </w:pPr>
      <w:bookmarkStart w:id="0" w:name="_Toc228979506"/>
      <w:r w:rsidRPr="00C462C5">
        <w:rPr>
          <w:rFonts w:ascii="Times New Roman" w:hAnsi="Times New Roman" w:cs="Times New Roman"/>
          <w:b/>
          <w:bCs/>
          <w:color w:val="000000" w:themeColor="text1"/>
          <w:sz w:val="24"/>
          <w:szCs w:val="24"/>
        </w:rPr>
        <w:lastRenderedPageBreak/>
        <w:t xml:space="preserve">1. </w:t>
      </w:r>
      <w:r w:rsidR="00463B35" w:rsidRPr="00C462C5">
        <w:rPr>
          <w:rFonts w:ascii="Times New Roman" w:hAnsi="Times New Roman" w:cs="Times New Roman"/>
          <w:b/>
          <w:bCs/>
          <w:color w:val="000000" w:themeColor="text1"/>
          <w:sz w:val="24"/>
          <w:szCs w:val="24"/>
        </w:rPr>
        <w:t>Introduction</w:t>
      </w:r>
      <w:bookmarkEnd w:id="0"/>
      <w:r w:rsidR="00463B35" w:rsidRPr="00C462C5">
        <w:rPr>
          <w:rFonts w:ascii="Times New Roman" w:hAnsi="Times New Roman" w:cs="Times New Roman"/>
          <w:b/>
          <w:bCs/>
          <w:color w:val="000000" w:themeColor="text1"/>
          <w:sz w:val="24"/>
          <w:szCs w:val="24"/>
        </w:rPr>
        <w:t xml:space="preserve">                                                                                                                   </w:t>
      </w:r>
      <w:r w:rsidR="00C0332E" w:rsidRPr="00C462C5">
        <w:rPr>
          <w:rFonts w:ascii="Times New Roman" w:hAnsi="Times New Roman" w:cs="Times New Roman"/>
          <w:b/>
          <w:bCs/>
          <w:color w:val="000000" w:themeColor="text1"/>
          <w:sz w:val="24"/>
          <w:szCs w:val="24"/>
        </w:rPr>
        <w:t xml:space="preserve">           </w:t>
      </w:r>
      <w:r w:rsidR="00495BF0" w:rsidRPr="00C462C5">
        <w:rPr>
          <w:rFonts w:ascii="Times New Roman" w:hAnsi="Times New Roman" w:cs="Times New Roman"/>
          <w:b/>
          <w:bCs/>
          <w:color w:val="000000" w:themeColor="text1"/>
          <w:sz w:val="24"/>
          <w:szCs w:val="24"/>
        </w:rPr>
        <w:t xml:space="preserve">           </w:t>
      </w:r>
    </w:p>
    <w:p w14:paraId="167ACFEC" w14:textId="17826BCB" w:rsidR="00643BF1" w:rsidRPr="002A3A8B" w:rsidRDefault="00BB58CB" w:rsidP="002A3A8B">
      <w:pPr>
        <w:spacing w:line="360" w:lineRule="auto"/>
        <w:ind w:firstLine="720"/>
        <w:jc w:val="both"/>
        <w:outlineLvl w:val="0"/>
        <w:rPr>
          <w:b/>
          <w:bCs/>
          <w:color w:val="000000" w:themeColor="text1"/>
          <w:kern w:val="36"/>
        </w:rPr>
      </w:pPr>
      <w:bookmarkStart w:id="1" w:name="_Toc228979507"/>
      <w:r w:rsidRPr="00C462C5">
        <w:rPr>
          <w:color w:val="000000" w:themeColor="text1"/>
        </w:rPr>
        <w:t>Financial crises do not merely disrupt economic activity; they redefine the productive capacity of an economy. From a macroeconomic perspective, this is expressed through the production function</w:t>
      </w:r>
      <w:bookmarkEnd w:id="1"/>
      <w:r w:rsidR="00495BF0" w:rsidRPr="00C462C5">
        <w:rPr>
          <w:rStyle w:val="apple-converted-space"/>
          <w:rFonts w:eastAsiaTheme="majorEastAsia"/>
          <w:color w:val="000000" w:themeColor="text1"/>
        </w:rPr>
        <w:t xml:space="preserve"> </w:t>
      </w:r>
      <w:r w:rsidRPr="0040043A">
        <w:rPr>
          <w:rStyle w:val="katex-mathml"/>
          <w:rFonts w:eastAsiaTheme="majorEastAsia"/>
          <w:i/>
          <w:iCs/>
          <w:color w:val="000000" w:themeColor="text1"/>
        </w:rPr>
        <w:t>Y=AF(K,L)</w:t>
      </w:r>
      <w:r w:rsidR="0040043A">
        <w:rPr>
          <w:rStyle w:val="katex-mathml"/>
          <w:rFonts w:eastAsiaTheme="majorEastAsia"/>
          <w:color w:val="000000" w:themeColor="text1"/>
        </w:rPr>
        <w:t xml:space="preserve">, </w:t>
      </w:r>
      <w:r w:rsidRPr="00C462C5">
        <w:rPr>
          <w:color w:val="000000" w:themeColor="text1"/>
        </w:rPr>
        <w:t>where output depends on capital</w:t>
      </w:r>
      <w:r w:rsidR="004C276F">
        <w:rPr>
          <w:color w:val="000000" w:themeColor="text1"/>
        </w:rPr>
        <w:t xml:space="preserve"> (K) </w:t>
      </w:r>
      <w:r w:rsidRPr="00C462C5">
        <w:rPr>
          <w:color w:val="000000" w:themeColor="text1"/>
        </w:rPr>
        <w:t>, labour</w:t>
      </w:r>
      <w:r w:rsidR="004C276F">
        <w:rPr>
          <w:color w:val="000000" w:themeColor="text1"/>
        </w:rPr>
        <w:t xml:space="preserve"> (L) </w:t>
      </w:r>
      <w:r w:rsidRPr="00C462C5">
        <w:rPr>
          <w:color w:val="000000" w:themeColor="text1"/>
        </w:rPr>
        <w:t>, and total factor productivity</w:t>
      </w:r>
      <w:r w:rsidR="004C276F">
        <w:rPr>
          <w:color w:val="000000" w:themeColor="text1"/>
        </w:rPr>
        <w:t xml:space="preserve"> (A)</w:t>
      </w:r>
      <w:r w:rsidRPr="00C462C5">
        <w:rPr>
          <w:color w:val="000000" w:themeColor="text1"/>
        </w:rPr>
        <w:t>.</w:t>
      </w:r>
      <w:r w:rsidR="004C276F">
        <w:rPr>
          <w:color w:val="000000"/>
        </w:rPr>
        <w:t xml:space="preserve"> </w:t>
      </w:r>
      <w:r w:rsidR="0040043A">
        <w:rPr>
          <w:color w:val="000000"/>
        </w:rPr>
        <w:t xml:space="preserve">Systemic financial crises undermine each of these components by reducing investment, increasing unemployment, and weakening productivity, thereby shifting the production function downward. </w:t>
      </w:r>
      <w:r w:rsidR="0040043A" w:rsidRPr="0040043A">
        <w:rPr>
          <w:color w:val="000000"/>
        </w:rPr>
        <w:t xml:space="preserve">They erase years of growth and redistribute gains and losses throughout society, with booms privatising benefits and busts socialising costs. </w:t>
      </w:r>
      <w:r w:rsidR="000428C0" w:rsidRPr="000428C0">
        <w:rPr>
          <w:color w:val="000000"/>
        </w:rPr>
        <w:t>The frequent occurrence of such crises suggests that they are not exceptional events</w:t>
      </w:r>
      <w:r w:rsidR="004C276F">
        <w:rPr>
          <w:color w:val="000000"/>
        </w:rPr>
        <w:t>,</w:t>
      </w:r>
      <w:r w:rsidR="000428C0" w:rsidRPr="000428C0">
        <w:rPr>
          <w:color w:val="000000"/>
        </w:rPr>
        <w:t xml:space="preserve"> but structural features of modern financial systems.</w:t>
      </w:r>
      <w:r w:rsidR="004C276F">
        <w:rPr>
          <w:color w:val="000000"/>
        </w:rPr>
        <w:t xml:space="preserve"> </w:t>
      </w:r>
      <w:r w:rsidR="004C276F" w:rsidRPr="004C276F">
        <w:rPr>
          <w:color w:val="000000"/>
        </w:rPr>
        <w:t>Since financial crises frequently emerge after periods of rapid credit expansion and rising asset prices, this paper asks:</w:t>
      </w:r>
      <w:r w:rsidR="0040043A">
        <w:rPr>
          <w:color w:val="000000"/>
        </w:rPr>
        <w:t xml:space="preserve"> </w:t>
      </w:r>
      <w:r w:rsidR="000428C0">
        <w:rPr>
          <w:rStyle w:val="Strong"/>
          <w:rFonts w:eastAsiaTheme="majorEastAsia"/>
          <w:b w:val="0"/>
          <w:bCs w:val="0"/>
          <w:i/>
          <w:iCs/>
          <w:color w:val="000000"/>
        </w:rPr>
        <w:t>w</w:t>
      </w:r>
      <w:r w:rsidR="0040043A" w:rsidRPr="0040043A">
        <w:rPr>
          <w:rStyle w:val="Strong"/>
          <w:rFonts w:eastAsiaTheme="majorEastAsia"/>
          <w:b w:val="0"/>
          <w:bCs w:val="0"/>
          <w:i/>
          <w:iCs/>
          <w:color w:val="000000"/>
        </w:rPr>
        <w:t>hy do financial booms often lead to systemic financial crises, and why are policymakers frequently unable to prevent them?</w:t>
      </w:r>
      <w:r w:rsidR="0040043A">
        <w:rPr>
          <w:rStyle w:val="apple-converted-space"/>
          <w:rFonts w:eastAsiaTheme="majorEastAsia"/>
          <w:color w:val="000000"/>
        </w:rPr>
        <w:t> </w:t>
      </w:r>
      <w:r w:rsidR="0040043A" w:rsidRPr="0040043A">
        <w:rPr>
          <w:rFonts w:eastAsiaTheme="majorEastAsia"/>
          <w:color w:val="000000"/>
        </w:rPr>
        <w:t>Financial crises arise when systematic policy failures that weaken or postpone preventive intervention coincide with endogenous financial fragility during boom periods. While economic mechanisms such as credit expansion</w:t>
      </w:r>
      <w:r w:rsidR="0050570B">
        <w:rPr>
          <w:rFonts w:eastAsiaTheme="majorEastAsia"/>
          <w:color w:val="000000"/>
        </w:rPr>
        <w:t xml:space="preserve"> </w:t>
      </w:r>
      <w:r w:rsidR="0040043A" w:rsidRPr="0040043A">
        <w:rPr>
          <w:rFonts w:eastAsiaTheme="majorEastAsia"/>
          <w:color w:val="000000"/>
        </w:rPr>
        <w:t>and financial intermediation increase vulnerability, policymakers fail to act in a timely and effective manner due to institutional constraints, political incentives, and a lack of theoretical insights into financial instability.</w:t>
      </w:r>
      <w:bookmarkStart w:id="2" w:name="_Toc228979508"/>
    </w:p>
    <w:p w14:paraId="1913523D" w14:textId="5EFC7755" w:rsidR="00237C37" w:rsidRPr="00051136" w:rsidRDefault="009A4070" w:rsidP="007A7E0C">
      <w:pPr>
        <w:pStyle w:val="Heading1"/>
        <w:spacing w:before="0" w:after="0" w:line="360" w:lineRule="auto"/>
        <w:rPr>
          <w:rFonts w:ascii="Times New Roman" w:hAnsi="Times New Roman" w:cs="Times New Roman"/>
          <w:b/>
          <w:bCs/>
          <w:color w:val="000000" w:themeColor="text1"/>
          <w:sz w:val="24"/>
          <w:szCs w:val="24"/>
        </w:rPr>
      </w:pPr>
      <w:r w:rsidRPr="00051136">
        <w:rPr>
          <w:rFonts w:ascii="Times New Roman" w:hAnsi="Times New Roman" w:cs="Times New Roman"/>
          <w:b/>
          <w:bCs/>
          <w:color w:val="000000" w:themeColor="text1"/>
          <w:sz w:val="24"/>
          <w:szCs w:val="24"/>
        </w:rPr>
        <w:t xml:space="preserve">2.  </w:t>
      </w:r>
      <w:r w:rsidR="00AF3DF1">
        <w:rPr>
          <w:rFonts w:ascii="Times New Roman" w:hAnsi="Times New Roman" w:cs="Times New Roman"/>
          <w:b/>
          <w:bCs/>
          <w:color w:val="000000" w:themeColor="text1"/>
          <w:sz w:val="24"/>
          <w:szCs w:val="24"/>
        </w:rPr>
        <w:t xml:space="preserve">Theoretical </w:t>
      </w:r>
      <w:r w:rsidR="00CF44B7">
        <w:rPr>
          <w:rFonts w:ascii="Times New Roman" w:hAnsi="Times New Roman" w:cs="Times New Roman"/>
          <w:b/>
          <w:bCs/>
          <w:color w:val="000000" w:themeColor="text1"/>
          <w:sz w:val="24"/>
          <w:szCs w:val="24"/>
        </w:rPr>
        <w:t xml:space="preserve">&amp; </w:t>
      </w:r>
      <w:r w:rsidR="00463B35" w:rsidRPr="00051136">
        <w:rPr>
          <w:rFonts w:ascii="Times New Roman" w:hAnsi="Times New Roman" w:cs="Times New Roman"/>
          <w:b/>
          <w:bCs/>
          <w:color w:val="000000" w:themeColor="text1"/>
          <w:sz w:val="24"/>
          <w:szCs w:val="24"/>
        </w:rPr>
        <w:t>Analytical Framework</w:t>
      </w:r>
      <w:bookmarkEnd w:id="2"/>
      <w:r w:rsidR="00463B35" w:rsidRPr="00051136">
        <w:rPr>
          <w:rFonts w:ascii="Times New Roman" w:hAnsi="Times New Roman" w:cs="Times New Roman"/>
          <w:b/>
          <w:bCs/>
          <w:color w:val="000000" w:themeColor="text1"/>
          <w:sz w:val="24"/>
          <w:szCs w:val="24"/>
        </w:rPr>
        <w:t xml:space="preserve"> </w:t>
      </w:r>
    </w:p>
    <w:p w14:paraId="2C5F3028" w14:textId="5FF7063F" w:rsidR="00024A25" w:rsidRPr="00C462C5" w:rsidRDefault="00B8604E" w:rsidP="007A7E0C">
      <w:pPr>
        <w:spacing w:line="360" w:lineRule="auto"/>
        <w:ind w:firstLine="720"/>
        <w:jc w:val="both"/>
        <w:outlineLvl w:val="2"/>
        <w:rPr>
          <w:color w:val="000000" w:themeColor="text1"/>
        </w:rPr>
      </w:pPr>
      <w:bookmarkStart w:id="3" w:name="_Toc228979510"/>
      <w:r w:rsidRPr="00C462C5">
        <w:rPr>
          <w:color w:val="000000" w:themeColor="text1"/>
        </w:rPr>
        <w:t>A systemic financial crisis is a collapse of the financial system, characterised by a breakdown in financial intermediation and a sharp contraction in credit availability. A central feature of such crises is the emergence of a </w:t>
      </w:r>
      <w:r w:rsidRPr="00C462C5">
        <w:rPr>
          <w:i/>
          <w:iCs/>
          <w:color w:val="000000" w:themeColor="text1"/>
        </w:rPr>
        <w:t>credit crunch</w:t>
      </w:r>
      <w:r w:rsidRPr="00C462C5">
        <w:rPr>
          <w:color w:val="000000" w:themeColor="text1"/>
        </w:rPr>
        <w:t xml:space="preserve">, understood as a sudden tightening of lending conditions by financial institutions. </w:t>
      </w:r>
      <w:r w:rsidR="00463B35" w:rsidRPr="00C462C5">
        <w:rPr>
          <w:color w:val="000000" w:themeColor="text1"/>
        </w:rPr>
        <w:t>Also, f</w:t>
      </w:r>
      <w:r w:rsidRPr="00C462C5">
        <w:rPr>
          <w:color w:val="000000" w:themeColor="text1"/>
        </w:rPr>
        <w:t>inancial downturns associated with credit and asset price busts are more severe and persistent than standard recessions, leading to larger output losses and longer recovery periods</w:t>
      </w:r>
      <w:r w:rsidR="00AF3DF1">
        <w:rPr>
          <w:color w:val="000000" w:themeColor="text1"/>
        </w:rPr>
        <w:t xml:space="preserve"> </w:t>
      </w:r>
      <w:r w:rsidR="00AF3DF1" w:rsidRPr="00AF3DF1">
        <w:rPr>
          <w:color w:val="000000" w:themeColor="text1"/>
        </w:rPr>
        <w:t>(Kose and Claessens 2013)</w:t>
      </w:r>
      <w:r w:rsidR="00024A25" w:rsidRPr="00C462C5">
        <w:rPr>
          <w:color w:val="000000" w:themeColor="text1"/>
        </w:rPr>
        <w:t>.</w:t>
      </w:r>
      <w:r w:rsidR="00AA4398" w:rsidRPr="00AA4398">
        <w:rPr>
          <w:rFonts w:ascii="-webkit-standard" w:hAnsi="-webkit-standard"/>
          <w:color w:val="000000"/>
          <w:sz w:val="27"/>
          <w:szCs w:val="27"/>
        </w:rPr>
        <w:t xml:space="preserve"> </w:t>
      </w:r>
      <w:r w:rsidR="00AA4398" w:rsidRPr="00AA4398">
        <w:rPr>
          <w:color w:val="000000" w:themeColor="text1"/>
        </w:rPr>
        <w:t>Systemic financial crises extend beyond the financial sector, reducing household wealth and savings and leading to lower consumption, declining profitability, rising unemployment, and economic recession</w:t>
      </w:r>
      <w:r w:rsidR="00AF3DF1">
        <w:rPr>
          <w:color w:val="000000" w:themeColor="text1"/>
        </w:rPr>
        <w:t xml:space="preserve"> (Furceri and </w:t>
      </w:r>
      <w:r w:rsidR="004F69DF">
        <w:rPr>
          <w:color w:val="000000" w:themeColor="text1"/>
        </w:rPr>
        <w:t>Mourougane</w:t>
      </w:r>
      <w:r w:rsidR="00AF3DF1">
        <w:rPr>
          <w:color w:val="000000" w:themeColor="text1"/>
        </w:rPr>
        <w:t xml:space="preserve"> 2009)</w:t>
      </w:r>
      <w:r w:rsidR="00024A25" w:rsidRPr="00C462C5">
        <w:rPr>
          <w:color w:val="000000" w:themeColor="text1"/>
        </w:rPr>
        <w:t>.</w:t>
      </w:r>
      <w:r w:rsidR="00AA4398" w:rsidRPr="00AA4398">
        <w:rPr>
          <w:rFonts w:ascii="-webkit-standard" w:hAnsi="-webkit-standard"/>
          <w:color w:val="000000"/>
          <w:sz w:val="27"/>
          <w:szCs w:val="27"/>
        </w:rPr>
        <w:t xml:space="preserve"> </w:t>
      </w:r>
      <w:r w:rsidR="00AA4398" w:rsidRPr="00AA4398">
        <w:rPr>
          <w:color w:val="000000" w:themeColor="text1"/>
        </w:rPr>
        <w:t xml:space="preserve">Losses in financial institutions reduce confidence, trigger asset sales, and accelerate deleveraging, while balance sheet opacity contributes to market freezes. </w:t>
      </w:r>
      <w:r w:rsidR="00CF44B7">
        <w:rPr>
          <w:color w:val="000000" w:themeColor="text1"/>
        </w:rPr>
        <w:t>B</w:t>
      </w:r>
      <w:r w:rsidR="00AA4398" w:rsidRPr="00AA4398">
        <w:rPr>
          <w:color w:val="000000" w:themeColor="text1"/>
        </w:rPr>
        <w:t>roadly, financial crises tend to precede economic downturns and have persistent effects on the real economy</w:t>
      </w:r>
      <w:r w:rsidR="00AF3DF1">
        <w:rPr>
          <w:color w:val="000000" w:themeColor="text1"/>
        </w:rPr>
        <w:t xml:space="preserve"> </w:t>
      </w:r>
      <w:r w:rsidR="00AF3DF1" w:rsidRPr="00AF3DF1">
        <w:rPr>
          <w:color w:val="000000" w:themeColor="text1"/>
        </w:rPr>
        <w:t>(Hamdaoui et al. 2025)</w:t>
      </w:r>
      <w:r w:rsidRPr="00C462C5">
        <w:rPr>
          <w:color w:val="000000" w:themeColor="text1"/>
        </w:rPr>
        <w:t>.</w:t>
      </w:r>
      <w:r w:rsidR="00495BF0" w:rsidRPr="00C462C5">
        <w:rPr>
          <w:color w:val="000000" w:themeColor="text1"/>
        </w:rPr>
        <w:t xml:space="preserve"> </w:t>
      </w:r>
      <w:r w:rsidR="002F4238" w:rsidRPr="00C462C5">
        <w:rPr>
          <w:color w:val="000000" w:themeColor="text1"/>
        </w:rPr>
        <w:t xml:space="preserve">From a theoretical perspective, financial crises arise when economic units </w:t>
      </w:r>
      <w:r w:rsidR="00CF44B7">
        <w:rPr>
          <w:color w:val="000000" w:themeColor="text1"/>
        </w:rPr>
        <w:t xml:space="preserve">cannot </w:t>
      </w:r>
      <w:r w:rsidR="002F4238" w:rsidRPr="00C462C5">
        <w:rPr>
          <w:color w:val="000000" w:themeColor="text1"/>
        </w:rPr>
        <w:t>refinance their positions through normal channels and must resort to alternative sources of liquidity, triggering systemic instability</w:t>
      </w:r>
      <w:r w:rsidR="00AF3DF1">
        <w:rPr>
          <w:color w:val="000000" w:themeColor="text1"/>
        </w:rPr>
        <w:t xml:space="preserve"> </w:t>
      </w:r>
      <w:r w:rsidR="00AF3DF1" w:rsidRPr="00AF3DF1">
        <w:rPr>
          <w:color w:val="000000" w:themeColor="text1"/>
        </w:rPr>
        <w:t>(Minsky 1975)</w:t>
      </w:r>
      <w:r w:rsidR="00024A25" w:rsidRPr="00C462C5">
        <w:rPr>
          <w:color w:val="000000" w:themeColor="text1"/>
        </w:rPr>
        <w:t>.</w:t>
      </w:r>
      <w:bookmarkEnd w:id="3"/>
    </w:p>
    <w:p w14:paraId="4281593C" w14:textId="03E09EA3" w:rsidR="00C0332E" w:rsidRPr="00066DDE" w:rsidRDefault="00B62270" w:rsidP="00066DDE">
      <w:pPr>
        <w:spacing w:line="360" w:lineRule="auto"/>
        <w:ind w:firstLine="720"/>
        <w:jc w:val="both"/>
        <w:rPr>
          <w:color w:val="000000"/>
        </w:rPr>
      </w:pPr>
      <w:r w:rsidRPr="00B62270">
        <w:rPr>
          <w:color w:val="000000"/>
        </w:rPr>
        <w:t xml:space="preserve">Financial </w:t>
      </w:r>
      <w:r w:rsidR="004C276F">
        <w:rPr>
          <w:color w:val="000000"/>
        </w:rPr>
        <w:t>crises</w:t>
      </w:r>
      <w:r w:rsidRPr="00B62270">
        <w:rPr>
          <w:color w:val="000000"/>
        </w:rPr>
        <w:t xml:space="preserve"> </w:t>
      </w:r>
      <w:r w:rsidR="004C276F">
        <w:rPr>
          <w:color w:val="000000"/>
        </w:rPr>
        <w:t xml:space="preserve">do not arise </w:t>
      </w:r>
      <w:r w:rsidRPr="00B62270">
        <w:rPr>
          <w:color w:val="000000"/>
        </w:rPr>
        <w:t>from isolated macroeconomic shocks</w:t>
      </w:r>
      <w:r w:rsidR="004C276F">
        <w:rPr>
          <w:color w:val="000000" w:themeColor="text1"/>
        </w:rPr>
        <w:t>;</w:t>
      </w:r>
      <w:r w:rsidR="00DA30F8" w:rsidRPr="00B62270">
        <w:rPr>
          <w:color w:val="000000" w:themeColor="text1"/>
        </w:rPr>
        <w:t xml:space="preserve"> </w:t>
      </w:r>
      <w:r w:rsidR="004C276F">
        <w:rPr>
          <w:color w:val="000000" w:themeColor="text1"/>
        </w:rPr>
        <w:t xml:space="preserve">they </w:t>
      </w:r>
      <w:r w:rsidR="00927E38">
        <w:rPr>
          <w:color w:val="000000" w:themeColor="text1"/>
        </w:rPr>
        <w:t>are</w:t>
      </w:r>
      <w:r w:rsidR="00066DDE">
        <w:rPr>
          <w:color w:val="000000" w:themeColor="text1"/>
        </w:rPr>
        <w:t xml:space="preserve"> </w:t>
      </w:r>
      <w:r w:rsidR="00DA30F8" w:rsidRPr="00DA30F8">
        <w:rPr>
          <w:color w:val="000000" w:themeColor="text1"/>
        </w:rPr>
        <w:t>a breakdown of the financial intermediation system.</w:t>
      </w:r>
      <w:r w:rsidR="00DA30F8">
        <w:rPr>
          <w:color w:val="000000" w:themeColor="text1"/>
        </w:rPr>
        <w:t xml:space="preserve"> </w:t>
      </w:r>
      <w:r w:rsidR="00E60953">
        <w:rPr>
          <w:color w:val="000000" w:themeColor="text1"/>
        </w:rPr>
        <w:t>F</w:t>
      </w:r>
      <w:r w:rsidR="00C0332E" w:rsidRPr="00C462C5">
        <w:rPr>
          <w:color w:val="000000" w:themeColor="text1"/>
        </w:rPr>
        <w:t xml:space="preserve">inancial markets are </w:t>
      </w:r>
      <w:r w:rsidR="00E60953">
        <w:rPr>
          <w:color w:val="000000" w:themeColor="text1"/>
        </w:rPr>
        <w:t xml:space="preserve">also </w:t>
      </w:r>
      <w:r w:rsidR="00C0332E" w:rsidRPr="00C462C5">
        <w:rPr>
          <w:color w:val="000000" w:themeColor="text1"/>
        </w:rPr>
        <w:t xml:space="preserve">subject to </w:t>
      </w:r>
      <w:r w:rsidR="00C0332E" w:rsidRPr="00C462C5">
        <w:rPr>
          <w:color w:val="000000" w:themeColor="text1"/>
        </w:rPr>
        <w:lastRenderedPageBreak/>
        <w:t>behavioural dynamics that further amplify instability: Keynes emphasised the role of</w:t>
      </w:r>
      <w:r w:rsidR="00C0332E" w:rsidRPr="00C462C5">
        <w:rPr>
          <w:rStyle w:val="apple-converted-space"/>
          <w:rFonts w:eastAsiaTheme="majorEastAsia"/>
          <w:color w:val="000000" w:themeColor="text1"/>
        </w:rPr>
        <w:t> </w:t>
      </w:r>
      <w:r w:rsidR="00C0332E" w:rsidRPr="00C462C5">
        <w:rPr>
          <w:rStyle w:val="Emphasis"/>
          <w:rFonts w:eastAsiaTheme="majorEastAsia"/>
          <w:color w:val="000000" w:themeColor="text1"/>
        </w:rPr>
        <w:t>animal spirits</w:t>
      </w:r>
      <w:r w:rsidR="00C0332E" w:rsidRPr="00C462C5">
        <w:rPr>
          <w:rStyle w:val="apple-converted-space"/>
          <w:rFonts w:eastAsiaTheme="majorEastAsia"/>
          <w:color w:val="000000" w:themeColor="text1"/>
        </w:rPr>
        <w:t> </w:t>
      </w:r>
      <w:r w:rsidR="00C0332E" w:rsidRPr="00C462C5">
        <w:rPr>
          <w:color w:val="000000" w:themeColor="text1"/>
        </w:rPr>
        <w:t>in shaping expectations and driving fluctuations in financial markets</w:t>
      </w:r>
      <w:r w:rsidR="00AF3DF1">
        <w:rPr>
          <w:color w:val="000000" w:themeColor="text1"/>
        </w:rPr>
        <w:t xml:space="preserve"> </w:t>
      </w:r>
      <w:r w:rsidR="00AF3DF1" w:rsidRPr="00AF3DF1">
        <w:rPr>
          <w:color w:val="000000"/>
        </w:rPr>
        <w:t>(</w:t>
      </w:r>
      <w:r w:rsidR="00AF3DF1">
        <w:rPr>
          <w:color w:val="000000"/>
        </w:rPr>
        <w:t xml:space="preserve">Keynes </w:t>
      </w:r>
      <w:r w:rsidR="00AF3DF1" w:rsidRPr="00AF3DF1">
        <w:rPr>
          <w:color w:val="000000"/>
        </w:rPr>
        <w:t>1930)</w:t>
      </w:r>
      <w:r w:rsidR="00C0332E" w:rsidRPr="00C462C5">
        <w:rPr>
          <w:color w:val="000000" w:themeColor="text1"/>
        </w:rPr>
        <w:t>.</w:t>
      </w:r>
      <w:r w:rsidR="00C21152">
        <w:rPr>
          <w:rStyle w:val="FootnoteReference"/>
          <w:color w:val="000000" w:themeColor="text1"/>
        </w:rPr>
        <w:footnoteReference w:id="1"/>
      </w:r>
      <w:r w:rsidR="00C0332E" w:rsidRPr="00C462C5">
        <w:rPr>
          <w:color w:val="000000" w:themeColor="text1"/>
        </w:rPr>
        <w:t xml:space="preserve"> Kindleberger, instead, highlighted how cycles of </w:t>
      </w:r>
      <w:r w:rsidR="00C0332E" w:rsidRPr="00927E38">
        <w:rPr>
          <w:i/>
          <w:iCs/>
          <w:color w:val="000000" w:themeColor="text1"/>
        </w:rPr>
        <w:t>boom</w:t>
      </w:r>
      <w:r w:rsidR="00C0332E" w:rsidRPr="00C462C5">
        <w:rPr>
          <w:color w:val="000000" w:themeColor="text1"/>
        </w:rPr>
        <w:t xml:space="preserve"> and </w:t>
      </w:r>
      <w:r w:rsidR="00C0332E" w:rsidRPr="00927E38">
        <w:rPr>
          <w:i/>
          <w:iCs/>
          <w:color w:val="000000" w:themeColor="text1"/>
        </w:rPr>
        <w:t>bust</w:t>
      </w:r>
      <w:r w:rsidR="00C0332E" w:rsidRPr="00C462C5">
        <w:rPr>
          <w:color w:val="000000" w:themeColor="text1"/>
        </w:rPr>
        <w:t xml:space="preserve"> are </w:t>
      </w:r>
      <w:r w:rsidR="00C21152">
        <w:rPr>
          <w:color w:val="000000" w:themeColor="text1"/>
        </w:rPr>
        <w:t>driven</w:t>
      </w:r>
      <w:r w:rsidR="00C0332E" w:rsidRPr="00C462C5">
        <w:rPr>
          <w:color w:val="000000" w:themeColor="text1"/>
        </w:rPr>
        <w:t xml:space="preserve"> by speculative excess and herd behaviour</w:t>
      </w:r>
      <w:r w:rsidR="00AF3DF1">
        <w:rPr>
          <w:color w:val="000000" w:themeColor="text1"/>
        </w:rPr>
        <w:t xml:space="preserve"> (Kindleberger 2000)</w:t>
      </w:r>
      <w:r w:rsidR="00C0332E" w:rsidRPr="00C462C5">
        <w:rPr>
          <w:color w:val="000000" w:themeColor="text1"/>
        </w:rPr>
        <w:t>.</w:t>
      </w:r>
      <w:r w:rsidR="00DC4C88" w:rsidRPr="00C462C5">
        <w:rPr>
          <w:color w:val="000000" w:themeColor="text1"/>
        </w:rPr>
        <w:t xml:space="preserve"> </w:t>
      </w:r>
      <w:r w:rsidR="00F01B6B">
        <w:rPr>
          <w:color w:val="000000" w:themeColor="text1"/>
        </w:rPr>
        <w:t>B</w:t>
      </w:r>
      <w:r w:rsidR="00F01B6B" w:rsidRPr="00F01B6B">
        <w:rPr>
          <w:color w:val="000000" w:themeColor="text1"/>
        </w:rPr>
        <w:t>uilding on</w:t>
      </w:r>
      <w:r w:rsidR="00F01B6B">
        <w:rPr>
          <w:color w:val="000000" w:themeColor="text1"/>
        </w:rPr>
        <w:t xml:space="preserve"> this</w:t>
      </w:r>
      <w:r w:rsidR="00F01B6B" w:rsidRPr="00F01B6B">
        <w:rPr>
          <w:color w:val="000000" w:themeColor="text1"/>
        </w:rPr>
        <w:t>, Minsky’s financial instability hypothesis explains how financial crises emerge endogenously from periods of economic stability</w:t>
      </w:r>
      <w:r w:rsidR="00F01B6B">
        <w:rPr>
          <w:color w:val="000000" w:themeColor="text1"/>
        </w:rPr>
        <w:t xml:space="preserve">, which </w:t>
      </w:r>
      <w:r w:rsidR="00F01B6B" w:rsidRPr="00F01B6B">
        <w:rPr>
          <w:color w:val="000000" w:themeColor="text1"/>
        </w:rPr>
        <w:t>encourages risk-taking, shifting financial structures from hedge to speculative and Ponzi finance</w:t>
      </w:r>
      <w:r w:rsidR="00927E38" w:rsidRPr="00927E38">
        <w:rPr>
          <w:color w:val="000000" w:themeColor="text1"/>
        </w:rPr>
        <w:t>. While hedge units can meet their debt obligations through current cash flows, speculative units rely on refinancing, and Ponzi units depend on rising asset prices to sustain their positions.</w:t>
      </w:r>
      <w:r w:rsidR="00F01B6B" w:rsidRPr="00F01B6B">
        <w:rPr>
          <w:rFonts w:ascii="-webkit-standard" w:hAnsi="-webkit-standard"/>
          <w:color w:val="000000"/>
          <w:sz w:val="27"/>
          <w:szCs w:val="27"/>
        </w:rPr>
        <w:t xml:space="preserve"> </w:t>
      </w:r>
      <w:r w:rsidR="00F01B6B" w:rsidRPr="00F01B6B">
        <w:rPr>
          <w:color w:val="000000" w:themeColor="text1"/>
        </w:rPr>
        <w:t>As units rely more on refinancing and rising asset prices</w:t>
      </w:r>
      <w:r w:rsidR="00927E38" w:rsidRPr="00927E38">
        <w:rPr>
          <w:color w:val="000000" w:themeColor="text1"/>
        </w:rPr>
        <w:t>,</w:t>
      </w:r>
      <w:r w:rsidR="00F01B6B">
        <w:rPr>
          <w:color w:val="000000" w:themeColor="text1"/>
        </w:rPr>
        <w:t xml:space="preserve"> the system </w:t>
      </w:r>
      <w:r w:rsidR="00927E38" w:rsidRPr="00927E38">
        <w:rPr>
          <w:color w:val="000000" w:themeColor="text1"/>
        </w:rPr>
        <w:t>becomes vulnerable to shocks, making financial crises a natural outcome of economic dynamics</w:t>
      </w:r>
      <w:r w:rsidR="00AF3DF1">
        <w:rPr>
          <w:color w:val="000000" w:themeColor="text1"/>
        </w:rPr>
        <w:t xml:space="preserve"> </w:t>
      </w:r>
      <w:r w:rsidR="00AF3DF1" w:rsidRPr="00AF3DF1">
        <w:rPr>
          <w:color w:val="000000" w:themeColor="text1"/>
        </w:rPr>
        <w:t>(Minsky 1977)</w:t>
      </w:r>
      <w:r w:rsidR="00325AD4" w:rsidRPr="00C462C5">
        <w:rPr>
          <w:color w:val="000000" w:themeColor="text1"/>
        </w:rPr>
        <w:t>.</w:t>
      </w:r>
      <w:r w:rsidR="00495BF0" w:rsidRPr="00C462C5">
        <w:rPr>
          <w:color w:val="000000" w:themeColor="text1"/>
        </w:rPr>
        <w:t xml:space="preserve"> </w:t>
      </w:r>
      <w:r w:rsidR="00231399">
        <w:rPr>
          <w:color w:val="000000" w:themeColor="text1"/>
        </w:rPr>
        <w:t>F</w:t>
      </w:r>
      <w:r w:rsidR="00DC4C88" w:rsidRPr="00C462C5">
        <w:rPr>
          <w:color w:val="000000" w:themeColor="text1"/>
        </w:rPr>
        <w:t xml:space="preserve">inancial instability is </w:t>
      </w:r>
      <w:r w:rsidR="00231399">
        <w:rPr>
          <w:color w:val="000000" w:themeColor="text1"/>
        </w:rPr>
        <w:t xml:space="preserve">thus </w:t>
      </w:r>
      <w:r w:rsidR="00DC4C88" w:rsidRPr="00C462C5">
        <w:rPr>
          <w:color w:val="000000" w:themeColor="text1"/>
        </w:rPr>
        <w:t>a</w:t>
      </w:r>
      <w:r w:rsidR="000428C0">
        <w:rPr>
          <w:color w:val="000000" w:themeColor="text1"/>
        </w:rPr>
        <w:t xml:space="preserve"> </w:t>
      </w:r>
      <w:r w:rsidR="00DC4C88" w:rsidRPr="00C462C5">
        <w:rPr>
          <w:color w:val="000000" w:themeColor="text1"/>
        </w:rPr>
        <w:t>feature of capitalist economies</w:t>
      </w:r>
      <w:r w:rsidR="00E60953">
        <w:rPr>
          <w:color w:val="000000" w:themeColor="text1"/>
        </w:rPr>
        <w:t>, not an anom</w:t>
      </w:r>
      <w:r w:rsidR="00FA7119">
        <w:rPr>
          <w:color w:val="000000" w:themeColor="text1"/>
        </w:rPr>
        <w:t>a</w:t>
      </w:r>
      <w:r w:rsidR="00E60953">
        <w:rPr>
          <w:color w:val="000000" w:themeColor="text1"/>
        </w:rPr>
        <w:t xml:space="preserve">ly, </w:t>
      </w:r>
      <w:r w:rsidR="000428C0">
        <w:rPr>
          <w:color w:val="000000" w:themeColor="text1"/>
        </w:rPr>
        <w:t>to</w:t>
      </w:r>
      <w:r w:rsidR="00927E38" w:rsidRPr="00927E38">
        <w:rPr>
          <w:color w:val="000000" w:themeColor="text1"/>
        </w:rPr>
        <w:t xml:space="preserve"> be understood through the mechanisms linking financial expansion to crisis.</w:t>
      </w:r>
      <w:r w:rsidR="00927E38">
        <w:rPr>
          <w:color w:val="000000" w:themeColor="text1"/>
        </w:rPr>
        <w:t xml:space="preserve"> </w:t>
      </w:r>
    </w:p>
    <w:p w14:paraId="5E4C2FDD" w14:textId="410B9E7C" w:rsidR="009A4070" w:rsidRPr="00051136" w:rsidRDefault="00463B35" w:rsidP="00AA7A41">
      <w:pPr>
        <w:pStyle w:val="Heading1"/>
        <w:spacing w:before="0" w:after="0" w:line="360" w:lineRule="auto"/>
        <w:jc w:val="both"/>
        <w:rPr>
          <w:rFonts w:ascii="Times New Roman" w:eastAsia="Times New Roman" w:hAnsi="Times New Roman" w:cs="Times New Roman"/>
          <w:b/>
          <w:bCs/>
          <w:color w:val="000000" w:themeColor="text1"/>
          <w:sz w:val="24"/>
          <w:szCs w:val="24"/>
        </w:rPr>
      </w:pPr>
      <w:bookmarkStart w:id="4" w:name="_Toc228979512"/>
      <w:r w:rsidRPr="00051136">
        <w:rPr>
          <w:rFonts w:ascii="Times New Roman" w:hAnsi="Times New Roman" w:cs="Times New Roman"/>
          <w:b/>
          <w:bCs/>
          <w:color w:val="000000" w:themeColor="text1"/>
          <w:sz w:val="24"/>
          <w:szCs w:val="24"/>
        </w:rPr>
        <w:t>3. Economic Mechanisms Leading to Crises</w:t>
      </w:r>
      <w:bookmarkEnd w:id="4"/>
      <w:r w:rsidRPr="00051136">
        <w:rPr>
          <w:rFonts w:ascii="Times New Roman" w:hAnsi="Times New Roman" w:cs="Times New Roman"/>
          <w:b/>
          <w:bCs/>
          <w:color w:val="000000" w:themeColor="text1"/>
          <w:sz w:val="24"/>
          <w:szCs w:val="24"/>
        </w:rPr>
        <w:t xml:space="preserve"> </w:t>
      </w:r>
    </w:p>
    <w:p w14:paraId="3D63B70B" w14:textId="6DEE1FE3" w:rsidR="00EA1D1C" w:rsidRDefault="00231399" w:rsidP="00AA7A41">
      <w:pPr>
        <w:spacing w:line="360" w:lineRule="auto"/>
        <w:ind w:firstLine="720"/>
        <w:jc w:val="both"/>
        <w:outlineLvl w:val="1"/>
        <w:rPr>
          <w:color w:val="000000" w:themeColor="text1"/>
        </w:rPr>
      </w:pPr>
      <w:r>
        <w:rPr>
          <w:color w:val="000000" w:themeColor="text1"/>
        </w:rPr>
        <w:t>A</w:t>
      </w:r>
      <w:r w:rsidRPr="00C462C5">
        <w:rPr>
          <w:color w:val="000000" w:themeColor="text1"/>
        </w:rPr>
        <w:t xml:space="preserve"> core mechanism through which financial fragility accumulates before crises</w:t>
      </w:r>
      <w:r>
        <w:rPr>
          <w:color w:val="000000" w:themeColor="text1"/>
        </w:rPr>
        <w:t xml:space="preserve"> </w:t>
      </w:r>
      <w:r w:rsidR="00E12F2C">
        <w:rPr>
          <w:color w:val="000000" w:themeColor="text1"/>
        </w:rPr>
        <w:t>is</w:t>
      </w:r>
      <w:r w:rsidR="009A4070" w:rsidRPr="00051136">
        <w:rPr>
          <w:b/>
          <w:bCs/>
          <w:i/>
          <w:iCs/>
          <w:color w:val="000000" w:themeColor="text1"/>
        </w:rPr>
        <w:t xml:space="preserve"> </w:t>
      </w:r>
      <w:bookmarkStart w:id="5" w:name="_Toc228979514"/>
      <w:r>
        <w:rPr>
          <w:i/>
          <w:iCs/>
          <w:color w:val="000000" w:themeColor="text1"/>
        </w:rPr>
        <w:t>c</w:t>
      </w:r>
      <w:r w:rsidR="00C915ED" w:rsidRPr="00051136">
        <w:rPr>
          <w:i/>
          <w:iCs/>
          <w:color w:val="000000" w:themeColor="text1"/>
        </w:rPr>
        <w:t>redit booms</w:t>
      </w:r>
      <w:r w:rsidR="00C915ED" w:rsidRPr="00C462C5">
        <w:rPr>
          <w:color w:val="000000" w:themeColor="text1"/>
        </w:rPr>
        <w:t xml:space="preserve">, rapid expansions of private-sector credit above an economy’s long-run trend. They often precede financial crises, especially when accompanied by rising leverage, asset-price growth, and greater risk-taking. </w:t>
      </w:r>
      <w:r w:rsidR="00B62270">
        <w:rPr>
          <w:color w:val="000000" w:themeColor="text1"/>
        </w:rPr>
        <w:t>Regulation</w:t>
      </w:r>
      <w:r w:rsidR="00C915ED" w:rsidRPr="00C462C5">
        <w:rPr>
          <w:color w:val="000000" w:themeColor="text1"/>
        </w:rPr>
        <w:t xml:space="preserve"> may fail to keep pace with financial innovation and competition, while lending standards may deteriorate as credit expands</w:t>
      </w:r>
      <w:r w:rsidR="00E60953">
        <w:rPr>
          <w:color w:val="000000" w:themeColor="text1"/>
        </w:rPr>
        <w:t xml:space="preserve"> </w:t>
      </w:r>
      <w:r w:rsidR="00E60953" w:rsidRPr="00E60953">
        <w:rPr>
          <w:color w:val="000000" w:themeColor="text1"/>
        </w:rPr>
        <w:t>(Kose and Claessens 2013)</w:t>
      </w:r>
      <w:r w:rsidR="00EA1D1C" w:rsidRPr="00C462C5">
        <w:rPr>
          <w:color w:val="000000" w:themeColor="text1"/>
        </w:rPr>
        <w:t>.</w:t>
      </w:r>
      <w:r w:rsidR="00E60953" w:rsidRPr="00DA30F8">
        <w:rPr>
          <w:color w:val="000000" w:themeColor="text1"/>
        </w:rPr>
        <w:t xml:space="preserve"> </w:t>
      </w:r>
      <w:r w:rsidR="00DA30F8" w:rsidRPr="00DA30F8">
        <w:rPr>
          <w:color w:val="000000" w:themeColor="text1"/>
        </w:rPr>
        <w:t>Gertler et al. formalise this mechanism by showing how optimistic expectations about future returns drive credit booms, as banks expand assets through borrowing, increasing leverage and vulnerability to rollover risk</w:t>
      </w:r>
      <w:r w:rsidR="00921449">
        <w:rPr>
          <w:color w:val="000000" w:themeColor="text1"/>
        </w:rPr>
        <w:t xml:space="preserve"> </w:t>
      </w:r>
      <w:r w:rsidR="00921449" w:rsidRPr="00921449">
        <w:rPr>
          <w:color w:val="000000" w:themeColor="text1"/>
        </w:rPr>
        <w:t>(Gertler</w:t>
      </w:r>
      <w:r w:rsidR="00921449">
        <w:rPr>
          <w:color w:val="000000" w:themeColor="text1"/>
        </w:rPr>
        <w:t xml:space="preserve"> et al. </w:t>
      </w:r>
      <w:r w:rsidR="00921449" w:rsidRPr="00921449">
        <w:rPr>
          <w:color w:val="000000" w:themeColor="text1"/>
        </w:rPr>
        <w:t>2020)</w:t>
      </w:r>
      <w:r w:rsidR="00A01A3D" w:rsidRPr="00C462C5">
        <w:rPr>
          <w:color w:val="000000" w:themeColor="text1"/>
        </w:rPr>
        <w:t xml:space="preserve">. </w:t>
      </w:r>
      <w:r w:rsidR="00325AD4" w:rsidRPr="00C462C5">
        <w:rPr>
          <w:color w:val="000000" w:themeColor="text1"/>
        </w:rPr>
        <w:t>They represent t</w:t>
      </w:r>
      <w:r w:rsidR="00EA1D1C" w:rsidRPr="00C462C5">
        <w:rPr>
          <w:color w:val="000000" w:themeColor="text1"/>
        </w:rPr>
        <w:t xml:space="preserve">he mechanism </w:t>
      </w:r>
      <w:r w:rsidR="00325AD4" w:rsidRPr="00C462C5">
        <w:rPr>
          <w:color w:val="000000" w:themeColor="text1"/>
        </w:rPr>
        <w:t>through an</w:t>
      </w:r>
      <w:r w:rsidR="00EA1D1C" w:rsidRPr="00C462C5">
        <w:rPr>
          <w:color w:val="000000" w:themeColor="text1"/>
        </w:rPr>
        <w:t xml:space="preserve"> endogenous capital-ratio condition:</w:t>
      </w:r>
      <w:bookmarkEnd w:id="5"/>
    </w:p>
    <w:p w14:paraId="28613FE7" w14:textId="77777777" w:rsidR="0050570B" w:rsidRPr="00C462C5" w:rsidRDefault="0050570B" w:rsidP="00C21152">
      <w:pPr>
        <w:ind w:firstLine="720"/>
        <w:jc w:val="both"/>
        <w:outlineLvl w:val="1"/>
        <w:rPr>
          <w:b/>
          <w:bCs/>
          <w:color w:val="000000" w:themeColor="text1"/>
        </w:rPr>
      </w:pPr>
    </w:p>
    <w:p w14:paraId="6428D582" w14:textId="6B4F3E31" w:rsidR="00EA1D1C" w:rsidRPr="00C462C5" w:rsidRDefault="00000000" w:rsidP="00AA7A41">
      <w:pPr>
        <w:spacing w:line="360" w:lineRule="auto"/>
        <w:jc w:val="both"/>
        <w:rPr>
          <w:rFonts w:eastAsiaTheme="minorHAnsi"/>
          <w:i/>
          <w:color w:val="000000" w:themeColor="text1"/>
          <w:kern w:val="2"/>
          <w:lang w:eastAsia="en-US"/>
          <w14:ligatures w14:val="standardContextual"/>
        </w:rPr>
      </w:pPr>
      <m:oMathPara>
        <m:oMath>
          <m:sSub>
            <m:sSubPr>
              <m:ctrlPr>
                <w:rPr>
                  <w:rFonts w:ascii="Cambria Math" w:eastAsiaTheme="minorHAnsi" w:hAnsi="Cambria Math"/>
                  <w:i/>
                  <w:color w:val="000000" w:themeColor="text1"/>
                  <w:kern w:val="2"/>
                  <w:lang w:eastAsia="en-US"/>
                  <w14:ligatures w14:val="standardContextual"/>
                </w:rPr>
              </m:ctrlPr>
            </m:sSubPr>
            <m:e>
              <m:r>
                <w:rPr>
                  <w:rFonts w:ascii="Cambria Math" w:hAnsi="Cambria Math"/>
                  <w:color w:val="000000" w:themeColor="text1"/>
                </w:rPr>
                <m:t>k</m:t>
              </m:r>
            </m:e>
            <m:sub>
              <m:r>
                <w:rPr>
                  <w:rFonts w:ascii="Cambria Math" w:hAnsi="Cambria Math"/>
                  <w:color w:val="000000" w:themeColor="text1"/>
                </w:rPr>
                <m:t>t</m:t>
              </m:r>
            </m:sub>
          </m:sSub>
          <m:r>
            <w:rPr>
              <w:rFonts w:ascii="Cambria Math" w:hAnsi="Cambria Math"/>
              <w:color w:val="000000" w:themeColor="text1"/>
            </w:rPr>
            <m:t>=</m:t>
          </m:r>
          <m:f>
            <m:fPr>
              <m:ctrlPr>
                <w:rPr>
                  <w:rFonts w:ascii="Cambria Math" w:eastAsiaTheme="minorHAnsi" w:hAnsi="Cambria Math"/>
                  <w:i/>
                  <w:color w:val="000000" w:themeColor="text1"/>
                  <w:kern w:val="2"/>
                  <w:lang w:eastAsia="en-US"/>
                  <w14:ligatures w14:val="standardContextual"/>
                </w:rPr>
              </m:ctrlPr>
            </m:fPr>
            <m:num>
              <m:sSub>
                <m:sSubPr>
                  <m:ctrlPr>
                    <w:rPr>
                      <w:rFonts w:ascii="Cambria Math" w:eastAsiaTheme="minorHAnsi" w:hAnsi="Cambria Math"/>
                      <w:i/>
                      <w:color w:val="000000" w:themeColor="text1"/>
                      <w:kern w:val="2"/>
                      <w:lang w:eastAsia="en-US"/>
                      <w14:ligatures w14:val="standardContextual"/>
                    </w:rPr>
                  </m:ctrlPr>
                </m:sSubPr>
                <m:e>
                  <m:r>
                    <w:rPr>
                      <w:rFonts w:ascii="Cambria Math" w:hAnsi="Cambria Math"/>
                      <w:color w:val="000000" w:themeColor="text1"/>
                    </w:rPr>
                    <m:t>n</m:t>
                  </m:r>
                </m:e>
                <m:sub>
                  <m:r>
                    <w:rPr>
                      <w:rFonts w:ascii="Cambria Math" w:hAnsi="Cambria Math"/>
                      <w:color w:val="000000" w:themeColor="text1"/>
                    </w:rPr>
                    <m:t>t</m:t>
                  </m:r>
                </m:sub>
              </m:sSub>
            </m:num>
            <m:den>
              <m:sSub>
                <m:sSubPr>
                  <m:ctrlPr>
                    <w:rPr>
                      <w:rFonts w:ascii="Cambria Math" w:eastAsiaTheme="minorHAnsi" w:hAnsi="Cambria Math"/>
                      <w:i/>
                      <w:color w:val="000000" w:themeColor="text1"/>
                      <w:kern w:val="2"/>
                      <w:lang w:eastAsia="en-US"/>
                      <w14:ligatures w14:val="standardContextual"/>
                    </w:rPr>
                  </m:ctrlPr>
                </m:sSubPr>
                <m:e>
                  <m:r>
                    <w:rPr>
                      <w:rFonts w:ascii="Cambria Math" w:hAnsi="Cambria Math"/>
                      <w:color w:val="000000" w:themeColor="text1"/>
                    </w:rPr>
                    <m:t>Q</m:t>
                  </m:r>
                </m:e>
                <m:sub>
                  <m:r>
                    <w:rPr>
                      <w:rFonts w:ascii="Cambria Math" w:hAnsi="Cambria Math"/>
                      <w:color w:val="000000" w:themeColor="text1"/>
                    </w:rPr>
                    <m:t>t</m:t>
                  </m:r>
                </m:sub>
              </m:sSub>
              <m:sSubSup>
                <m:sSubSupPr>
                  <m:ctrlPr>
                    <w:rPr>
                      <w:rFonts w:ascii="Cambria Math" w:eastAsiaTheme="minorHAnsi" w:hAnsi="Cambria Math"/>
                      <w:i/>
                      <w:color w:val="000000" w:themeColor="text1"/>
                      <w:kern w:val="2"/>
                      <w:lang w:eastAsia="en-US"/>
                      <w14:ligatures w14:val="standardContextual"/>
                    </w:rPr>
                  </m:ctrlPr>
                </m:sSubSupPr>
                <m:e>
                  <m:r>
                    <w:rPr>
                      <w:rFonts w:ascii="Cambria Math" w:hAnsi="Cambria Math"/>
                      <w:color w:val="000000" w:themeColor="text1"/>
                    </w:rPr>
                    <m:t>k</m:t>
                  </m:r>
                </m:e>
                <m:sub>
                  <m:r>
                    <w:rPr>
                      <w:rFonts w:ascii="Cambria Math" w:hAnsi="Cambria Math"/>
                      <w:color w:val="000000" w:themeColor="text1"/>
                    </w:rPr>
                    <m:t>t</m:t>
                  </m:r>
                </m:sub>
                <m:sup>
                  <m:r>
                    <w:rPr>
                      <w:rFonts w:ascii="Cambria Math" w:hAnsi="Cambria Math"/>
                      <w:color w:val="000000" w:themeColor="text1"/>
                    </w:rPr>
                    <m:t>b</m:t>
                  </m:r>
                </m:sup>
              </m:sSubSup>
            </m:den>
          </m:f>
        </m:oMath>
      </m:oMathPara>
    </w:p>
    <w:p w14:paraId="3ABE0F2E" w14:textId="77777777" w:rsidR="0050570B" w:rsidRDefault="0050570B" w:rsidP="00C21152">
      <w:pPr>
        <w:jc w:val="both"/>
        <w:rPr>
          <w:color w:val="000000" w:themeColor="text1"/>
        </w:rPr>
      </w:pPr>
    </w:p>
    <w:p w14:paraId="448EF0EF" w14:textId="6D3F9182" w:rsidR="003120E0" w:rsidRPr="003120E0" w:rsidRDefault="00EA1D1C" w:rsidP="00AA7A41">
      <w:pPr>
        <w:spacing w:line="360" w:lineRule="auto"/>
        <w:jc w:val="both"/>
        <w:rPr>
          <w:color w:val="000000" w:themeColor="text1"/>
        </w:rPr>
      </w:pPr>
      <w:r w:rsidRPr="00C462C5">
        <w:rPr>
          <w:color w:val="000000" w:themeColor="text1"/>
        </w:rPr>
        <w:t>where</w:t>
      </w:r>
      <w:r w:rsidRPr="00C462C5">
        <w:rPr>
          <w:rStyle w:val="apple-converted-space"/>
          <w:rFonts w:eastAsiaTheme="majorEastAsia"/>
          <w:color w:val="000000" w:themeColor="text1"/>
        </w:rPr>
        <w:t> </w:t>
      </w:r>
      <m:oMath>
        <m:sSub>
          <m:sSubPr>
            <m:ctrlPr>
              <w:rPr>
                <w:rFonts w:ascii="Cambria Math" w:eastAsiaTheme="minorHAnsi" w:hAnsi="Cambria Math"/>
                <w:i/>
                <w:color w:val="000000" w:themeColor="text1"/>
                <w:kern w:val="2"/>
                <w:lang w:eastAsia="en-US"/>
                <w14:ligatures w14:val="standardContextual"/>
              </w:rPr>
            </m:ctrlPr>
          </m:sSubPr>
          <m:e>
            <m:r>
              <w:rPr>
                <w:rFonts w:ascii="Cambria Math" w:hAnsi="Cambria Math"/>
                <w:color w:val="000000" w:themeColor="text1"/>
              </w:rPr>
              <m:t>n</m:t>
            </m:r>
          </m:e>
          <m:sub>
            <m:r>
              <w:rPr>
                <w:rFonts w:ascii="Cambria Math" w:hAnsi="Cambria Math"/>
                <w:color w:val="000000" w:themeColor="text1"/>
              </w:rPr>
              <m:t>t</m:t>
            </m:r>
          </m:sub>
        </m:sSub>
        <m:r>
          <w:rPr>
            <w:rFonts w:ascii="Cambria Math" w:hAnsi="Cambria Math"/>
            <w:color w:val="000000" w:themeColor="text1"/>
          </w:rPr>
          <m:t xml:space="preserve"> </m:t>
        </m:r>
      </m:oMath>
      <w:r w:rsidRPr="00C462C5">
        <w:rPr>
          <w:color w:val="000000" w:themeColor="text1"/>
        </w:rPr>
        <w:t>is bank net worth and</w:t>
      </w:r>
      <w:r w:rsidRPr="00C462C5">
        <w:rPr>
          <w:rStyle w:val="apple-converted-space"/>
          <w:rFonts w:eastAsiaTheme="majorEastAsia"/>
          <w:color w:val="000000" w:themeColor="text1"/>
        </w:rPr>
        <w:t> </w:t>
      </w:r>
      <m:oMath>
        <m:sSub>
          <m:sSubPr>
            <m:ctrlPr>
              <w:rPr>
                <w:rFonts w:ascii="Cambria Math" w:eastAsiaTheme="minorHAnsi" w:hAnsi="Cambria Math"/>
                <w:i/>
                <w:color w:val="000000" w:themeColor="text1"/>
                <w:kern w:val="2"/>
                <w:lang w:eastAsia="en-US"/>
                <w14:ligatures w14:val="standardContextual"/>
              </w:rPr>
            </m:ctrlPr>
          </m:sSubPr>
          <m:e>
            <m:r>
              <w:rPr>
                <w:rFonts w:ascii="Cambria Math" w:hAnsi="Cambria Math"/>
                <w:color w:val="000000" w:themeColor="text1"/>
              </w:rPr>
              <m:t>Q</m:t>
            </m:r>
          </m:e>
          <m:sub>
            <m:r>
              <w:rPr>
                <w:rFonts w:ascii="Cambria Math" w:hAnsi="Cambria Math"/>
                <w:color w:val="000000" w:themeColor="text1"/>
              </w:rPr>
              <m:t>t</m:t>
            </m:r>
          </m:sub>
        </m:sSub>
        <m:sSubSup>
          <m:sSubSupPr>
            <m:ctrlPr>
              <w:rPr>
                <w:rFonts w:ascii="Cambria Math" w:eastAsiaTheme="minorHAnsi" w:hAnsi="Cambria Math"/>
                <w:i/>
                <w:color w:val="000000" w:themeColor="text1"/>
                <w:kern w:val="2"/>
                <w:lang w:eastAsia="en-US"/>
                <w14:ligatures w14:val="standardContextual"/>
              </w:rPr>
            </m:ctrlPr>
          </m:sSubSupPr>
          <m:e>
            <m:r>
              <w:rPr>
                <w:rFonts w:ascii="Cambria Math" w:hAnsi="Cambria Math"/>
                <w:color w:val="000000" w:themeColor="text1"/>
              </w:rPr>
              <m:t>k</m:t>
            </m:r>
          </m:e>
          <m:sub>
            <m:r>
              <w:rPr>
                <w:rFonts w:ascii="Cambria Math" w:hAnsi="Cambria Math"/>
                <w:color w:val="000000" w:themeColor="text1"/>
              </w:rPr>
              <m:t>t</m:t>
            </m:r>
          </m:sub>
          <m:sup>
            <m:r>
              <w:rPr>
                <w:rFonts w:ascii="Cambria Math" w:hAnsi="Cambria Math"/>
                <w:color w:val="000000" w:themeColor="text1"/>
              </w:rPr>
              <m:t>b</m:t>
            </m:r>
          </m:sup>
        </m:sSubSup>
      </m:oMath>
      <w:r w:rsidRPr="00C462C5">
        <w:rPr>
          <w:rStyle w:val="apple-converted-space"/>
          <w:rFonts w:eastAsiaTheme="majorEastAsia"/>
          <w:color w:val="000000" w:themeColor="text1"/>
        </w:rPr>
        <w:t> </w:t>
      </w:r>
      <w:r w:rsidRPr="00C462C5">
        <w:rPr>
          <w:color w:val="000000" w:themeColor="text1"/>
        </w:rPr>
        <w:t>is the market value of bank assets. A fall in</w:t>
      </w:r>
      <w:r w:rsidRPr="00C462C5">
        <w:rPr>
          <w:rStyle w:val="apple-converted-space"/>
          <w:rFonts w:eastAsiaTheme="majorEastAsia"/>
          <w:color w:val="000000" w:themeColor="text1"/>
        </w:rPr>
        <w:t> </w:t>
      </w:r>
      <m:oMath>
        <m:sSub>
          <m:sSubPr>
            <m:ctrlPr>
              <w:rPr>
                <w:rFonts w:ascii="Cambria Math" w:eastAsiaTheme="minorHAnsi" w:hAnsi="Cambria Math"/>
                <w:i/>
                <w:color w:val="000000" w:themeColor="text1"/>
                <w:kern w:val="2"/>
                <w:lang w:eastAsia="en-US"/>
                <w14:ligatures w14:val="standardContextual"/>
              </w:rPr>
            </m:ctrlPr>
          </m:sSubPr>
          <m:e>
            <m:r>
              <w:rPr>
                <w:rFonts w:ascii="Cambria Math" w:hAnsi="Cambria Math"/>
                <w:color w:val="000000" w:themeColor="text1"/>
              </w:rPr>
              <m:t>k</m:t>
            </m:r>
          </m:e>
          <m:sub>
            <m:r>
              <w:rPr>
                <w:rFonts w:ascii="Cambria Math" w:hAnsi="Cambria Math"/>
                <w:color w:val="000000" w:themeColor="text1"/>
              </w:rPr>
              <m:t>t</m:t>
            </m:r>
          </m:sub>
        </m:sSub>
      </m:oMath>
      <w:r w:rsidRPr="00C462C5">
        <w:rPr>
          <w:rFonts w:eastAsiaTheme="minorEastAsia"/>
          <w:color w:val="000000" w:themeColor="text1"/>
        </w:rPr>
        <w:t xml:space="preserve"> </w:t>
      </w:r>
      <w:r w:rsidR="00072CDF" w:rsidRPr="00072CDF">
        <w:rPr>
          <w:rFonts w:eastAsiaTheme="minorEastAsia"/>
          <w:color w:val="000000" w:themeColor="text1"/>
        </w:rPr>
        <w:t>means banks hold less equity relative to assets, raising leverage and exposure to shocks. During booms, higher expected returns encourage debt-financed asset expansion, lowering capital ratios. When the cycle reverses, deleveraging amplifies the downturn by contracting credit supply (Hamdaoui et al. 2025).</w:t>
      </w:r>
      <w:r w:rsidR="00AA7A41">
        <w:rPr>
          <w:rFonts w:eastAsiaTheme="minorEastAsia"/>
          <w:color w:val="000000" w:themeColor="text1"/>
        </w:rPr>
        <w:t xml:space="preserve"> </w:t>
      </w:r>
    </w:p>
    <w:p w14:paraId="5AE065B1" w14:textId="5D976B3D" w:rsidR="001C2BC0" w:rsidRPr="003120E0" w:rsidRDefault="000428C0" w:rsidP="00AA7A41">
      <w:pPr>
        <w:jc w:val="both"/>
        <w:rPr>
          <w:rStyle w:val="Strong"/>
          <w:b w:val="0"/>
          <w:bCs w:val="0"/>
          <w:color w:val="000000" w:themeColor="text1"/>
        </w:rPr>
      </w:pPr>
      <w:r>
        <w:rPr>
          <w:noProof/>
          <w:color w:val="000000" w:themeColor="text1"/>
          <w14:ligatures w14:val="standardContextual"/>
        </w:rPr>
        <w:lastRenderedPageBreak/>
        <w:drawing>
          <wp:inline distT="0" distB="0" distL="0" distR="0" wp14:anchorId="14F9E312" wp14:editId="12602BFD">
            <wp:extent cx="4866813" cy="3097161"/>
            <wp:effectExtent l="0" t="0" r="0" b="0"/>
            <wp:docPr id="11053610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61043" name="Picture 11053610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74986" cy="3102362"/>
                    </a:xfrm>
                    <a:prstGeom prst="rect">
                      <a:avLst/>
                    </a:prstGeom>
                  </pic:spPr>
                </pic:pic>
              </a:graphicData>
            </a:graphic>
          </wp:inline>
        </w:drawing>
      </w:r>
    </w:p>
    <w:p w14:paraId="0A6C519F" w14:textId="51553288" w:rsidR="000B2FD4" w:rsidRPr="000B2FD4" w:rsidRDefault="001C2BC0" w:rsidP="00AA7A41">
      <w:pPr>
        <w:spacing w:line="360" w:lineRule="auto"/>
        <w:jc w:val="both"/>
        <w:rPr>
          <w:b/>
          <w:bCs/>
          <w:i/>
          <w:iCs/>
          <w:color w:val="000000" w:themeColor="text1"/>
          <w:sz w:val="18"/>
          <w:szCs w:val="18"/>
        </w:rPr>
      </w:pPr>
      <w:r w:rsidRPr="00051136">
        <w:rPr>
          <w:rStyle w:val="Strong"/>
          <w:rFonts w:eastAsiaTheme="majorEastAsia"/>
          <w:i/>
          <w:iCs/>
          <w:color w:val="000000" w:themeColor="text1"/>
          <w:sz w:val="18"/>
          <w:szCs w:val="18"/>
        </w:rPr>
        <w:t>Figure 1</w:t>
      </w:r>
      <w:r w:rsidRPr="00051136">
        <w:rPr>
          <w:rStyle w:val="Strong"/>
          <w:rFonts w:eastAsiaTheme="majorEastAsia"/>
          <w:b w:val="0"/>
          <w:bCs w:val="0"/>
          <w:i/>
          <w:iCs/>
          <w:color w:val="000000" w:themeColor="text1"/>
          <w:sz w:val="18"/>
          <w:szCs w:val="18"/>
        </w:rPr>
        <w:t>. Credit expansion before the Global Financial Crisis.</w:t>
      </w:r>
      <w:r w:rsidRPr="00051136">
        <w:rPr>
          <w:rStyle w:val="apple-converted-space"/>
          <w:rFonts w:eastAsiaTheme="majorEastAsia"/>
          <w:b/>
          <w:bCs/>
          <w:i/>
          <w:iCs/>
          <w:color w:val="000000" w:themeColor="text1"/>
          <w:sz w:val="18"/>
          <w:szCs w:val="18"/>
        </w:rPr>
        <w:t> </w:t>
      </w:r>
    </w:p>
    <w:p w14:paraId="0FF6390E" w14:textId="49AB1014" w:rsidR="003120E0" w:rsidRPr="003120E0" w:rsidRDefault="002D5490" w:rsidP="00AA7A41">
      <w:pPr>
        <w:spacing w:line="360" w:lineRule="auto"/>
        <w:jc w:val="both"/>
        <w:rPr>
          <w:color w:val="000000" w:themeColor="text1"/>
        </w:rPr>
      </w:pPr>
      <w:r w:rsidRPr="00AC7292">
        <w:rPr>
          <w:i/>
          <w:iCs/>
          <w:color w:val="000000" w:themeColor="text1"/>
        </w:rPr>
        <w:t>Figure 1</w:t>
      </w:r>
      <w:r w:rsidRPr="002D5490">
        <w:rPr>
          <w:color w:val="000000" w:themeColor="text1"/>
        </w:rPr>
        <w:t xml:space="preserve"> shows the macroeconomic expansion of U.S. private credit before 2007, signalling systemic exposure. Micro evidence shows faster pre-crisis loan growth was followed by higher defaults, suggesting weaker lending standards and rising fragility (Dell’Ariccia et al. 2012).</w:t>
      </w:r>
    </w:p>
    <w:p w14:paraId="6F3E0BEA" w14:textId="3338FB58" w:rsidR="00AA4398" w:rsidRDefault="00231399" w:rsidP="00AA7A41">
      <w:pPr>
        <w:spacing w:line="360" w:lineRule="auto"/>
        <w:ind w:firstLine="720"/>
        <w:jc w:val="both"/>
        <w:outlineLvl w:val="1"/>
        <w:rPr>
          <w:color w:val="000000" w:themeColor="text1"/>
        </w:rPr>
      </w:pPr>
      <w:bookmarkStart w:id="6" w:name="_Toc228979516"/>
      <w:r w:rsidRPr="00231399">
        <w:rPr>
          <w:color w:val="000000" w:themeColor="text1"/>
        </w:rPr>
        <w:t xml:space="preserve">A second mechanism is </w:t>
      </w:r>
      <w:r w:rsidRPr="00231399">
        <w:rPr>
          <w:i/>
          <w:iCs/>
          <w:color w:val="000000" w:themeColor="text1"/>
        </w:rPr>
        <w:t>asset price bubbles</w:t>
      </w:r>
      <w:r w:rsidRPr="00231399">
        <w:rPr>
          <w:color w:val="000000" w:themeColor="text1"/>
        </w:rPr>
        <w:t xml:space="preserve">, </w:t>
      </w:r>
      <w:r w:rsidR="003120E0" w:rsidRPr="003120E0">
        <w:rPr>
          <w:color w:val="000000" w:themeColor="text1"/>
        </w:rPr>
        <w:t>whereby prices rise above their fundamental values</w:t>
      </w:r>
      <w:r w:rsidR="00AA7A41">
        <w:rPr>
          <w:color w:val="000000" w:themeColor="text1"/>
        </w:rPr>
        <w:t xml:space="preserve"> </w:t>
      </w:r>
      <w:r w:rsidR="00921449">
        <w:rPr>
          <w:color w:val="000000" w:themeColor="text1"/>
        </w:rPr>
        <w:t>(Shiller 1980)</w:t>
      </w:r>
      <w:r w:rsidR="00CF1461" w:rsidRPr="00C462C5">
        <w:rPr>
          <w:color w:val="000000" w:themeColor="text1"/>
        </w:rPr>
        <w:t xml:space="preserve">. </w:t>
      </w:r>
      <w:bookmarkEnd w:id="6"/>
      <w:r w:rsidR="004C276F" w:rsidRPr="004C276F">
        <w:rPr>
          <w:color w:val="000000" w:themeColor="text1"/>
        </w:rPr>
        <w:t>Borrowing-driven asset booms raise collateral values and expand lending; when prices fall, collateral weakens, credit tightens, and banks face stress. Fire sales can further reduce lending and deepen credit crunches, especially in leveraged sectors such as real estate and corporate debt (Kose and Claessens 2013).</w:t>
      </w:r>
    </w:p>
    <w:p w14:paraId="0AF0A720" w14:textId="77777777" w:rsidR="00776636" w:rsidRDefault="00AA7A41" w:rsidP="00776636">
      <w:pPr>
        <w:spacing w:line="360" w:lineRule="auto"/>
        <w:outlineLvl w:val="1"/>
        <w:rPr>
          <w:color w:val="000000" w:themeColor="text1"/>
        </w:rPr>
      </w:pPr>
      <w:r>
        <w:rPr>
          <w:noProof/>
          <w:color w:val="000000" w:themeColor="text1"/>
          <w14:ligatures w14:val="standardContextual"/>
        </w:rPr>
        <w:drawing>
          <wp:inline distT="0" distB="0" distL="0" distR="0" wp14:anchorId="69EC036A" wp14:editId="29340ECD">
            <wp:extent cx="4867200" cy="3096000"/>
            <wp:effectExtent l="0" t="0" r="0" b="0"/>
            <wp:docPr id="1843044666" name="Picture 12" descr="A black screen with numbers and a number of ho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44666" name="Picture 12" descr="A black screen with numbers and a number of hous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67200" cy="3096000"/>
                    </a:xfrm>
                    <a:prstGeom prst="rect">
                      <a:avLst/>
                    </a:prstGeom>
                  </pic:spPr>
                </pic:pic>
              </a:graphicData>
            </a:graphic>
          </wp:inline>
        </w:drawing>
      </w:r>
    </w:p>
    <w:p w14:paraId="3FD1FD33" w14:textId="4606B8E9" w:rsidR="004443D3" w:rsidRDefault="00672BFF" w:rsidP="00776636">
      <w:pPr>
        <w:spacing w:line="360" w:lineRule="auto"/>
        <w:outlineLvl w:val="1"/>
        <w:rPr>
          <w:color w:val="000000" w:themeColor="text1"/>
        </w:rPr>
      </w:pPr>
      <w:r w:rsidRPr="00051136">
        <w:rPr>
          <w:b/>
          <w:bCs/>
          <w:i/>
          <w:iCs/>
          <w:color w:val="000000" w:themeColor="text1"/>
          <w:sz w:val="18"/>
          <w:szCs w:val="18"/>
        </w:rPr>
        <w:t xml:space="preserve">Figure 2. </w:t>
      </w:r>
      <w:r w:rsidRPr="00051136">
        <w:rPr>
          <w:i/>
          <w:iCs/>
          <w:color w:val="000000" w:themeColor="text1"/>
          <w:sz w:val="18"/>
          <w:szCs w:val="18"/>
        </w:rPr>
        <w:t>U.S. housing price boom before the Global Financial Crisis.</w:t>
      </w:r>
      <w:r w:rsidRPr="00051136">
        <w:rPr>
          <w:color w:val="000000" w:themeColor="text1"/>
        </w:rPr>
        <w:t> </w:t>
      </w:r>
    </w:p>
    <w:p w14:paraId="5BFD1A93" w14:textId="536BBAE5" w:rsidR="004443D3" w:rsidRPr="00066DDE" w:rsidRDefault="00AA4398" w:rsidP="00066DDE">
      <w:pPr>
        <w:spacing w:line="360" w:lineRule="auto"/>
        <w:jc w:val="both"/>
        <w:outlineLvl w:val="1"/>
        <w:rPr>
          <w:color w:val="000000" w:themeColor="text1"/>
        </w:rPr>
      </w:pPr>
      <w:r w:rsidRPr="00AA4398">
        <w:rPr>
          <w:color w:val="000000" w:themeColor="text1"/>
        </w:rPr>
        <w:lastRenderedPageBreak/>
        <w:t xml:space="preserve">The Global Financial Crisis illustrates this mechanism: the pre-2007 housing boom was a credit-driven expansion involving both banks and the shadow banking system, with U.S. housing prices rising rapidly before 2007 and then falling sharply, as shown in </w:t>
      </w:r>
      <w:r w:rsidRPr="00AA4398">
        <w:rPr>
          <w:i/>
          <w:iCs/>
          <w:color w:val="000000" w:themeColor="text1"/>
        </w:rPr>
        <w:t>Figure 2</w:t>
      </w:r>
      <w:r w:rsidRPr="00066DDE">
        <w:rPr>
          <w:color w:val="000000" w:themeColor="text1"/>
        </w:rPr>
        <w:t xml:space="preserve">. </w:t>
      </w:r>
      <w:r w:rsidR="005B38C7">
        <w:rPr>
          <w:rStyle w:val="FootnoteReference"/>
          <w:color w:val="000000" w:themeColor="text1"/>
        </w:rPr>
        <w:footnoteReference w:id="2"/>
      </w:r>
    </w:p>
    <w:p w14:paraId="722A6BD8" w14:textId="1C49F307" w:rsidR="00672BFF" w:rsidRPr="00DA30F8" w:rsidRDefault="00672BFF" w:rsidP="00481AC2">
      <w:pPr>
        <w:spacing w:line="360" w:lineRule="auto"/>
        <w:jc w:val="both"/>
        <w:outlineLvl w:val="1"/>
        <w:rPr>
          <w:b/>
          <w:bCs/>
          <w:color w:val="000000" w:themeColor="text1"/>
        </w:rPr>
      </w:pPr>
      <w:r w:rsidRPr="00C462C5">
        <w:rPr>
          <w:color w:val="000000" w:themeColor="text1"/>
        </w:rPr>
        <w:t>Dong et al. formalise the bubble through the asset-pricing condition</w:t>
      </w:r>
      <w:r w:rsidR="00C52430" w:rsidRPr="00C462C5">
        <w:rPr>
          <w:color w:val="000000" w:themeColor="text1"/>
        </w:rPr>
        <w:t xml:space="preserve">: </w:t>
      </w:r>
    </w:p>
    <w:p w14:paraId="6078216C" w14:textId="2824D4E2" w:rsidR="00672BFF" w:rsidRPr="00481AC2" w:rsidRDefault="00000000" w:rsidP="00481AC2">
      <w:pPr>
        <w:spacing w:line="360" w:lineRule="auto"/>
        <w:rPr>
          <w:i/>
          <w:color w:val="000000" w:themeColor="text1"/>
        </w:rPr>
      </w:pPr>
      <m:oMathPara>
        <m:oMath>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t</m:t>
              </m:r>
            </m:sub>
            <m:sup>
              <m:r>
                <w:rPr>
                  <w:rFonts w:ascii="Cambria Math" w:hAnsi="Cambria Math"/>
                  <w:color w:val="000000" w:themeColor="text1"/>
                </w:rPr>
                <m:t>h</m:t>
              </m:r>
            </m:sup>
          </m:sSub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SDF</m:t>
              </m:r>
            </m:e>
            <m:sub>
              <m:r>
                <w:rPr>
                  <w:rFonts w:ascii="Cambria Math" w:hAnsi="Cambria Math"/>
                  <w:color w:val="000000" w:themeColor="text1"/>
                </w:rPr>
                <m:t>t+1</m:t>
              </m:r>
            </m:sub>
          </m:sSub>
          <m:r>
            <w:rPr>
              <w:rFonts w:ascii="Cambria Math" w:hAnsi="Cambria Math"/>
              <w:color w:val="000000" w:themeColor="text1"/>
            </w:rPr>
            <m:t xml:space="preserve"> </m:t>
          </m:r>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t+1</m:t>
              </m:r>
            </m:sub>
            <m:sup>
              <m:r>
                <w:rPr>
                  <w:rFonts w:ascii="Cambria Math" w:hAnsi="Cambria Math"/>
                  <w:color w:val="000000" w:themeColor="text1"/>
                </w:rPr>
                <m:t>h</m:t>
              </m:r>
            </m:sup>
          </m:sSubSup>
          <m:r>
            <w:rPr>
              <w:rFonts w:ascii="Cambria Math" w:hAnsi="Cambria Math"/>
              <w:color w:val="000000" w:themeColor="text1"/>
            </w:rPr>
            <m:t>(1+</m:t>
          </m:r>
          <m:sSubSup>
            <m:sSubSupPr>
              <m:ctrlPr>
                <w:rPr>
                  <w:rFonts w:ascii="Cambria Math" w:hAnsi="Cambria Math"/>
                  <w:i/>
                  <w:color w:val="000000" w:themeColor="text1"/>
                </w:rPr>
              </m:ctrlPr>
            </m:sSubSupPr>
            <m:e>
              <m:r>
                <w:rPr>
                  <w:rFonts w:ascii="Cambria Math" w:hAnsi="Cambria Math"/>
                  <w:color w:val="000000" w:themeColor="text1"/>
                </w:rPr>
                <m:t>LIQ</m:t>
              </m:r>
            </m:e>
            <m:sub>
              <m:r>
                <w:rPr>
                  <w:rFonts w:ascii="Cambria Math" w:hAnsi="Cambria Math"/>
                  <w:color w:val="000000" w:themeColor="text1"/>
                </w:rPr>
                <m:t>t+1</m:t>
              </m:r>
            </m:sub>
            <m:sup>
              <m:r>
                <w:rPr>
                  <w:rFonts w:ascii="Cambria Math" w:hAnsi="Cambria Math"/>
                  <w:color w:val="000000" w:themeColor="text1"/>
                </w:rPr>
                <m:t>h</m:t>
              </m:r>
            </m:sup>
          </m:sSubSup>
          <m:r>
            <w:rPr>
              <w:rFonts w:ascii="Cambria Math" w:hAnsi="Cambria Math"/>
              <w:color w:val="000000" w:themeColor="text1"/>
            </w:rPr>
            <m:t>)</m:t>
          </m:r>
        </m:oMath>
      </m:oMathPara>
    </w:p>
    <w:p w14:paraId="0DF38792" w14:textId="2BC7CA69" w:rsidR="00BB58CB" w:rsidRPr="00C462C5" w:rsidRDefault="00672BFF" w:rsidP="00BB58CB">
      <w:pPr>
        <w:spacing w:line="360" w:lineRule="auto"/>
        <w:jc w:val="both"/>
        <w:rPr>
          <w:color w:val="000000" w:themeColor="text1"/>
        </w:rPr>
      </w:pPr>
      <w:r w:rsidRPr="00C462C5">
        <w:rPr>
          <w:color w:val="000000" w:themeColor="text1"/>
        </w:rPr>
        <w:t>where</w:t>
      </w:r>
      <w:r w:rsidRPr="00C462C5">
        <w:rPr>
          <w:rStyle w:val="apple-converted-space"/>
          <w:rFonts w:eastAsiaTheme="majorEastAsia"/>
          <w:color w:val="000000" w:themeColor="text1"/>
        </w:rPr>
        <w:t> </w:t>
      </w:r>
      <m:oMath>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t</m:t>
            </m:r>
          </m:sub>
          <m:sup>
            <m:r>
              <w:rPr>
                <w:rFonts w:ascii="Cambria Math" w:hAnsi="Cambria Math"/>
                <w:color w:val="000000" w:themeColor="text1"/>
              </w:rPr>
              <m:t>h</m:t>
            </m:r>
          </m:sup>
        </m:sSubSup>
      </m:oMath>
      <w:r w:rsidRPr="00C462C5">
        <w:rPr>
          <w:color w:val="000000" w:themeColor="text1"/>
        </w:rPr>
        <w:t xml:space="preserve"> is the current real price of the bubble asset,</w:t>
      </w:r>
      <w:r w:rsidRPr="00C462C5">
        <w:rPr>
          <w:rStyle w:val="apple-converted-space"/>
          <w:rFonts w:eastAsiaTheme="majorEastAsia"/>
          <w:color w:val="000000" w:themeColor="text1"/>
        </w:rPr>
        <w:t> </w:t>
      </w:r>
      <m:oMath>
        <m:sSub>
          <m:sSubPr>
            <m:ctrlPr>
              <w:rPr>
                <w:rFonts w:ascii="Cambria Math" w:hAnsi="Cambria Math"/>
                <w:i/>
                <w:color w:val="000000" w:themeColor="text1"/>
              </w:rPr>
            </m:ctrlPr>
          </m:sSubPr>
          <m:e>
            <m:r>
              <w:rPr>
                <w:rFonts w:ascii="Cambria Math" w:hAnsi="Cambria Math"/>
                <w:color w:val="000000" w:themeColor="text1"/>
              </w:rPr>
              <m:t>SDF</m:t>
            </m:r>
          </m:e>
          <m:sub>
            <m:r>
              <w:rPr>
                <w:rFonts w:ascii="Cambria Math" w:hAnsi="Cambria Math"/>
                <w:color w:val="000000" w:themeColor="text1"/>
              </w:rPr>
              <m:t>t+1</m:t>
            </m:r>
          </m:sub>
        </m:sSub>
      </m:oMath>
      <w:r w:rsidRPr="00C462C5">
        <w:rPr>
          <w:rStyle w:val="apple-converted-space"/>
          <w:rFonts w:eastAsiaTheme="majorEastAsia"/>
          <w:color w:val="000000" w:themeColor="text1"/>
        </w:rPr>
        <w:t> </w:t>
      </w:r>
      <w:r w:rsidRPr="00C462C5">
        <w:rPr>
          <w:color w:val="000000" w:themeColor="text1"/>
        </w:rPr>
        <w:t>discounts future uncertain payoffs,</w:t>
      </w:r>
      <w:r w:rsidRPr="00C462C5">
        <w:rPr>
          <w:rStyle w:val="apple-converted-space"/>
          <w:rFonts w:eastAsiaTheme="majorEastAsia"/>
          <w:color w:val="000000" w:themeColor="text1"/>
        </w:rPr>
        <w:t> </w:t>
      </w:r>
      <m:oMath>
        <m:sSubSup>
          <m:sSubSupPr>
            <m:ctrlPr>
              <w:rPr>
                <w:rFonts w:ascii="Cambria Math" w:hAnsi="Cambria Math"/>
                <w:i/>
                <w:color w:val="000000" w:themeColor="text1"/>
              </w:rPr>
            </m:ctrlPr>
          </m:sSubSupPr>
          <m:e>
            <m:r>
              <w:rPr>
                <w:rFonts w:ascii="Cambria Math" w:hAnsi="Cambria Math"/>
                <w:color w:val="000000" w:themeColor="text1"/>
              </w:rPr>
              <m:t>p</m:t>
            </m:r>
          </m:e>
          <m:sub>
            <m:r>
              <w:rPr>
                <w:rFonts w:ascii="Cambria Math" w:hAnsi="Cambria Math"/>
                <w:color w:val="000000" w:themeColor="text1"/>
              </w:rPr>
              <m:t>t+1</m:t>
            </m:r>
          </m:sub>
          <m:sup>
            <m:r>
              <w:rPr>
                <w:rFonts w:ascii="Cambria Math" w:hAnsi="Cambria Math"/>
                <w:color w:val="000000" w:themeColor="text1"/>
              </w:rPr>
              <m:t>h</m:t>
            </m:r>
          </m:sup>
        </m:sSubSup>
      </m:oMath>
      <w:r w:rsidRPr="00C462C5">
        <w:rPr>
          <w:rStyle w:val="apple-converted-space"/>
          <w:rFonts w:eastAsiaTheme="majorEastAsia"/>
          <w:color w:val="000000" w:themeColor="text1"/>
        </w:rPr>
        <w:t> </w:t>
      </w:r>
      <w:r w:rsidRPr="00C462C5">
        <w:rPr>
          <w:color w:val="000000" w:themeColor="text1"/>
        </w:rPr>
        <w:t>is the expected future resale value, and</w:t>
      </w:r>
      <w:r w:rsidRPr="00C462C5">
        <w:rPr>
          <w:rStyle w:val="apple-converted-space"/>
          <w:rFonts w:eastAsiaTheme="majorEastAsia"/>
          <w:color w:val="000000" w:themeColor="text1"/>
        </w:rPr>
        <w:t> </w:t>
      </w:r>
      <w:r w:rsidRPr="00C462C5">
        <w:rPr>
          <w:rStyle w:val="apple-converted-space"/>
          <w:color w:val="000000" w:themeColor="text1"/>
        </w:rPr>
        <w:t xml:space="preserve"> </w:t>
      </w:r>
      <m:oMath>
        <m:sSubSup>
          <m:sSubSupPr>
            <m:ctrlPr>
              <w:rPr>
                <w:rFonts w:ascii="Cambria Math" w:hAnsi="Cambria Math"/>
                <w:i/>
                <w:color w:val="000000" w:themeColor="text1"/>
              </w:rPr>
            </m:ctrlPr>
          </m:sSubSupPr>
          <m:e>
            <m:r>
              <w:rPr>
                <w:rFonts w:ascii="Cambria Math" w:hAnsi="Cambria Math"/>
                <w:color w:val="000000" w:themeColor="text1"/>
              </w:rPr>
              <m:t>LIQ</m:t>
            </m:r>
          </m:e>
          <m:sub>
            <m:r>
              <w:rPr>
                <w:rFonts w:ascii="Cambria Math" w:hAnsi="Cambria Math"/>
                <w:color w:val="000000" w:themeColor="text1"/>
              </w:rPr>
              <m:t>t+1</m:t>
            </m:r>
          </m:sub>
          <m:sup>
            <m:r>
              <w:rPr>
                <w:rFonts w:ascii="Cambria Math" w:hAnsi="Cambria Math"/>
                <w:color w:val="000000" w:themeColor="text1"/>
              </w:rPr>
              <m:t>h</m:t>
            </m:r>
          </m:sup>
        </m:sSubSup>
      </m:oMath>
      <w:r w:rsidRPr="00C462C5">
        <w:rPr>
          <w:rStyle w:val="vlist-s"/>
          <w:color w:val="000000" w:themeColor="text1"/>
        </w:rPr>
        <w:t xml:space="preserve"> ​</w:t>
      </w:r>
      <w:r w:rsidRPr="00C462C5">
        <w:rPr>
          <w:rStyle w:val="apple-converted-space"/>
          <w:rFonts w:eastAsiaTheme="majorEastAsia"/>
          <w:color w:val="000000" w:themeColor="text1"/>
        </w:rPr>
        <w:t> </w:t>
      </w:r>
      <w:r w:rsidRPr="00C462C5">
        <w:rPr>
          <w:color w:val="000000" w:themeColor="text1"/>
        </w:rPr>
        <w:t>is the liquidity premium generated by credit constraints</w:t>
      </w:r>
      <w:r w:rsidR="00921449">
        <w:rPr>
          <w:color w:val="000000" w:themeColor="text1"/>
        </w:rPr>
        <w:t xml:space="preserve"> (Dong et al. 2020)</w:t>
      </w:r>
      <w:r w:rsidRPr="00C462C5">
        <w:rPr>
          <w:color w:val="000000" w:themeColor="text1"/>
        </w:rPr>
        <w:t>.</w:t>
      </w:r>
      <w:r w:rsidR="000B2FD4">
        <w:rPr>
          <w:color w:val="000000" w:themeColor="text1"/>
        </w:rPr>
        <w:t xml:space="preserve"> </w:t>
      </w:r>
      <w:r w:rsidRPr="00C462C5">
        <w:rPr>
          <w:color w:val="000000" w:themeColor="text1"/>
        </w:rPr>
        <w:t xml:space="preserve">The key insight is that even an asset with no fundamental payoff can have value if it provides liquidity. </w:t>
      </w:r>
      <w:r w:rsidR="004D0F33" w:rsidRPr="004D0F33">
        <w:rPr>
          <w:color w:val="000000" w:themeColor="text1"/>
        </w:rPr>
        <w:t>This reflects a feedback loop where rising prices expand credit, while a bust tightens it.</w:t>
      </w:r>
    </w:p>
    <w:p w14:paraId="72822279" w14:textId="0BA8E5AC" w:rsidR="00237C37" w:rsidRPr="00237C37" w:rsidRDefault="004253F0" w:rsidP="004443D3">
      <w:pPr>
        <w:spacing w:line="360" w:lineRule="auto"/>
        <w:ind w:firstLine="720"/>
        <w:jc w:val="both"/>
        <w:outlineLvl w:val="1"/>
        <w:rPr>
          <w:color w:val="000000" w:themeColor="text1"/>
        </w:rPr>
      </w:pPr>
      <w:bookmarkStart w:id="7" w:name="_Toc228979518"/>
      <w:r w:rsidRPr="00C462C5">
        <w:rPr>
          <w:color w:val="000000" w:themeColor="text1"/>
        </w:rPr>
        <w:t xml:space="preserve">A further source of financial fragility comes from </w:t>
      </w:r>
      <w:r w:rsidRPr="005E73CD">
        <w:rPr>
          <w:i/>
          <w:iCs/>
          <w:color w:val="000000" w:themeColor="text1"/>
        </w:rPr>
        <w:t>maturity mismatch</w:t>
      </w:r>
      <w:r w:rsidRPr="00C462C5">
        <w:rPr>
          <w:color w:val="000000" w:themeColor="text1"/>
        </w:rPr>
        <w:t xml:space="preserve">. </w:t>
      </w:r>
      <w:r w:rsidR="004D0F33" w:rsidRPr="004D0F33">
        <w:rPr>
          <w:color w:val="000000" w:themeColor="text1"/>
        </w:rPr>
        <w:t>Banks finance long-term, illiquid assets with short-term liabilities, exposing them to liquidity risk. If creditors withdraw funding simultaneously, even solvent banks may be forced to sell assets or cut lending. This creates coordination problems, as crises can become self-fulfilling when investors expect others to withdraw (Kose and Claessens 2013).</w:t>
      </w:r>
      <w:r w:rsidR="004D0F33">
        <w:rPr>
          <w:color w:val="000000" w:themeColor="text1"/>
        </w:rPr>
        <w:t xml:space="preserve"> </w:t>
      </w:r>
      <w:r w:rsidR="00164F37" w:rsidRPr="00C462C5">
        <w:rPr>
          <w:color w:val="000000" w:themeColor="text1"/>
        </w:rPr>
        <w:t>S</w:t>
      </w:r>
      <w:r w:rsidRPr="00C462C5">
        <w:rPr>
          <w:color w:val="000000" w:themeColor="text1"/>
        </w:rPr>
        <w:t>imilarly</w:t>
      </w:r>
      <w:r w:rsidR="00164F37" w:rsidRPr="00C462C5">
        <w:rPr>
          <w:color w:val="000000" w:themeColor="text1"/>
        </w:rPr>
        <w:t xml:space="preserve">, </w:t>
      </w:r>
      <w:r w:rsidRPr="00C462C5">
        <w:rPr>
          <w:color w:val="000000" w:themeColor="text1"/>
        </w:rPr>
        <w:t xml:space="preserve">financial crises </w:t>
      </w:r>
      <w:r w:rsidR="004C62B8">
        <w:rPr>
          <w:color w:val="000000" w:themeColor="text1"/>
        </w:rPr>
        <w:t xml:space="preserve">are </w:t>
      </w:r>
      <w:r w:rsidRPr="00C462C5">
        <w:rPr>
          <w:color w:val="000000" w:themeColor="text1"/>
        </w:rPr>
        <w:t xml:space="preserve">a collapse of trust between financial institutions and creditors, </w:t>
      </w:r>
      <w:r w:rsidR="004C62B8">
        <w:rPr>
          <w:color w:val="000000" w:themeColor="text1"/>
        </w:rPr>
        <w:t>where</w:t>
      </w:r>
      <w:r w:rsidRPr="00C462C5">
        <w:rPr>
          <w:color w:val="000000" w:themeColor="text1"/>
        </w:rPr>
        <w:t xml:space="preserve"> rising uncertainty increases the cost of short-term liabilities and produces a liquidity squeeze</w:t>
      </w:r>
      <w:r w:rsidR="00494F43">
        <w:rPr>
          <w:color w:val="000000" w:themeColor="text1"/>
        </w:rPr>
        <w:t xml:space="preserve"> (</w:t>
      </w:r>
      <w:r w:rsidR="004F69DF">
        <w:rPr>
          <w:color w:val="000000" w:themeColor="text1"/>
        </w:rPr>
        <w:t>Furceri</w:t>
      </w:r>
      <w:r w:rsidR="00494F43">
        <w:rPr>
          <w:color w:val="000000" w:themeColor="text1"/>
        </w:rPr>
        <w:t xml:space="preserve"> and Mourougane 2009)</w:t>
      </w:r>
      <w:r w:rsidRPr="00C462C5">
        <w:rPr>
          <w:color w:val="000000" w:themeColor="text1"/>
        </w:rPr>
        <w:t>. If this liquidity problem becomes severe, it</w:t>
      </w:r>
      <w:r w:rsidR="004443D3">
        <w:rPr>
          <w:color w:val="000000" w:themeColor="text1"/>
        </w:rPr>
        <w:t xml:space="preserve"> </w:t>
      </w:r>
      <w:r w:rsidRPr="00C462C5">
        <w:rPr>
          <w:color w:val="000000" w:themeColor="text1"/>
        </w:rPr>
        <w:t>turn</w:t>
      </w:r>
      <w:r w:rsidR="004443D3">
        <w:rPr>
          <w:color w:val="000000" w:themeColor="text1"/>
        </w:rPr>
        <w:t>s</w:t>
      </w:r>
      <w:r w:rsidRPr="00C462C5">
        <w:rPr>
          <w:color w:val="000000" w:themeColor="text1"/>
        </w:rPr>
        <w:t xml:space="preserve"> into a solvency problem, generating bank runs and a</w:t>
      </w:r>
      <w:r w:rsidR="004443D3">
        <w:rPr>
          <w:color w:val="000000" w:themeColor="text1"/>
        </w:rPr>
        <w:t xml:space="preserve"> credit </w:t>
      </w:r>
      <w:r w:rsidRPr="00C462C5">
        <w:rPr>
          <w:color w:val="000000" w:themeColor="text1"/>
        </w:rPr>
        <w:t>contraction to the real economy</w:t>
      </w:r>
      <w:r w:rsidR="00494F43">
        <w:rPr>
          <w:color w:val="000000" w:themeColor="text1"/>
        </w:rPr>
        <w:t xml:space="preserve"> </w:t>
      </w:r>
      <w:r w:rsidR="00494F43" w:rsidRPr="00494F43">
        <w:rPr>
          <w:color w:val="000000" w:themeColor="text1"/>
        </w:rPr>
        <w:t>(Diamond and Dybvig 1983)</w:t>
      </w:r>
      <w:r w:rsidRPr="00C462C5">
        <w:rPr>
          <w:color w:val="000000" w:themeColor="text1"/>
        </w:rPr>
        <w:t>.</w:t>
      </w:r>
      <w:bookmarkEnd w:id="7"/>
    </w:p>
    <w:p w14:paraId="62C620F7" w14:textId="24C4D0A1" w:rsidR="00643BF1" w:rsidRPr="00E12F2C" w:rsidRDefault="00630BDE" w:rsidP="00E12F2C">
      <w:pPr>
        <w:spacing w:line="360" w:lineRule="auto"/>
        <w:ind w:firstLine="720"/>
        <w:jc w:val="both"/>
        <w:outlineLvl w:val="1"/>
        <w:rPr>
          <w:color w:val="000000" w:themeColor="text1"/>
        </w:rPr>
      </w:pPr>
      <w:bookmarkStart w:id="8" w:name="_Toc228979520"/>
      <w:r w:rsidRPr="00630BDE">
        <w:rPr>
          <w:color w:val="000000" w:themeColor="text1"/>
        </w:rPr>
        <w:t xml:space="preserve">Lastly, </w:t>
      </w:r>
      <w:r w:rsidRPr="00630BDE">
        <w:rPr>
          <w:i/>
          <w:iCs/>
          <w:color w:val="000000" w:themeColor="text1"/>
        </w:rPr>
        <w:t>information asymmetry</w:t>
      </w:r>
      <w:r w:rsidRPr="00630BDE">
        <w:rPr>
          <w:color w:val="000000" w:themeColor="text1"/>
        </w:rPr>
        <w:t xml:space="preserve"> </w:t>
      </w:r>
      <w:bookmarkEnd w:id="8"/>
      <w:r w:rsidR="000B1C62" w:rsidRPr="000B1C62">
        <w:rPr>
          <w:color w:val="000000" w:themeColor="text1"/>
        </w:rPr>
        <w:t>contributes to financial fragility. In normal times, financial claims appear safe, but during stress they become highly information-sensitive, leading investors to reassess risk and shift toward liquid assets, which can freeze markets (Gorton and Ordoñez 2014). It also explains why risks are underestimated during booms, as investors believe that “</w:t>
      </w:r>
      <w:r w:rsidR="000B1C62" w:rsidRPr="004D0F33">
        <w:rPr>
          <w:i/>
          <w:iCs/>
          <w:color w:val="000000" w:themeColor="text1"/>
        </w:rPr>
        <w:t>this time is different</w:t>
      </w:r>
      <w:r w:rsidR="000B1C62" w:rsidRPr="000B1C62">
        <w:rPr>
          <w:color w:val="000000" w:themeColor="text1"/>
        </w:rPr>
        <w:t>” (Reinhart and Rogoff 2009). Herd behavior, informational cascades, and limits to arbitrage further push asset prices away from fundamentals (Brunnermeier 2001). When perceptions change, prices adjust rapidly, triggering fire sales, funding shortages, and spillovers to the financial system (Kose and Claessens 2013).</w:t>
      </w:r>
      <w:bookmarkStart w:id="9" w:name="_Toc228979521"/>
    </w:p>
    <w:p w14:paraId="0092030F" w14:textId="008754A0" w:rsidR="00B75F62" w:rsidRDefault="00051136" w:rsidP="00B75F62">
      <w:pPr>
        <w:spacing w:line="360" w:lineRule="auto"/>
        <w:outlineLvl w:val="0"/>
        <w:rPr>
          <w:b/>
          <w:bCs/>
          <w:kern w:val="36"/>
          <w:sz w:val="48"/>
          <w:szCs w:val="48"/>
        </w:rPr>
      </w:pPr>
      <w:r w:rsidRPr="00237C37">
        <w:rPr>
          <w:b/>
          <w:bCs/>
          <w:kern w:val="36"/>
        </w:rPr>
        <w:t xml:space="preserve">4. The Role </w:t>
      </w:r>
      <w:r>
        <w:rPr>
          <w:b/>
          <w:bCs/>
          <w:kern w:val="36"/>
        </w:rPr>
        <w:t>o</w:t>
      </w:r>
      <w:r w:rsidRPr="00237C37">
        <w:rPr>
          <w:b/>
          <w:bCs/>
          <w:kern w:val="36"/>
        </w:rPr>
        <w:t>f Policymakers</w:t>
      </w:r>
      <w:r w:rsidRPr="00237C37">
        <w:rPr>
          <w:b/>
          <w:bCs/>
          <w:kern w:val="36"/>
          <w:sz w:val="48"/>
          <w:szCs w:val="48"/>
        </w:rPr>
        <w:t xml:space="preserve">  </w:t>
      </w:r>
      <w:bookmarkEnd w:id="9"/>
    </w:p>
    <w:p w14:paraId="4CFD0966" w14:textId="44685262" w:rsidR="004D0F33" w:rsidRPr="004D0F33" w:rsidRDefault="004D0F33" w:rsidP="004D0F33">
      <w:pPr>
        <w:spacing w:line="360" w:lineRule="auto"/>
        <w:ind w:firstLine="720"/>
        <w:jc w:val="both"/>
        <w:outlineLvl w:val="0"/>
        <w:rPr>
          <w:kern w:val="36"/>
        </w:rPr>
      </w:pPr>
      <w:r w:rsidRPr="004D0F33">
        <w:rPr>
          <w:kern w:val="36"/>
        </w:rPr>
        <w:t>Policymakers</w:t>
      </w:r>
      <w:r w:rsidR="00A51A99">
        <w:rPr>
          <w:kern w:val="36"/>
        </w:rPr>
        <w:t xml:space="preserve"> </w:t>
      </w:r>
      <w:r w:rsidRPr="004D0F33">
        <w:rPr>
          <w:kern w:val="36"/>
        </w:rPr>
        <w:t xml:space="preserve"> are expected to regulate credit, limit leverage, and prevent asset price bubbles</w:t>
      </w:r>
      <w:r w:rsidR="00A51A99">
        <w:rPr>
          <w:kern w:val="36"/>
        </w:rPr>
        <w:t xml:space="preserve"> </w:t>
      </w:r>
      <w:r w:rsidR="004F69DF">
        <w:rPr>
          <w:kern w:val="36"/>
        </w:rPr>
        <w:t>before</w:t>
      </w:r>
      <w:r w:rsidR="00A51A99">
        <w:rPr>
          <w:kern w:val="36"/>
        </w:rPr>
        <w:t xml:space="preserve"> financial crises</w:t>
      </w:r>
      <w:r w:rsidRPr="004D0F33">
        <w:rPr>
          <w:kern w:val="36"/>
        </w:rPr>
        <w:t>. However, identifying the timing and scale of intervention</w:t>
      </w:r>
      <w:r w:rsidR="00A51A99">
        <w:rPr>
          <w:kern w:val="36"/>
        </w:rPr>
        <w:t xml:space="preserve"> is highly challen</w:t>
      </w:r>
      <w:r w:rsidR="004F69DF">
        <w:rPr>
          <w:kern w:val="36"/>
        </w:rPr>
        <w:t>g</w:t>
      </w:r>
      <w:r w:rsidR="00A51A99">
        <w:rPr>
          <w:kern w:val="36"/>
        </w:rPr>
        <w:t>ing</w:t>
      </w:r>
      <w:r w:rsidRPr="004D0F33">
        <w:rPr>
          <w:kern w:val="36"/>
        </w:rPr>
        <w:t xml:space="preserve">. While policymakers often understand the sources of financial instability, they frequently fail to act decisively to prevent its build-up. A key constraint arises from </w:t>
      </w:r>
      <w:r w:rsidRPr="004D0F33">
        <w:rPr>
          <w:i/>
          <w:iCs/>
          <w:kern w:val="36"/>
        </w:rPr>
        <w:lastRenderedPageBreak/>
        <w:t>informational limitations</w:t>
      </w:r>
      <w:r w:rsidRPr="004D0F33">
        <w:rPr>
          <w:kern w:val="36"/>
        </w:rPr>
        <w:t>. Identifying asset price bubbles in real time is difficult, as price increases may reflect either improving fundamentals or speculative dynamics. This uncertainty makes it hard to justify early intervention, especially without clear empirical signals.</w:t>
      </w:r>
      <w:r w:rsidR="005B38C7">
        <w:rPr>
          <w:kern w:val="36"/>
        </w:rPr>
        <w:t xml:space="preserve"> Thus</w:t>
      </w:r>
      <w:r w:rsidRPr="004D0F33">
        <w:rPr>
          <w:kern w:val="36"/>
        </w:rPr>
        <w:t>, financial imbalances are often recognised only ex post, when vulnerabilities have already accumulated and are harder to contain.</w:t>
      </w:r>
    </w:p>
    <w:p w14:paraId="1060B19B" w14:textId="2D63C531" w:rsidR="002D5490" w:rsidRDefault="0099772E" w:rsidP="0099772E">
      <w:pPr>
        <w:jc w:val="both"/>
        <w:rPr>
          <w:rStyle w:val="Strong"/>
          <w:rFonts w:eastAsiaTheme="majorEastAsia"/>
          <w:i/>
          <w:iCs/>
          <w:color w:val="000000"/>
          <w:sz w:val="18"/>
          <w:szCs w:val="18"/>
        </w:rPr>
      </w:pPr>
      <w:r>
        <w:rPr>
          <w:rFonts w:eastAsiaTheme="majorEastAsia"/>
          <w:b/>
          <w:bCs/>
          <w:i/>
          <w:iCs/>
          <w:noProof/>
          <w:color w:val="000000"/>
          <w:sz w:val="18"/>
          <w:szCs w:val="18"/>
          <w14:ligatures w14:val="standardContextual"/>
        </w:rPr>
        <w:drawing>
          <wp:inline distT="0" distB="0" distL="0" distR="0" wp14:anchorId="699BFFF4" wp14:editId="6B9C5706">
            <wp:extent cx="4881418" cy="3106455"/>
            <wp:effectExtent l="0" t="0" r="0" b="0"/>
            <wp:docPr id="386217230" name="Picture 16" descr="A graph with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17230" name="Picture 16" descr="A graph with lines on 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12619" cy="3126311"/>
                    </a:xfrm>
                    <a:prstGeom prst="rect">
                      <a:avLst/>
                    </a:prstGeom>
                  </pic:spPr>
                </pic:pic>
              </a:graphicData>
            </a:graphic>
          </wp:inline>
        </w:drawing>
      </w:r>
    </w:p>
    <w:p w14:paraId="1FB8D243" w14:textId="3727E3F3" w:rsidR="000B2FD4" w:rsidRDefault="002B5035" w:rsidP="0099772E">
      <w:pPr>
        <w:spacing w:line="360" w:lineRule="auto"/>
        <w:jc w:val="both"/>
        <w:rPr>
          <w:rStyle w:val="apple-converted-space"/>
          <w:rFonts w:eastAsiaTheme="majorEastAsia"/>
          <w:i/>
          <w:iCs/>
          <w:color w:val="000000"/>
          <w:sz w:val="18"/>
          <w:szCs w:val="18"/>
        </w:rPr>
      </w:pPr>
      <w:r w:rsidRPr="00872707">
        <w:rPr>
          <w:rStyle w:val="Strong"/>
          <w:rFonts w:eastAsiaTheme="majorEastAsia"/>
          <w:i/>
          <w:iCs/>
          <w:color w:val="000000"/>
          <w:sz w:val="18"/>
          <w:szCs w:val="18"/>
        </w:rPr>
        <w:t xml:space="preserve">Figure </w:t>
      </w:r>
      <w:r w:rsidRPr="00872707">
        <w:rPr>
          <w:rStyle w:val="Strong"/>
          <w:i/>
          <w:iCs/>
          <w:color w:val="000000"/>
          <w:sz w:val="18"/>
          <w:szCs w:val="18"/>
        </w:rPr>
        <w:t>3</w:t>
      </w:r>
      <w:r w:rsidRPr="00872707">
        <w:rPr>
          <w:rStyle w:val="Strong"/>
          <w:rFonts w:eastAsiaTheme="majorEastAsia"/>
          <w:i/>
          <w:iCs/>
          <w:color w:val="000000"/>
          <w:sz w:val="18"/>
          <w:szCs w:val="18"/>
        </w:rPr>
        <w:t xml:space="preserve">. </w:t>
      </w:r>
      <w:r w:rsidRPr="00872707">
        <w:rPr>
          <w:rStyle w:val="Strong"/>
          <w:rFonts w:eastAsiaTheme="majorEastAsia"/>
          <w:b w:val="0"/>
          <w:bCs w:val="0"/>
          <w:i/>
          <w:iCs/>
          <w:color w:val="000000"/>
          <w:sz w:val="18"/>
          <w:szCs w:val="18"/>
        </w:rPr>
        <w:t>Monetary policy and the pre-crisis boom.</w:t>
      </w:r>
      <w:r w:rsidRPr="00872707">
        <w:rPr>
          <w:rStyle w:val="apple-converted-space"/>
          <w:rFonts w:eastAsiaTheme="majorEastAsia"/>
          <w:i/>
          <w:iCs/>
          <w:color w:val="000000"/>
          <w:sz w:val="18"/>
          <w:szCs w:val="18"/>
        </w:rPr>
        <w:t> </w:t>
      </w:r>
    </w:p>
    <w:p w14:paraId="2775C545" w14:textId="262B0B3C" w:rsidR="003968F7" w:rsidRPr="00237C37" w:rsidRDefault="00AC7292" w:rsidP="0099772E">
      <w:pPr>
        <w:spacing w:line="360" w:lineRule="auto"/>
        <w:jc w:val="both"/>
      </w:pPr>
      <w:r w:rsidRPr="00AC7292">
        <w:rPr>
          <w:i/>
          <w:iCs/>
        </w:rPr>
        <w:t xml:space="preserve">Figure </w:t>
      </w:r>
      <w:r w:rsidRPr="00AC7292">
        <w:t>3 shows that the effective federal funds rate was low in 2003</w:t>
      </w:r>
      <w:r w:rsidR="0044706F">
        <w:t>-</w:t>
      </w:r>
      <w:r w:rsidRPr="00AC7292">
        <w:t>2004, then rose to about 5.25% by 2006 and remained near that level into 2007. The chart shows the timing of rate changes; it cannot establish whether interest rates caused the housing boom</w:t>
      </w:r>
      <w:r w:rsidRPr="00AC7292">
        <w:rPr>
          <w:i/>
          <w:iCs/>
        </w:rPr>
        <w:t>.</w:t>
      </w:r>
      <w:r>
        <w:rPr>
          <w:i/>
          <w:iCs/>
        </w:rPr>
        <w:t xml:space="preserve"> </w:t>
      </w:r>
      <w:r w:rsidR="003968F7" w:rsidRPr="003968F7">
        <w:t>Even when Keynesian and Minskyan insights gained prominence after the crisis, they were incorporated in a depoliticised way, preserving pre-crisis frameworks</w:t>
      </w:r>
      <w:r w:rsidR="005517B7">
        <w:t xml:space="preserve">, </w:t>
      </w:r>
      <w:r w:rsidR="003968F7" w:rsidRPr="003968F7">
        <w:t>le</w:t>
      </w:r>
      <w:r w:rsidR="005517B7">
        <w:t>a</w:t>
      </w:r>
      <w:r w:rsidR="003968F7" w:rsidRPr="003968F7">
        <w:t>d</w:t>
      </w:r>
      <w:r w:rsidR="005517B7">
        <w:t>ing</w:t>
      </w:r>
      <w:r w:rsidR="003968F7" w:rsidRPr="003968F7">
        <w:t xml:space="preserve"> scholars to describe the post-crisis period as a “</w:t>
      </w:r>
      <w:r w:rsidR="003968F7" w:rsidRPr="003968F7">
        <w:rPr>
          <w:i/>
          <w:iCs/>
        </w:rPr>
        <w:t>status quo crisis</w:t>
      </w:r>
      <w:r w:rsidR="003968F7" w:rsidRPr="003968F7">
        <w:t xml:space="preserve">,” </w:t>
      </w:r>
      <w:r w:rsidR="003968F7">
        <w:t xml:space="preserve">where </w:t>
      </w:r>
      <w:r w:rsidR="003968F7" w:rsidRPr="003968F7">
        <w:t>financial instability persists despite greater awareness of systemic risks (Levingston 2020).</w:t>
      </w:r>
    </w:p>
    <w:p w14:paraId="6C01A6B9" w14:textId="2F55AF2B" w:rsidR="003F7FCE" w:rsidRPr="00495BF0" w:rsidRDefault="0027362F" w:rsidP="00151C59">
      <w:pPr>
        <w:spacing w:line="360" w:lineRule="auto"/>
        <w:ind w:firstLine="720"/>
        <w:jc w:val="both"/>
      </w:pPr>
      <w:r w:rsidRPr="0027362F">
        <w:t xml:space="preserve">Policymakers may fail to intervene during financial booms due to the structure of </w:t>
      </w:r>
      <w:r w:rsidRPr="00051136">
        <w:rPr>
          <w:i/>
          <w:iCs/>
        </w:rPr>
        <w:t>political incentives</w:t>
      </w:r>
      <w:r w:rsidRPr="0027362F">
        <w:t xml:space="preserve"> and the difficulty of identifying asset bubbles in real time.  Downs</w:t>
      </w:r>
      <w:r w:rsidR="00151C59">
        <w:t xml:space="preserve"> argues that </w:t>
      </w:r>
      <w:r w:rsidRPr="0027362F">
        <w:t>political actors are primarily motivated by electoral considerations</w:t>
      </w:r>
      <w:r w:rsidR="00151C59">
        <w:t xml:space="preserve">, </w:t>
      </w:r>
      <w:r w:rsidRPr="0027362F">
        <w:t>prioritis</w:t>
      </w:r>
      <w:r w:rsidR="00151C59">
        <w:t>ing</w:t>
      </w:r>
      <w:r w:rsidRPr="0027362F">
        <w:t xml:space="preserve"> policies that maximise short-term support rather than long-term stability</w:t>
      </w:r>
      <w:r w:rsidR="00494F43">
        <w:t xml:space="preserve"> (Downs 1957)</w:t>
      </w:r>
      <w:r w:rsidR="00C462C5">
        <w:t>.</w:t>
      </w:r>
      <w:r w:rsidR="00494F43">
        <w:t xml:space="preserve"> </w:t>
      </w:r>
      <w:r w:rsidR="00151C59">
        <w:t>P</w:t>
      </w:r>
      <w:r w:rsidRPr="0027362F">
        <w:t>eriods of economic expansio</w:t>
      </w:r>
      <w:r w:rsidR="00C462C5">
        <w:t xml:space="preserve">n </w:t>
      </w:r>
      <w:r w:rsidRPr="0027362F">
        <w:t xml:space="preserve">are politically rewarding, as they are associated with employment gains and positive economic sentiment. Conversely, restrictive measures </w:t>
      </w:r>
      <w:r w:rsidR="00494F43">
        <w:t xml:space="preserve">to </w:t>
      </w:r>
      <w:r w:rsidRPr="0027362F">
        <w:t>contain financial imbalances, such as tightening credit conditions or increasing regulation, are often perceived as costly and unpopular.</w:t>
      </w:r>
      <w:r w:rsidR="00C462C5">
        <w:t xml:space="preserve"> </w:t>
      </w:r>
      <w:r w:rsidR="0050570B">
        <w:t>P</w:t>
      </w:r>
      <w:r w:rsidRPr="0027362F">
        <w:t xml:space="preserve">olicymakers </w:t>
      </w:r>
      <w:r w:rsidR="0050570B">
        <w:t xml:space="preserve">are thus encouraged </w:t>
      </w:r>
      <w:r w:rsidRPr="0027362F">
        <w:t xml:space="preserve">to delay intervention during booms, </w:t>
      </w:r>
      <w:r w:rsidR="004F69DF" w:rsidRPr="004F69DF">
        <w:t xml:space="preserve">allowing vulnerabilities to accumulate </w:t>
      </w:r>
      <w:r w:rsidRPr="0027362F">
        <w:t>until they materialise in the form of systemic crises.</w:t>
      </w:r>
    </w:p>
    <w:p w14:paraId="65A6A9AF" w14:textId="05A8C84E" w:rsidR="005E73CD" w:rsidRDefault="00051136" w:rsidP="005E73CD">
      <w:pPr>
        <w:spacing w:line="360" w:lineRule="auto"/>
        <w:ind w:firstLine="720"/>
        <w:jc w:val="both"/>
        <w:outlineLvl w:val="2"/>
        <w:rPr>
          <w:b/>
          <w:bCs/>
        </w:rPr>
      </w:pPr>
      <w:r w:rsidRPr="00051136">
        <w:rPr>
          <w:color w:val="000000"/>
        </w:rPr>
        <w:lastRenderedPageBreak/>
        <w:t>Also,</w:t>
      </w:r>
      <w:r>
        <w:rPr>
          <w:i/>
          <w:iCs/>
          <w:color w:val="000000"/>
        </w:rPr>
        <w:t xml:space="preserve"> r</w:t>
      </w:r>
      <w:r w:rsidR="00C462C5" w:rsidRPr="00051136">
        <w:rPr>
          <w:i/>
          <w:iCs/>
          <w:color w:val="000000"/>
        </w:rPr>
        <w:t>egulatory capture</w:t>
      </w:r>
      <w:r w:rsidR="00C462C5" w:rsidRPr="00C462C5">
        <w:rPr>
          <w:color w:val="000000"/>
        </w:rPr>
        <w:t xml:space="preserve"> constrains policymakers’ ability to intervene effectively. </w:t>
      </w:r>
      <w:r w:rsidR="003600B6" w:rsidRPr="003600B6">
        <w:rPr>
          <w:color w:val="000000"/>
        </w:rPr>
        <w:t>Financial institutions, benefit</w:t>
      </w:r>
      <w:r w:rsidR="002D5490">
        <w:rPr>
          <w:color w:val="000000"/>
        </w:rPr>
        <w:t>ing</w:t>
      </w:r>
      <w:r w:rsidR="003600B6" w:rsidRPr="003600B6">
        <w:rPr>
          <w:color w:val="000000"/>
        </w:rPr>
        <w:t xml:space="preserve"> from asset price growth, have strong incentives to resist regulatory tightening during booms. Through lobbying and influence on the policy process, they can shape regulation to limit restrictive measures. </w:t>
      </w:r>
      <w:r w:rsidR="00C462C5" w:rsidRPr="00C462C5">
        <w:rPr>
          <w:color w:val="000000"/>
        </w:rPr>
        <w:t>Stigler’s theory of regulation can be applied to financial markets to explain how regulatory outcomes may reflect the interests of the regulated industry rather than those of the broader public</w:t>
      </w:r>
      <w:r w:rsidR="00494F43">
        <w:rPr>
          <w:color w:val="000000"/>
        </w:rPr>
        <w:t xml:space="preserve"> (Stigler 1971)</w:t>
      </w:r>
      <w:r w:rsidR="00C462C5" w:rsidRPr="00C462C5">
        <w:rPr>
          <w:color w:val="000000"/>
        </w:rPr>
        <w:t>. Similarly, Tullock’s analysis of rent-seeking helps explain how financial actors expend real resources to obtain or preserve favourable regulatory treatment, generating social costs that extend beyond standard efficiency losses</w:t>
      </w:r>
      <w:r w:rsidR="00151C59">
        <w:rPr>
          <w:color w:val="000000"/>
        </w:rPr>
        <w:t xml:space="preserve"> (Tullock 1967)</w:t>
      </w:r>
      <w:r w:rsidR="00C462C5" w:rsidRPr="00C462C5">
        <w:rPr>
          <w:color w:val="000000"/>
        </w:rPr>
        <w:t xml:space="preserve">. </w:t>
      </w:r>
      <w:r w:rsidR="00066DDE">
        <w:rPr>
          <w:color w:val="000000"/>
        </w:rPr>
        <w:t>E</w:t>
      </w:r>
      <w:r w:rsidR="00C462C5" w:rsidRPr="00C462C5">
        <w:rPr>
          <w:color w:val="000000"/>
        </w:rPr>
        <w:t>xpected bailouts, regulatory forbearance, and implicit guarantees can be interpreted as rents, encouraging excessive risk-taking.</w:t>
      </w:r>
      <w:r w:rsidR="005517B7" w:rsidRPr="005517B7">
        <w:rPr>
          <w:rFonts w:ascii="-webkit-standard" w:hAnsi="-webkit-standard"/>
          <w:color w:val="000000"/>
          <w:sz w:val="27"/>
          <w:szCs w:val="27"/>
        </w:rPr>
        <w:t xml:space="preserve"> </w:t>
      </w:r>
    </w:p>
    <w:p w14:paraId="1D0A0F95" w14:textId="7A17D28F" w:rsidR="00231399" w:rsidRPr="00237C37" w:rsidRDefault="005E73CD" w:rsidP="005E73CD">
      <w:pPr>
        <w:spacing w:line="360" w:lineRule="auto"/>
        <w:ind w:firstLine="720"/>
        <w:jc w:val="both"/>
        <w:outlineLvl w:val="2"/>
        <w:rPr>
          <w:b/>
          <w:bCs/>
        </w:rPr>
      </w:pPr>
      <w:r w:rsidRPr="005E73CD">
        <w:rPr>
          <w:color w:val="000000"/>
        </w:rPr>
        <w:t xml:space="preserve">Furthermore, policymakers’ </w:t>
      </w:r>
      <w:r w:rsidRPr="005E73CD">
        <w:rPr>
          <w:i/>
          <w:iCs/>
          <w:color w:val="000000"/>
        </w:rPr>
        <w:t>beliefs</w:t>
      </w:r>
      <w:r w:rsidRPr="005E73CD">
        <w:rPr>
          <w:color w:val="000000"/>
        </w:rPr>
        <w:t xml:space="preserve"> about how markets function shape intervention decisions. </w:t>
      </w:r>
      <w:r w:rsidR="000B1C62">
        <w:rPr>
          <w:color w:val="000000"/>
        </w:rPr>
        <w:t>S</w:t>
      </w:r>
      <w:r w:rsidRPr="005E73CD">
        <w:rPr>
          <w:color w:val="000000"/>
        </w:rPr>
        <w:t>trong confidence in market self-regulation and financial efficiency can reduce the perceived need for early action</w:t>
      </w:r>
      <w:r w:rsidR="000B1C62">
        <w:rPr>
          <w:color w:val="000000"/>
        </w:rPr>
        <w:t>, leading policymakers to underestimate systemic risks during boom periods.</w:t>
      </w:r>
      <w:r w:rsidR="004D0F33">
        <w:rPr>
          <w:color w:val="000000"/>
        </w:rPr>
        <w:t xml:space="preserve"> </w:t>
      </w:r>
      <w:r w:rsidR="004F69DF" w:rsidRPr="004F69DF">
        <w:rPr>
          <w:color w:val="000000"/>
        </w:rPr>
        <w:t>This reflects a simplified reading of classical economics, where markets are assumed to allocate resources efficiently. While Smith emphasised the coordinating role of markets and self-interest in resource allocation, applying this logic too mechanically to modern financial systems can lead policymakers to underestimate the risks created by credit expansion, leverage, and financial innovation (Smith 1776).</w:t>
      </w:r>
      <w:r w:rsidR="004F69DF">
        <w:rPr>
          <w:color w:val="000000"/>
        </w:rPr>
        <w:t xml:space="preserve"> </w:t>
      </w:r>
      <w:r w:rsidR="00231399" w:rsidRPr="005E73CD">
        <w:rPr>
          <w:color w:val="000000"/>
        </w:rPr>
        <w:t>In modern financial markets, this tension is exacerbated by the complexity of financial instruments and the increasing role of leverage</w:t>
      </w:r>
      <w:r w:rsidR="003600B6">
        <w:rPr>
          <w:color w:val="000000"/>
        </w:rPr>
        <w:t>.</w:t>
      </w:r>
      <w:r w:rsidR="000B1C62">
        <w:rPr>
          <w:color w:val="000000"/>
        </w:rPr>
        <w:t xml:space="preserve"> </w:t>
      </w:r>
    </w:p>
    <w:p w14:paraId="18E66887" w14:textId="176A82D4" w:rsidR="00643BF1" w:rsidRPr="00643BF1" w:rsidRDefault="005E73CD" w:rsidP="00643BF1">
      <w:pPr>
        <w:spacing w:line="360" w:lineRule="auto"/>
        <w:ind w:firstLine="720"/>
        <w:jc w:val="both"/>
        <w:rPr>
          <w:color w:val="000000"/>
        </w:rPr>
      </w:pPr>
      <w:r w:rsidRPr="00872707">
        <w:t xml:space="preserve">Finally, </w:t>
      </w:r>
      <w:r w:rsidR="00872707">
        <w:rPr>
          <w:color w:val="000000"/>
        </w:rPr>
        <w:t>e</w:t>
      </w:r>
      <w:r w:rsidRPr="00872707">
        <w:rPr>
          <w:color w:val="000000"/>
        </w:rPr>
        <w:t xml:space="preserve">ven when risks are recognised, policymakers may be reluctant to intervene due to the </w:t>
      </w:r>
      <w:r w:rsidRPr="00872707">
        <w:rPr>
          <w:i/>
          <w:iCs/>
          <w:color w:val="000000"/>
        </w:rPr>
        <w:t>economic and political costs</w:t>
      </w:r>
      <w:r w:rsidRPr="00872707">
        <w:rPr>
          <w:color w:val="000000"/>
        </w:rPr>
        <w:t xml:space="preserve"> associated with restrictive measures.</w:t>
      </w:r>
      <w:r w:rsidR="00872707" w:rsidRPr="00872707">
        <w:rPr>
          <w:color w:val="000000"/>
        </w:rPr>
        <w:t xml:space="preserve"> Limiting credit expansion or tightening financial regulation during boom periods can slow economic growth and generate negative short-term effects, making such policies politically costly. </w:t>
      </w:r>
      <w:r w:rsidR="003600B6">
        <w:rPr>
          <w:color w:val="000000"/>
        </w:rPr>
        <w:t>I</w:t>
      </w:r>
      <w:r w:rsidR="00872707" w:rsidRPr="00872707">
        <w:rPr>
          <w:color w:val="000000"/>
        </w:rPr>
        <w:t xml:space="preserve">ntervention involves uncertainty, as policymakers </w:t>
      </w:r>
      <w:r w:rsidR="003600B6">
        <w:rPr>
          <w:color w:val="000000"/>
        </w:rPr>
        <w:t xml:space="preserve">might </w:t>
      </w:r>
      <w:r w:rsidR="00872707" w:rsidRPr="00872707">
        <w:rPr>
          <w:color w:val="000000"/>
        </w:rPr>
        <w:t xml:space="preserve">act too early </w:t>
      </w:r>
      <w:r w:rsidR="00494F43">
        <w:rPr>
          <w:color w:val="000000"/>
        </w:rPr>
        <w:t xml:space="preserve">and </w:t>
      </w:r>
      <w:r w:rsidR="00872707" w:rsidRPr="00872707">
        <w:rPr>
          <w:color w:val="000000"/>
        </w:rPr>
        <w:t xml:space="preserve">misidentify asset bubbles. This creates a bias toward inaction, particularly </w:t>
      </w:r>
      <w:r w:rsidR="00494F43">
        <w:rPr>
          <w:color w:val="000000"/>
        </w:rPr>
        <w:t>when</w:t>
      </w:r>
      <w:r w:rsidR="00872707" w:rsidRPr="00872707">
        <w:rPr>
          <w:color w:val="000000"/>
        </w:rPr>
        <w:t xml:space="preserve"> the benefits of expansion are immediate while the costs of instability are delayed. </w:t>
      </w:r>
      <w:r w:rsidR="003600B6">
        <w:rPr>
          <w:color w:val="000000"/>
        </w:rPr>
        <w:t>I</w:t>
      </w:r>
      <w:r w:rsidR="00872707" w:rsidRPr="00872707">
        <w:rPr>
          <w:color w:val="000000"/>
        </w:rPr>
        <w:t>ntervention may</w:t>
      </w:r>
      <w:r w:rsidR="003600B6">
        <w:rPr>
          <w:color w:val="000000"/>
        </w:rPr>
        <w:t xml:space="preserve"> also</w:t>
      </w:r>
      <w:r w:rsidR="00872707" w:rsidRPr="00872707">
        <w:rPr>
          <w:color w:val="000000"/>
        </w:rPr>
        <w:t xml:space="preserve"> </w:t>
      </w:r>
      <w:r w:rsidR="003600B6">
        <w:rPr>
          <w:color w:val="000000"/>
        </w:rPr>
        <w:t xml:space="preserve">fuel </w:t>
      </w:r>
      <w:r w:rsidR="00872707" w:rsidRPr="005517B7">
        <w:rPr>
          <w:i/>
          <w:iCs/>
          <w:color w:val="000000"/>
        </w:rPr>
        <w:t>moral hazard</w:t>
      </w:r>
      <w:r w:rsidR="00872707" w:rsidRPr="00872707">
        <w:rPr>
          <w:color w:val="000000"/>
        </w:rPr>
        <w:t>, as regulatory actions or anticipated bailouts can alter incentives and encourage further risk-taking.</w:t>
      </w:r>
      <w:r w:rsidR="00872707">
        <w:rPr>
          <w:color w:val="000000"/>
        </w:rPr>
        <w:t xml:space="preserve"> </w:t>
      </w:r>
      <w:bookmarkStart w:id="10" w:name="_Toc228979529"/>
    </w:p>
    <w:p w14:paraId="390396EC" w14:textId="65EB8F54" w:rsidR="005517B7" w:rsidRDefault="000B2FD4" w:rsidP="00643BF1">
      <w:pPr>
        <w:spacing w:line="360" w:lineRule="auto"/>
        <w:outlineLvl w:val="0"/>
        <w:rPr>
          <w:b/>
          <w:bCs/>
          <w:kern w:val="36"/>
        </w:rPr>
      </w:pPr>
      <w:r w:rsidRPr="00237C37">
        <w:rPr>
          <w:b/>
          <w:bCs/>
          <w:kern w:val="36"/>
        </w:rPr>
        <w:t xml:space="preserve">5. Empirical Illustrations </w:t>
      </w:r>
      <w:bookmarkEnd w:id="10"/>
    </w:p>
    <w:p w14:paraId="4ECF6D3E" w14:textId="691C0CC0" w:rsidR="00481AC2" w:rsidRPr="00237C37" w:rsidRDefault="005517B7" w:rsidP="00066DDE">
      <w:pPr>
        <w:spacing w:line="360" w:lineRule="auto"/>
        <w:ind w:firstLine="720"/>
        <w:jc w:val="both"/>
        <w:outlineLvl w:val="0"/>
        <w:rPr>
          <w:color w:val="000000"/>
        </w:rPr>
      </w:pPr>
      <w:r w:rsidRPr="005517B7">
        <w:rPr>
          <w:kern w:val="36"/>
        </w:rPr>
        <w:t>T</w:t>
      </w:r>
      <w:r>
        <w:rPr>
          <w:color w:val="000000"/>
        </w:rPr>
        <w:t xml:space="preserve">he interaction between financial dynamics and policymaking </w:t>
      </w:r>
      <w:r w:rsidR="003600B6">
        <w:rPr>
          <w:color w:val="000000"/>
        </w:rPr>
        <w:t xml:space="preserve">is </w:t>
      </w:r>
      <w:r>
        <w:rPr>
          <w:color w:val="000000"/>
        </w:rPr>
        <w:t xml:space="preserve">illustrated </w:t>
      </w:r>
      <w:r w:rsidR="003600B6">
        <w:rPr>
          <w:color w:val="000000"/>
        </w:rPr>
        <w:t xml:space="preserve">by </w:t>
      </w:r>
      <w:r>
        <w:rPr>
          <w:color w:val="000000"/>
        </w:rPr>
        <w:t xml:space="preserve">the Global Financial Crisis (2007–2009) and the Asian Financial Crisis (1997–98). The Global Financial Crisis demonstrates how instability emerges from credit booms, leverage, and asset price bubbles. In the United States, rising housing prices and easy credit increased household borrowing, while financial institutions expanded leverage through securitisation and short-term </w:t>
      </w:r>
      <w:r>
        <w:rPr>
          <w:color w:val="000000"/>
        </w:rPr>
        <w:lastRenderedPageBreak/>
        <w:t>funding. When housing prices fell, balance sheets weakened and funding markets froze, triggering systemic crisis (Bernanke 2015; Gorton 2010).</w:t>
      </w:r>
      <w:r w:rsidR="004F69DF">
        <w:rPr>
          <w:color w:val="000000"/>
        </w:rPr>
        <w:t xml:space="preserve"> </w:t>
      </w:r>
    </w:p>
    <w:p w14:paraId="63013AC9" w14:textId="6A6D047E" w:rsidR="00DA409B" w:rsidRDefault="00066DDE" w:rsidP="002D5490">
      <w:pPr>
        <w:spacing w:line="360" w:lineRule="auto"/>
      </w:pPr>
      <w:r>
        <w:rPr>
          <w:noProof/>
          <w14:ligatures w14:val="standardContextual"/>
        </w:rPr>
        <w:drawing>
          <wp:inline distT="0" distB="0" distL="0" distR="0" wp14:anchorId="7352451E" wp14:editId="20B34293">
            <wp:extent cx="4862945" cy="3094699"/>
            <wp:effectExtent l="0" t="0" r="0" b="0"/>
            <wp:docPr id="74116340" name="Picture 13" descr="A graph with white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6340" name="Picture 13" descr="A graph with white text on i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10365" cy="3124876"/>
                    </a:xfrm>
                    <a:prstGeom prst="rect">
                      <a:avLst/>
                    </a:prstGeom>
                  </pic:spPr>
                </pic:pic>
              </a:graphicData>
            </a:graphic>
          </wp:inline>
        </w:drawing>
      </w:r>
    </w:p>
    <w:p w14:paraId="30766F71" w14:textId="3539C75C" w:rsidR="00A5764A" w:rsidRDefault="00A5764A" w:rsidP="00066DDE">
      <w:pPr>
        <w:spacing w:line="360" w:lineRule="auto"/>
        <w:jc w:val="both"/>
        <w:rPr>
          <w:sz w:val="18"/>
          <w:szCs w:val="18"/>
        </w:rPr>
      </w:pPr>
      <w:r w:rsidRPr="00776636">
        <w:rPr>
          <w:b/>
          <w:bCs/>
          <w:i/>
          <w:iCs/>
          <w:sz w:val="18"/>
          <w:szCs w:val="18"/>
        </w:rPr>
        <w:t xml:space="preserve">Figure </w:t>
      </w:r>
      <w:r w:rsidR="002B5035" w:rsidRPr="00776636">
        <w:rPr>
          <w:b/>
          <w:bCs/>
          <w:i/>
          <w:iCs/>
          <w:sz w:val="18"/>
          <w:szCs w:val="18"/>
        </w:rPr>
        <w:t>4</w:t>
      </w:r>
      <w:r w:rsidRPr="00A5764A">
        <w:rPr>
          <w:b/>
          <w:bCs/>
          <w:sz w:val="18"/>
          <w:szCs w:val="18"/>
        </w:rPr>
        <w:t xml:space="preserve">. </w:t>
      </w:r>
      <w:r w:rsidRPr="003600B6">
        <w:rPr>
          <w:i/>
          <w:iCs/>
          <w:sz w:val="18"/>
          <w:szCs w:val="18"/>
        </w:rPr>
        <w:t>Real economy effects of the Global Financial Crisis.</w:t>
      </w:r>
      <w:r w:rsidRPr="00A5764A">
        <w:rPr>
          <w:sz w:val="18"/>
          <w:szCs w:val="18"/>
        </w:rPr>
        <w:t> </w:t>
      </w:r>
    </w:p>
    <w:p w14:paraId="69738DAD" w14:textId="10F3B26C" w:rsidR="00010CBE" w:rsidRDefault="00481AC2" w:rsidP="00066DDE">
      <w:pPr>
        <w:spacing w:line="360" w:lineRule="auto"/>
        <w:jc w:val="both"/>
        <w:rPr>
          <w:color w:val="000000"/>
        </w:rPr>
      </w:pPr>
      <w:r w:rsidRPr="00481AC2">
        <w:rPr>
          <w:color w:val="000000"/>
        </w:rPr>
        <w:t>The real effects of the crisis are visible in labour market dynamics</w:t>
      </w:r>
      <w:r w:rsidR="00010CBE">
        <w:rPr>
          <w:color w:val="000000"/>
        </w:rPr>
        <w:t xml:space="preserve">: </w:t>
      </w:r>
      <w:r w:rsidR="00010CBE" w:rsidRPr="00010CBE">
        <w:rPr>
          <w:i/>
          <w:iCs/>
          <w:color w:val="000000"/>
        </w:rPr>
        <w:t>Figure 4</w:t>
      </w:r>
      <w:r w:rsidR="00010CBE" w:rsidRPr="00010CBE">
        <w:rPr>
          <w:color w:val="000000"/>
        </w:rPr>
        <w:t xml:space="preserve"> shows the sharp rise in U.S. unemployment</w:t>
      </w:r>
      <w:r w:rsidR="002D5490">
        <w:rPr>
          <w:color w:val="000000"/>
        </w:rPr>
        <w:t xml:space="preserve">; </w:t>
      </w:r>
      <w:r w:rsidR="00010CBE" w:rsidRPr="00010CBE">
        <w:rPr>
          <w:color w:val="000000"/>
        </w:rPr>
        <w:t>financial shocks translated into persistent real economic costs (Hamdaoui et al. 2025).</w:t>
      </w:r>
      <w:r w:rsidR="004F69DF">
        <w:rPr>
          <w:color w:val="000000"/>
        </w:rPr>
        <w:t xml:space="preserve"> </w:t>
      </w:r>
      <w:r w:rsidR="003600B6">
        <w:rPr>
          <w:color w:val="000000"/>
        </w:rPr>
        <w:t xml:space="preserve"> </w:t>
      </w:r>
      <w:r w:rsidR="007E765D" w:rsidRPr="007E765D">
        <w:rPr>
          <w:color w:val="000000"/>
        </w:rPr>
        <w:t>The crisis illustrates how vulnerabilities that accumulated in private markets can become systemic and socially costly.</w:t>
      </w:r>
    </w:p>
    <w:p w14:paraId="11BB39D7" w14:textId="660ACC2F" w:rsidR="00237C37" w:rsidRPr="00237C37" w:rsidRDefault="007318FA" w:rsidP="002D5490">
      <w:r>
        <w:rPr>
          <w:noProof/>
          <w14:ligatures w14:val="standardContextual"/>
        </w:rPr>
        <w:drawing>
          <wp:inline distT="0" distB="0" distL="0" distR="0" wp14:anchorId="47481ECF" wp14:editId="617D7EA7">
            <wp:extent cx="4880792" cy="3106057"/>
            <wp:effectExtent l="0" t="0" r="0" b="0"/>
            <wp:docPr id="725718683" name="Picture 11" descr="A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18683" name="Picture 11" descr="A graph with whit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19729" cy="3130836"/>
                    </a:xfrm>
                    <a:prstGeom prst="rect">
                      <a:avLst/>
                    </a:prstGeom>
                  </pic:spPr>
                </pic:pic>
              </a:graphicData>
            </a:graphic>
          </wp:inline>
        </w:drawing>
      </w:r>
    </w:p>
    <w:p w14:paraId="28BCEBBD" w14:textId="752BA7C2" w:rsidR="0065152D" w:rsidRDefault="00537DA5" w:rsidP="0065152D">
      <w:pPr>
        <w:spacing w:line="360" w:lineRule="auto"/>
        <w:jc w:val="both"/>
        <w:rPr>
          <w:i/>
          <w:iCs/>
          <w:sz w:val="18"/>
          <w:szCs w:val="18"/>
        </w:rPr>
      </w:pPr>
      <w:r w:rsidRPr="0065152D">
        <w:rPr>
          <w:b/>
          <w:bCs/>
          <w:i/>
          <w:iCs/>
          <w:sz w:val="18"/>
          <w:szCs w:val="18"/>
        </w:rPr>
        <w:t xml:space="preserve">Figure 5. </w:t>
      </w:r>
      <w:r w:rsidRPr="0065152D">
        <w:rPr>
          <w:i/>
          <w:iCs/>
          <w:sz w:val="18"/>
          <w:szCs w:val="18"/>
        </w:rPr>
        <w:t>Exchange rate collapse during the Asian Financial Crisis. </w:t>
      </w:r>
    </w:p>
    <w:p w14:paraId="1AF248C8" w14:textId="24B767FE" w:rsidR="00643BF1" w:rsidRPr="00643BF1" w:rsidRDefault="009661E1" w:rsidP="00643BF1">
      <w:pPr>
        <w:spacing w:line="360" w:lineRule="auto"/>
        <w:jc w:val="both"/>
        <w:rPr>
          <w:color w:val="000000"/>
        </w:rPr>
      </w:pPr>
      <w:r>
        <w:rPr>
          <w:color w:val="000000"/>
        </w:rPr>
        <w:t>Instead, t</w:t>
      </w:r>
      <w:r w:rsidRPr="00010CBE">
        <w:rPr>
          <w:color w:val="000000"/>
        </w:rPr>
        <w:t xml:space="preserve">he Asian Financial Crisis highlights a mechanism </w:t>
      </w:r>
      <w:r w:rsidR="00E12F2C">
        <w:rPr>
          <w:color w:val="000000"/>
        </w:rPr>
        <w:t xml:space="preserve">rooted in </w:t>
      </w:r>
      <w:r w:rsidRPr="00010CBE">
        <w:rPr>
          <w:color w:val="000000"/>
        </w:rPr>
        <w:t xml:space="preserve">external imbalances and capital flow reversals. </w:t>
      </w:r>
      <w:r w:rsidR="002D5490" w:rsidRPr="00010CBE">
        <w:rPr>
          <w:color w:val="000000"/>
        </w:rPr>
        <w:t xml:space="preserve">Large short-term inflows financed credit expansion and foreign currency </w:t>
      </w:r>
      <w:r w:rsidR="002D5490" w:rsidRPr="00010CBE">
        <w:rPr>
          <w:color w:val="000000"/>
        </w:rPr>
        <w:lastRenderedPageBreak/>
        <w:t>exposure; when confidence collapsed, sudden stops triggered currency depreciation and banking distress (Radelet and Sachs 1998).</w:t>
      </w:r>
      <w:r w:rsidR="002D5490">
        <w:rPr>
          <w:color w:val="000000"/>
        </w:rPr>
        <w:t xml:space="preserve"> </w:t>
      </w:r>
      <w:r w:rsidR="00010CBE" w:rsidRPr="00010CBE">
        <w:rPr>
          <w:i/>
          <w:iCs/>
          <w:color w:val="000000"/>
        </w:rPr>
        <w:t>Figure 5</w:t>
      </w:r>
      <w:r w:rsidR="00053BED">
        <w:rPr>
          <w:color w:val="000000"/>
        </w:rPr>
        <w:t xml:space="preserve"> </w:t>
      </w:r>
      <w:r w:rsidR="00010CBE" w:rsidRPr="00010CBE">
        <w:rPr>
          <w:color w:val="000000"/>
        </w:rPr>
        <w:t>show</w:t>
      </w:r>
      <w:r w:rsidR="00053BED">
        <w:rPr>
          <w:color w:val="000000"/>
        </w:rPr>
        <w:t>s</w:t>
      </w:r>
      <w:r w:rsidR="00010CBE" w:rsidRPr="00010CBE">
        <w:rPr>
          <w:color w:val="000000"/>
        </w:rPr>
        <w:t xml:space="preserve"> the sharp depreciation of the Thai baht following the abandonment of the fixed exchange rate regime (Corsetti et al. 1999).</w:t>
      </w:r>
      <w:r w:rsidR="00010CBE">
        <w:rPr>
          <w:color w:val="000000"/>
        </w:rPr>
        <w:t xml:space="preserve"> </w:t>
      </w:r>
      <w:r w:rsidR="004F69DF">
        <w:rPr>
          <w:color w:val="000000"/>
        </w:rPr>
        <w:t>F</w:t>
      </w:r>
      <w:r w:rsidR="004F69DF" w:rsidRPr="004F69DF">
        <w:rPr>
          <w:color w:val="000000"/>
        </w:rPr>
        <w:t xml:space="preserve">ragility </w:t>
      </w:r>
      <w:r w:rsidR="004F69DF">
        <w:rPr>
          <w:color w:val="000000"/>
        </w:rPr>
        <w:t xml:space="preserve">here </w:t>
      </w:r>
      <w:r w:rsidR="004F69DF" w:rsidRPr="004F69DF">
        <w:rPr>
          <w:color w:val="000000"/>
        </w:rPr>
        <w:t>came less from domestic housing bubbles and more from external borrowing, currency mismatch, and weak financial supervision.</w:t>
      </w:r>
      <w:r w:rsidR="004F69DF">
        <w:rPr>
          <w:color w:val="000000"/>
        </w:rPr>
        <w:t xml:space="preserve"> </w:t>
      </w:r>
      <w:r w:rsidR="00010CBE" w:rsidRPr="00010CBE">
        <w:rPr>
          <w:color w:val="000000"/>
        </w:rPr>
        <w:t xml:space="preserve">Despite these differences, both crises follow a similar pattern: </w:t>
      </w:r>
      <w:r w:rsidR="00010CBE" w:rsidRPr="00010CBE">
        <w:rPr>
          <w:i/>
          <w:iCs/>
          <w:color w:val="000000"/>
        </w:rPr>
        <w:t>financial booms generate fragility, while delayed policy responses amplify systemic collapse.</w:t>
      </w:r>
      <w:bookmarkStart w:id="11" w:name="_Toc228979533"/>
    </w:p>
    <w:p w14:paraId="60E52A1C" w14:textId="5A44C2CE" w:rsidR="005109B1" w:rsidRDefault="000B2FD4" w:rsidP="00643BF1">
      <w:pPr>
        <w:spacing w:line="360" w:lineRule="auto"/>
        <w:outlineLvl w:val="0"/>
        <w:rPr>
          <w:b/>
          <w:bCs/>
          <w:kern w:val="36"/>
        </w:rPr>
      </w:pPr>
      <w:r w:rsidRPr="00237C37">
        <w:rPr>
          <w:b/>
          <w:bCs/>
          <w:kern w:val="36"/>
        </w:rPr>
        <w:t xml:space="preserve">6. Policy Implications </w:t>
      </w:r>
      <w:bookmarkEnd w:id="11"/>
    </w:p>
    <w:p w14:paraId="109F1574" w14:textId="62877A34" w:rsidR="00643BF1" w:rsidRPr="00643BF1" w:rsidRDefault="00053BED" w:rsidP="00643BF1">
      <w:pPr>
        <w:spacing w:line="360" w:lineRule="auto"/>
        <w:ind w:firstLine="720"/>
        <w:jc w:val="both"/>
        <w:outlineLvl w:val="0"/>
        <w:rPr>
          <w:color w:val="000000" w:themeColor="text1"/>
          <w:kern w:val="36"/>
        </w:rPr>
      </w:pPr>
      <w:r w:rsidRPr="00053BED">
        <w:rPr>
          <w:color w:val="000000" w:themeColor="text1"/>
          <w:kern w:val="36"/>
        </w:rPr>
        <w:t>These dynamics raise a key policy question: should central banks respond to asset-price bubbles?</w:t>
      </w:r>
      <w:r w:rsidR="000903D6" w:rsidRPr="000903D6">
        <w:rPr>
          <w:rFonts w:ascii="-webkit-standard" w:hAnsi="-webkit-standard"/>
          <w:color w:val="000000"/>
          <w:sz w:val="27"/>
          <w:szCs w:val="27"/>
        </w:rPr>
        <w:t xml:space="preserve"> </w:t>
      </w:r>
      <w:r w:rsidR="000903D6" w:rsidRPr="000903D6">
        <w:rPr>
          <w:color w:val="000000" w:themeColor="text1"/>
          <w:kern w:val="36"/>
        </w:rPr>
        <w:t>Bernanke and Gertler (2001) argue that monetary policy should focus on price stability and react to asset prices only when they affect inflation or output. However, the macroprudential view supports earlier intervention when credit growth, leverage, and asset prices generate systemic risks</w:t>
      </w:r>
      <w:r w:rsidRPr="00053BED">
        <w:rPr>
          <w:color w:val="000000" w:themeColor="text1"/>
          <w:kern w:val="36"/>
        </w:rPr>
        <w:t>. From a financial stability perspective, recent IMF analysis reinforces this concern: high debt, sovereign bond volatility, maturity mismatch, liquidity risk, and leverage in nonbank finance can amplify shocks into systemic instability (International Monetary Fund 2026). From a macroeconomic perspective, the World Bank stresses that limited fiscal space constrains crisis response, making taxation capacity, fiscal rules, and debt sustainability central to resilience (World Bank 2026). Thus, prevention requires more than controlling the money supply: policymakers must monitor credit creation, strengthen bank and nonbank supervision, preserve liquidity facilities, and rebuild fiscal buffers. Yet these policies involve trade-offs, since tighter regulation or higher taxes may restrain credit and growth during booms, while delayed intervention increases the eventual cost of collapse.</w:t>
      </w:r>
    </w:p>
    <w:p w14:paraId="1D23EBFA" w14:textId="5BDEE25E" w:rsidR="00237C37" w:rsidRPr="00237C37" w:rsidRDefault="000B2FD4" w:rsidP="004D0F33">
      <w:pPr>
        <w:spacing w:line="360" w:lineRule="auto"/>
        <w:jc w:val="both"/>
        <w:outlineLvl w:val="0"/>
        <w:rPr>
          <w:b/>
          <w:bCs/>
          <w:kern w:val="36"/>
          <w:sz w:val="48"/>
          <w:szCs w:val="48"/>
        </w:rPr>
      </w:pPr>
      <w:r w:rsidRPr="00237C37">
        <w:rPr>
          <w:b/>
          <w:bCs/>
          <w:kern w:val="36"/>
        </w:rPr>
        <w:t> </w:t>
      </w:r>
      <w:bookmarkStart w:id="12" w:name="_Toc228979536"/>
      <w:r w:rsidRPr="00237C37">
        <w:rPr>
          <w:b/>
          <w:bCs/>
          <w:kern w:val="36"/>
        </w:rPr>
        <w:t>7. Conclusion</w:t>
      </w:r>
      <w:r w:rsidRPr="00237C37">
        <w:rPr>
          <w:b/>
          <w:bCs/>
          <w:kern w:val="36"/>
          <w:sz w:val="48"/>
          <w:szCs w:val="48"/>
        </w:rPr>
        <w:t xml:space="preserve"> </w:t>
      </w:r>
      <w:bookmarkEnd w:id="12"/>
    </w:p>
    <w:p w14:paraId="703510E6" w14:textId="58C4CC7C" w:rsidR="00053BED" w:rsidRPr="00053BED" w:rsidRDefault="00053BED" w:rsidP="00654639">
      <w:pPr>
        <w:pStyle w:val="NormalWeb"/>
        <w:spacing w:before="0" w:beforeAutospacing="0" w:after="0" w:afterAutospacing="0" w:line="360" w:lineRule="auto"/>
        <w:ind w:firstLine="720"/>
        <w:jc w:val="both"/>
        <w:rPr>
          <w:color w:val="000000"/>
        </w:rPr>
      </w:pPr>
      <w:r w:rsidRPr="00053BED">
        <w:rPr>
          <w:color w:val="000000"/>
        </w:rPr>
        <w:t>In conclusion, financial crises arise from the interaction between financial fragility and policy failure. Credit booms, leverage, asset-price bubbles, and liquidity mismatches make crises partly foreseeable, yet difficult to prevent in real time. Policymakers face informational limits, political incentives, and institutional constraints that delay intervention until vulnerabilities have already accumulated. This explains why crises remain recurrent features of modern financial systems. The central lesson is that market adjustment alone is insufficient: because systemic failures impose costs on the wider economy, financial stability requires institutions that strengthen prevention and align policy incentives with long-term resilience.</w:t>
      </w:r>
    </w:p>
    <w:p w14:paraId="69E45D1E" w14:textId="77777777" w:rsidR="00C97EDD" w:rsidRDefault="00C97EDD" w:rsidP="00B84496">
      <w:pPr>
        <w:spacing w:line="360" w:lineRule="auto"/>
        <w:rPr>
          <w:b/>
          <w:bCs/>
          <w:color w:val="000000"/>
          <w:sz w:val="27"/>
          <w:szCs w:val="27"/>
        </w:rPr>
      </w:pPr>
    </w:p>
    <w:p w14:paraId="276D13F1" w14:textId="77777777" w:rsidR="00C97EDD" w:rsidRDefault="00C97EDD" w:rsidP="00B84496">
      <w:pPr>
        <w:spacing w:line="360" w:lineRule="auto"/>
        <w:rPr>
          <w:b/>
          <w:bCs/>
          <w:color w:val="000000"/>
          <w:sz w:val="27"/>
          <w:szCs w:val="27"/>
        </w:rPr>
      </w:pPr>
    </w:p>
    <w:p w14:paraId="2A12E315" w14:textId="78D53C09" w:rsidR="00630BDE" w:rsidRDefault="00463B35" w:rsidP="00B84496">
      <w:pPr>
        <w:spacing w:line="360" w:lineRule="auto"/>
        <w:rPr>
          <w:b/>
          <w:bCs/>
          <w:color w:val="000000"/>
          <w:sz w:val="27"/>
          <w:szCs w:val="27"/>
        </w:rPr>
      </w:pPr>
      <w:r w:rsidRPr="007A7E0C">
        <w:rPr>
          <w:b/>
          <w:bCs/>
          <w:color w:val="000000"/>
          <w:sz w:val="27"/>
          <w:szCs w:val="27"/>
        </w:rPr>
        <w:lastRenderedPageBreak/>
        <w:t>Bibliography</w:t>
      </w:r>
    </w:p>
    <w:p w14:paraId="1B74314C" w14:textId="474ACBAB" w:rsidR="00151C59" w:rsidRPr="00151C59" w:rsidRDefault="00151C59" w:rsidP="00151C59">
      <w:pPr>
        <w:pStyle w:val="NormalWeb"/>
        <w:spacing w:before="0" w:beforeAutospacing="0" w:after="0" w:afterAutospacing="0" w:line="360" w:lineRule="auto"/>
        <w:ind w:left="567" w:hanging="567"/>
        <w:rPr>
          <w:color w:val="000000"/>
        </w:rPr>
      </w:pPr>
      <w:r w:rsidRPr="00151C59">
        <w:rPr>
          <w:color w:val="000000"/>
        </w:rPr>
        <w:t>Bernanke, Ben S. 2015. </w:t>
      </w:r>
      <w:r w:rsidRPr="00151C59">
        <w:rPr>
          <w:i/>
          <w:iCs/>
          <w:color w:val="000000"/>
        </w:rPr>
        <w:t>The Courage to Act: A Memoir of a Crisis and Its Aftermath</w:t>
      </w:r>
      <w:r w:rsidRPr="00151C59">
        <w:rPr>
          <w:color w:val="000000"/>
        </w:rPr>
        <w:t>. New York: W.W. Norton.</w:t>
      </w:r>
      <w:r>
        <w:rPr>
          <w:color w:val="000000"/>
        </w:rPr>
        <w:t xml:space="preserve"> </w:t>
      </w:r>
      <w:hyperlink r:id="rId14" w:history="1">
        <w:r w:rsidRPr="00717E32">
          <w:rPr>
            <w:rStyle w:val="Hyperlink"/>
          </w:rPr>
          <w:t>https://archive.org/details/couragetoactmemo0000bern</w:t>
        </w:r>
      </w:hyperlink>
      <w:r>
        <w:rPr>
          <w:color w:val="000000"/>
        </w:rPr>
        <w:t xml:space="preserve"> </w:t>
      </w:r>
    </w:p>
    <w:p w14:paraId="05E42294" w14:textId="1293DBB8" w:rsidR="00151C59" w:rsidRPr="00151C59" w:rsidRDefault="00B84496" w:rsidP="00151C59">
      <w:pPr>
        <w:pStyle w:val="NormalWeb"/>
        <w:spacing w:before="0" w:beforeAutospacing="0" w:after="0" w:afterAutospacing="0" w:line="360" w:lineRule="auto"/>
        <w:ind w:left="567" w:hanging="567"/>
        <w:rPr>
          <w:rFonts w:eastAsiaTheme="majorEastAsia"/>
          <w:color w:val="000000"/>
        </w:rPr>
      </w:pPr>
      <w:r>
        <w:rPr>
          <w:color w:val="000000"/>
        </w:rPr>
        <w:t>Bernanke, Ben S, and Mark Gertler. “Should Central Banks Respond to Movements in Asset Prices?”</w:t>
      </w:r>
      <w:r>
        <w:rPr>
          <w:rStyle w:val="apple-converted-space"/>
          <w:rFonts w:eastAsiaTheme="majorEastAsia"/>
          <w:color w:val="000000"/>
        </w:rPr>
        <w:t> </w:t>
      </w:r>
      <w:r>
        <w:rPr>
          <w:i/>
          <w:iCs/>
          <w:color w:val="000000"/>
        </w:rPr>
        <w:t>American Economic Review</w:t>
      </w:r>
      <w:r>
        <w:rPr>
          <w:rStyle w:val="apple-converted-space"/>
          <w:rFonts w:eastAsiaTheme="majorEastAsia"/>
          <w:color w:val="000000"/>
        </w:rPr>
        <w:t> </w:t>
      </w:r>
      <w:r>
        <w:rPr>
          <w:color w:val="000000"/>
        </w:rPr>
        <w:t>91, no. 2 (May 1, 2001): 253–57. https://doi.org/10.1257/aer.91.2.253.</w:t>
      </w:r>
      <w:r>
        <w:rPr>
          <w:rStyle w:val="apple-converted-space"/>
          <w:rFonts w:eastAsiaTheme="majorEastAsia"/>
          <w:color w:val="000000"/>
        </w:rPr>
        <w:t> </w:t>
      </w:r>
    </w:p>
    <w:p w14:paraId="132A94D4" w14:textId="77777777" w:rsidR="0038208A" w:rsidRDefault="00630BDE" w:rsidP="0038208A">
      <w:pPr>
        <w:pStyle w:val="NormalWeb"/>
        <w:spacing w:before="0" w:beforeAutospacing="0" w:after="0" w:afterAutospacing="0" w:line="360" w:lineRule="auto"/>
        <w:ind w:left="567" w:hanging="567"/>
        <w:rPr>
          <w:rStyle w:val="apple-converted-space"/>
          <w:rFonts w:eastAsiaTheme="majorEastAsia"/>
          <w:color w:val="000000"/>
        </w:rPr>
      </w:pPr>
      <w:r>
        <w:rPr>
          <w:color w:val="000000"/>
        </w:rPr>
        <w:t>Brunnermeier, Markus K.</w:t>
      </w:r>
      <w:r>
        <w:rPr>
          <w:rStyle w:val="apple-converted-space"/>
          <w:rFonts w:eastAsiaTheme="majorEastAsia"/>
          <w:color w:val="000000"/>
        </w:rPr>
        <w:t> </w:t>
      </w:r>
      <w:r>
        <w:rPr>
          <w:i/>
          <w:iCs/>
          <w:color w:val="000000"/>
        </w:rPr>
        <w:t>Asset pricing under asymmetric information</w:t>
      </w:r>
      <w:r>
        <w:rPr>
          <w:color w:val="000000"/>
        </w:rPr>
        <w:t xml:space="preserve">, January 25, 2001. </w:t>
      </w:r>
      <w:hyperlink r:id="rId15" w:history="1">
        <w:r w:rsidR="0038208A" w:rsidRPr="00717E32">
          <w:rPr>
            <w:rStyle w:val="Hyperlink"/>
          </w:rPr>
          <w:t>https://doi.org/10.1093/0198296983.001.0001</w:t>
        </w:r>
      </w:hyperlink>
      <w:r>
        <w:rPr>
          <w:color w:val="000000"/>
        </w:rPr>
        <w:t>.</w:t>
      </w:r>
      <w:r w:rsidR="0038208A">
        <w:rPr>
          <w:rStyle w:val="apple-converted-space"/>
          <w:rFonts w:eastAsiaTheme="majorEastAsia"/>
          <w:color w:val="000000"/>
        </w:rPr>
        <w:t xml:space="preserve"> </w:t>
      </w:r>
    </w:p>
    <w:p w14:paraId="4F690AE3" w14:textId="58B28390" w:rsidR="0038208A" w:rsidRDefault="0038208A" w:rsidP="0038208A">
      <w:pPr>
        <w:pStyle w:val="NormalWeb"/>
        <w:spacing w:before="0" w:beforeAutospacing="0" w:after="0" w:afterAutospacing="0" w:line="360" w:lineRule="auto"/>
        <w:ind w:left="567" w:hanging="567"/>
        <w:rPr>
          <w:rStyle w:val="apple-converted-space"/>
          <w:rFonts w:eastAsiaTheme="majorEastAsia"/>
          <w:color w:val="000000"/>
        </w:rPr>
      </w:pPr>
      <w:r w:rsidRPr="0038208A">
        <w:rPr>
          <w:rFonts w:eastAsiaTheme="majorEastAsia"/>
          <w:color w:val="000000"/>
        </w:rPr>
        <w:t>Corsetti, Giancarlo, Paolo Pesenti, and Nouriel Roubini. “What Caused the Asian Currency and Financial Crisis?” </w:t>
      </w:r>
      <w:r w:rsidRPr="0038208A">
        <w:rPr>
          <w:rFonts w:eastAsiaTheme="majorEastAsia"/>
          <w:i/>
          <w:iCs/>
          <w:color w:val="000000"/>
        </w:rPr>
        <w:t>Japan and the World Economy</w:t>
      </w:r>
      <w:r w:rsidRPr="0038208A">
        <w:rPr>
          <w:rFonts w:eastAsiaTheme="majorEastAsia"/>
          <w:color w:val="000000"/>
        </w:rPr>
        <w:t> 11, no. 3 (October 1999): 305–73. https://doi.org/10.1016/s0922-1425(99)00019-5. </w:t>
      </w:r>
    </w:p>
    <w:p w14:paraId="1C86E873" w14:textId="77777777" w:rsidR="00630BDE" w:rsidRPr="007A7E0C" w:rsidRDefault="00630BDE" w:rsidP="00AA4398">
      <w:pPr>
        <w:spacing w:line="360" w:lineRule="auto"/>
        <w:ind w:left="720" w:hanging="720"/>
        <w:rPr>
          <w:color w:val="000000"/>
        </w:rPr>
      </w:pPr>
      <w:r w:rsidRPr="007A7E0C">
        <w:rPr>
          <w:color w:val="000000"/>
        </w:rPr>
        <w:t>Davide Furceri and Annabelle Mourougane, “Financial Crises: Past Lessons and Policy Implications,”</w:t>
      </w:r>
      <w:r w:rsidRPr="007A7E0C">
        <w:rPr>
          <w:rStyle w:val="apple-converted-space"/>
          <w:rFonts w:eastAsiaTheme="majorEastAsia"/>
          <w:color w:val="000000"/>
        </w:rPr>
        <w:t> </w:t>
      </w:r>
      <w:r w:rsidRPr="007A7E0C">
        <w:rPr>
          <w:rStyle w:val="Emphasis"/>
          <w:rFonts w:eastAsiaTheme="majorEastAsia"/>
          <w:color w:val="000000"/>
        </w:rPr>
        <w:t>OECD Economics Department Working Papers</w:t>
      </w:r>
      <w:r w:rsidRPr="007A7E0C">
        <w:rPr>
          <w:color w:val="000000"/>
        </w:rPr>
        <w:t xml:space="preserve">, no. 668, 2009. </w:t>
      </w:r>
      <w:hyperlink r:id="rId16" w:history="1">
        <w:r w:rsidRPr="007A7E0C">
          <w:rPr>
            <w:rStyle w:val="Hyperlink"/>
          </w:rPr>
          <w:t>https://www.oecd.org/content/dam/oecd/en/publications/reports/2009/02/financial-crises_g17a1c8c/226777318564.pdf</w:t>
        </w:r>
      </w:hyperlink>
      <w:r w:rsidRPr="007A7E0C">
        <w:rPr>
          <w:color w:val="000000"/>
        </w:rPr>
        <w:t xml:space="preserve"> </w:t>
      </w:r>
    </w:p>
    <w:p w14:paraId="52C5861F" w14:textId="171D45A5" w:rsidR="00630BDE" w:rsidRDefault="00630BDE" w:rsidP="00AA4398">
      <w:pPr>
        <w:pStyle w:val="NormalWeb"/>
        <w:spacing w:before="0" w:beforeAutospacing="0" w:after="0" w:afterAutospacing="0" w:line="360" w:lineRule="auto"/>
        <w:ind w:left="567" w:hanging="567"/>
        <w:rPr>
          <w:rStyle w:val="apple-converted-space"/>
          <w:rFonts w:eastAsiaTheme="majorEastAsia"/>
          <w:color w:val="000000"/>
        </w:rPr>
      </w:pPr>
      <w:r>
        <w:rPr>
          <w:color w:val="000000"/>
        </w:rPr>
        <w:t xml:space="preserve">Dell’Ariccia, </w:t>
      </w:r>
      <w:r w:rsidR="00AA4398">
        <w:rPr>
          <w:color w:val="000000"/>
        </w:rPr>
        <w:t>Giovanni, Deniz Igan, And Luc Laeven</w:t>
      </w:r>
      <w:r>
        <w:rPr>
          <w:color w:val="000000"/>
        </w:rPr>
        <w:t>. “Credit Booms and Lending Standards: Evidence from the Subprime Mortgage Market.”</w:t>
      </w:r>
      <w:r>
        <w:rPr>
          <w:rStyle w:val="apple-converted-space"/>
          <w:rFonts w:eastAsiaTheme="majorEastAsia"/>
          <w:color w:val="000000"/>
        </w:rPr>
        <w:t> </w:t>
      </w:r>
      <w:r>
        <w:rPr>
          <w:i/>
          <w:iCs/>
          <w:color w:val="000000"/>
        </w:rPr>
        <w:t>Journal of Money, Credit and Banking</w:t>
      </w:r>
      <w:r>
        <w:rPr>
          <w:rStyle w:val="apple-converted-space"/>
          <w:rFonts w:eastAsiaTheme="majorEastAsia"/>
          <w:color w:val="000000"/>
        </w:rPr>
        <w:t> </w:t>
      </w:r>
      <w:r>
        <w:rPr>
          <w:color w:val="000000"/>
        </w:rPr>
        <w:t>44, no. 2–3 (March 2012): 367–84. https://doi.org/10.1111/j.1538-4616.2011.00491.x.</w:t>
      </w:r>
      <w:r>
        <w:rPr>
          <w:rStyle w:val="apple-converted-space"/>
          <w:rFonts w:eastAsiaTheme="majorEastAsia"/>
          <w:color w:val="000000"/>
        </w:rPr>
        <w:t> </w:t>
      </w:r>
    </w:p>
    <w:p w14:paraId="0174854C" w14:textId="17E03B34" w:rsidR="00630BDE" w:rsidRDefault="00630BDE" w:rsidP="00AA4398">
      <w:pPr>
        <w:spacing w:line="360" w:lineRule="auto"/>
        <w:ind w:left="720" w:hanging="720"/>
        <w:rPr>
          <w:color w:val="000000"/>
        </w:rPr>
      </w:pPr>
      <w:r w:rsidRPr="00164F37">
        <w:rPr>
          <w:color w:val="000000"/>
        </w:rPr>
        <w:t>Diamond, Douglas W., and Philip H. Dybvig. “Bank Runs, Deposit Insurance, and Liquidity.” </w:t>
      </w:r>
      <w:r w:rsidRPr="00164F37">
        <w:rPr>
          <w:i/>
          <w:iCs/>
          <w:color w:val="000000"/>
        </w:rPr>
        <w:t>Journal of Political Economy</w:t>
      </w:r>
      <w:r w:rsidRPr="00164F37">
        <w:rPr>
          <w:color w:val="000000"/>
        </w:rPr>
        <w:t xml:space="preserve"> 91, no. 3 (1983): 401–19. </w:t>
      </w:r>
      <w:hyperlink r:id="rId17" w:history="1">
        <w:r w:rsidRPr="00164F37">
          <w:rPr>
            <w:rStyle w:val="Hyperlink"/>
          </w:rPr>
          <w:t>http://www.jstor.org/stable/1837095</w:t>
        </w:r>
      </w:hyperlink>
      <w:r w:rsidRPr="007A7E0C">
        <w:rPr>
          <w:color w:val="000000"/>
        </w:rPr>
        <w:t xml:space="preserve"> </w:t>
      </w:r>
      <w:r w:rsidRPr="00164F37">
        <w:rPr>
          <w:color w:val="000000"/>
        </w:rPr>
        <w:t>.</w:t>
      </w:r>
    </w:p>
    <w:p w14:paraId="7EB72CF3" w14:textId="77777777" w:rsidR="00630BDE" w:rsidRDefault="00630BDE" w:rsidP="00AA4398">
      <w:pPr>
        <w:pStyle w:val="NormalWeb"/>
        <w:spacing w:before="0" w:beforeAutospacing="0" w:after="0" w:afterAutospacing="0" w:line="360" w:lineRule="auto"/>
        <w:ind w:left="567" w:hanging="567"/>
        <w:rPr>
          <w:rStyle w:val="apple-converted-space"/>
          <w:rFonts w:eastAsiaTheme="majorEastAsia"/>
          <w:color w:val="000000"/>
        </w:rPr>
      </w:pPr>
      <w:r>
        <w:rPr>
          <w:color w:val="000000"/>
        </w:rPr>
        <w:t>Dong, Feng, Jianjun Miao, and Pengfei Wang. “Asset Bubbles and Monetary Policy.”</w:t>
      </w:r>
      <w:r>
        <w:rPr>
          <w:rStyle w:val="apple-converted-space"/>
          <w:rFonts w:eastAsiaTheme="majorEastAsia"/>
          <w:color w:val="000000"/>
        </w:rPr>
        <w:t> </w:t>
      </w:r>
      <w:r>
        <w:rPr>
          <w:i/>
          <w:iCs/>
          <w:color w:val="000000"/>
        </w:rPr>
        <w:t>Review of Economic Dynamics</w:t>
      </w:r>
      <w:r>
        <w:rPr>
          <w:rStyle w:val="apple-converted-space"/>
          <w:rFonts w:eastAsiaTheme="majorEastAsia"/>
          <w:color w:val="000000"/>
        </w:rPr>
        <w:t> </w:t>
      </w:r>
      <w:r>
        <w:rPr>
          <w:color w:val="000000"/>
        </w:rPr>
        <w:t>37 (August 2020). https://doi.org/10.1016/j.red.2020.06.003.</w:t>
      </w:r>
      <w:r>
        <w:rPr>
          <w:rStyle w:val="apple-converted-space"/>
          <w:rFonts w:eastAsiaTheme="majorEastAsia"/>
          <w:color w:val="000000"/>
        </w:rPr>
        <w:t> </w:t>
      </w:r>
    </w:p>
    <w:p w14:paraId="56E51A7D" w14:textId="77777777" w:rsidR="00630BDE" w:rsidRPr="007A7E0C" w:rsidRDefault="00630BDE" w:rsidP="00AA4398">
      <w:pPr>
        <w:pStyle w:val="NormalWeb"/>
        <w:spacing w:before="0" w:beforeAutospacing="0" w:after="0" w:afterAutospacing="0" w:line="360" w:lineRule="auto"/>
        <w:ind w:left="720" w:hanging="720"/>
        <w:rPr>
          <w:color w:val="000000"/>
        </w:rPr>
      </w:pPr>
      <w:r w:rsidRPr="007A7E0C">
        <w:rPr>
          <w:color w:val="000000"/>
        </w:rPr>
        <w:t>Downs, Anthony. 1957.</w:t>
      </w:r>
      <w:r w:rsidRPr="007A7E0C">
        <w:rPr>
          <w:rStyle w:val="apple-converted-space"/>
          <w:rFonts w:eastAsiaTheme="majorEastAsia"/>
          <w:color w:val="000000"/>
        </w:rPr>
        <w:t> </w:t>
      </w:r>
      <w:r w:rsidRPr="007A7E0C">
        <w:rPr>
          <w:rStyle w:val="Emphasis"/>
          <w:rFonts w:eastAsiaTheme="majorEastAsia"/>
          <w:color w:val="000000"/>
        </w:rPr>
        <w:t>An Economic Theory of Democracy</w:t>
      </w:r>
      <w:r w:rsidRPr="007A7E0C">
        <w:rPr>
          <w:color w:val="000000"/>
        </w:rPr>
        <w:t>. New York: Harper and Row.</w:t>
      </w:r>
    </w:p>
    <w:p w14:paraId="4C5528EB" w14:textId="77777777" w:rsidR="00151C59" w:rsidRDefault="00630BDE" w:rsidP="00151C59">
      <w:pPr>
        <w:pStyle w:val="NormalWeb"/>
        <w:spacing w:before="0" w:beforeAutospacing="0" w:after="0" w:afterAutospacing="0" w:line="360" w:lineRule="auto"/>
        <w:ind w:left="567" w:hanging="567"/>
        <w:rPr>
          <w:rStyle w:val="apple-converted-space"/>
          <w:rFonts w:eastAsiaTheme="majorEastAsia"/>
          <w:color w:val="000000"/>
        </w:rPr>
      </w:pPr>
      <w:r>
        <w:rPr>
          <w:color w:val="000000"/>
        </w:rPr>
        <w:t>Gertler, Mark, Nobuhiro Kiyotaki, and Andrea Prestipino. “Credit Booms, Financial Crises, and Macroprudential Policy.”</w:t>
      </w:r>
      <w:r>
        <w:rPr>
          <w:rStyle w:val="apple-converted-space"/>
          <w:rFonts w:eastAsiaTheme="majorEastAsia"/>
          <w:color w:val="000000"/>
        </w:rPr>
        <w:t> </w:t>
      </w:r>
      <w:r>
        <w:rPr>
          <w:i/>
          <w:iCs/>
          <w:color w:val="000000"/>
        </w:rPr>
        <w:t>Review of Economic Dynamics</w:t>
      </w:r>
      <w:r>
        <w:rPr>
          <w:rStyle w:val="apple-converted-space"/>
          <w:rFonts w:eastAsiaTheme="majorEastAsia"/>
          <w:color w:val="000000"/>
        </w:rPr>
        <w:t> </w:t>
      </w:r>
      <w:r>
        <w:rPr>
          <w:color w:val="000000"/>
        </w:rPr>
        <w:t>37 (August 2020). https://doi.org/10.1016/j.red.2020.06.004.</w:t>
      </w:r>
      <w:r>
        <w:rPr>
          <w:rStyle w:val="apple-converted-space"/>
          <w:rFonts w:eastAsiaTheme="majorEastAsia"/>
          <w:color w:val="000000"/>
        </w:rPr>
        <w:t> </w:t>
      </w:r>
    </w:p>
    <w:p w14:paraId="743AADE5" w14:textId="3229EE61" w:rsidR="00151C59" w:rsidRPr="00151C59" w:rsidRDefault="00151C59" w:rsidP="00151C59">
      <w:pPr>
        <w:pStyle w:val="NormalWeb"/>
        <w:spacing w:before="0" w:beforeAutospacing="0" w:after="0" w:afterAutospacing="0" w:line="360" w:lineRule="auto"/>
        <w:ind w:left="567" w:hanging="567"/>
        <w:rPr>
          <w:rFonts w:eastAsiaTheme="majorEastAsia"/>
          <w:color w:val="000000"/>
        </w:rPr>
      </w:pPr>
      <w:r>
        <w:rPr>
          <w:color w:val="000000"/>
        </w:rPr>
        <w:t>Gorton, Gary B. 2010.</w:t>
      </w:r>
      <w:r>
        <w:rPr>
          <w:rStyle w:val="apple-converted-space"/>
          <w:rFonts w:eastAsiaTheme="majorEastAsia"/>
          <w:color w:val="000000"/>
        </w:rPr>
        <w:t> </w:t>
      </w:r>
      <w:r>
        <w:rPr>
          <w:rStyle w:val="Emphasis"/>
          <w:rFonts w:eastAsiaTheme="majorEastAsia"/>
          <w:color w:val="000000"/>
        </w:rPr>
        <w:t>Slapped by the Invisible Hand: The Panic of 2007</w:t>
      </w:r>
      <w:r>
        <w:rPr>
          <w:color w:val="000000"/>
        </w:rPr>
        <w:t>. Oxford: Oxford University Press.</w:t>
      </w:r>
      <w:r>
        <w:rPr>
          <w:rFonts w:eastAsiaTheme="majorEastAsia"/>
          <w:color w:val="000000"/>
        </w:rPr>
        <w:t xml:space="preserve"> </w:t>
      </w:r>
      <w:hyperlink r:id="rId18" w:history="1">
        <w:r w:rsidRPr="00717E32">
          <w:rPr>
            <w:rStyle w:val="Hyperlink"/>
            <w:rFonts w:eastAsiaTheme="majorEastAsia"/>
          </w:rPr>
          <w:t>https://papers.ssrn.com/sol3/papers.cfm?abstract_id=1401882</w:t>
        </w:r>
      </w:hyperlink>
      <w:r>
        <w:rPr>
          <w:rFonts w:eastAsiaTheme="majorEastAsia"/>
          <w:color w:val="000000"/>
        </w:rPr>
        <w:t xml:space="preserve"> </w:t>
      </w:r>
    </w:p>
    <w:p w14:paraId="5BCC5481" w14:textId="1AB86D6C" w:rsidR="00630BDE" w:rsidRDefault="00630BDE" w:rsidP="00AA4398">
      <w:pPr>
        <w:pStyle w:val="NormalWeb"/>
        <w:spacing w:before="0" w:beforeAutospacing="0" w:after="0" w:afterAutospacing="0" w:line="360" w:lineRule="auto"/>
        <w:ind w:left="567" w:hanging="567"/>
        <w:rPr>
          <w:color w:val="000000"/>
        </w:rPr>
      </w:pPr>
      <w:r>
        <w:rPr>
          <w:color w:val="000000"/>
        </w:rPr>
        <w:t>Gorton, Gary, and Guillermo Ordoñez. “Collateral Crises.”</w:t>
      </w:r>
      <w:r>
        <w:rPr>
          <w:rStyle w:val="apple-converted-space"/>
          <w:rFonts w:eastAsiaTheme="majorEastAsia"/>
          <w:color w:val="000000"/>
        </w:rPr>
        <w:t> </w:t>
      </w:r>
      <w:r>
        <w:rPr>
          <w:i/>
          <w:iCs/>
          <w:color w:val="000000"/>
        </w:rPr>
        <w:t>American Economic Review</w:t>
      </w:r>
      <w:r>
        <w:rPr>
          <w:rStyle w:val="apple-converted-space"/>
          <w:rFonts w:eastAsiaTheme="majorEastAsia"/>
          <w:color w:val="000000"/>
        </w:rPr>
        <w:t> </w:t>
      </w:r>
      <w:r>
        <w:rPr>
          <w:color w:val="000000"/>
        </w:rPr>
        <w:t xml:space="preserve">104, no. 2 (February 1, 2014): 343–78. </w:t>
      </w:r>
      <w:hyperlink r:id="rId19" w:history="1">
        <w:r w:rsidR="00151C59" w:rsidRPr="00717E32">
          <w:rPr>
            <w:rStyle w:val="Hyperlink"/>
          </w:rPr>
          <w:t>https://doi.org/10.1257/aer.104.2.343</w:t>
        </w:r>
      </w:hyperlink>
      <w:r>
        <w:rPr>
          <w:color w:val="000000"/>
        </w:rPr>
        <w:t>.</w:t>
      </w:r>
      <w:r w:rsidR="00151C59">
        <w:rPr>
          <w:color w:val="000000"/>
        </w:rPr>
        <w:t xml:space="preserve"> </w:t>
      </w:r>
      <w:r>
        <w:rPr>
          <w:rStyle w:val="apple-converted-space"/>
          <w:rFonts w:eastAsiaTheme="majorEastAsia"/>
          <w:color w:val="000000"/>
        </w:rPr>
        <w:t> </w:t>
      </w:r>
    </w:p>
    <w:p w14:paraId="4037187E" w14:textId="35E14FF2" w:rsidR="00010CBE" w:rsidRPr="00010CBE" w:rsidRDefault="00630BDE" w:rsidP="00010CBE">
      <w:pPr>
        <w:pStyle w:val="NormalWeb"/>
        <w:spacing w:before="0" w:beforeAutospacing="0" w:after="0" w:afterAutospacing="0" w:line="360" w:lineRule="auto"/>
        <w:ind w:left="567" w:hanging="567"/>
        <w:rPr>
          <w:rStyle w:val="apple-converted-space"/>
          <w:rFonts w:eastAsiaTheme="majorEastAsia"/>
          <w:color w:val="000000"/>
        </w:rPr>
      </w:pPr>
      <w:r>
        <w:rPr>
          <w:color w:val="000000"/>
        </w:rPr>
        <w:lastRenderedPageBreak/>
        <w:t>Hamdaoui, Mekki, Abderraouf Mtiraoui, Zohra Aroussi, and Mounir Smida. “Understanding the Dynamics of Financial and Economic Crises: A Comprehensive Analysis.”</w:t>
      </w:r>
      <w:r>
        <w:rPr>
          <w:rStyle w:val="apple-converted-space"/>
          <w:rFonts w:eastAsiaTheme="majorEastAsia"/>
          <w:color w:val="000000"/>
        </w:rPr>
        <w:t> </w:t>
      </w:r>
      <w:r>
        <w:rPr>
          <w:i/>
          <w:iCs/>
          <w:color w:val="000000"/>
        </w:rPr>
        <w:t>Cogent Social Sciences</w:t>
      </w:r>
      <w:r>
        <w:rPr>
          <w:rStyle w:val="apple-converted-space"/>
          <w:rFonts w:eastAsiaTheme="majorEastAsia"/>
          <w:color w:val="000000"/>
        </w:rPr>
        <w:t> </w:t>
      </w:r>
      <w:r>
        <w:rPr>
          <w:color w:val="000000"/>
        </w:rPr>
        <w:t xml:space="preserve">11, no. 1 (February 7, 2025). </w:t>
      </w:r>
      <w:hyperlink r:id="rId20" w:history="1">
        <w:r w:rsidR="00010CBE" w:rsidRPr="00010CBE">
          <w:rPr>
            <w:rStyle w:val="Hyperlink"/>
          </w:rPr>
          <w:t>https://doi.org/10.1080/23311886.2025.2454740</w:t>
        </w:r>
      </w:hyperlink>
      <w:r w:rsidRPr="00010CBE">
        <w:rPr>
          <w:color w:val="000000"/>
        </w:rPr>
        <w:t>.</w:t>
      </w:r>
    </w:p>
    <w:p w14:paraId="70760EFA" w14:textId="1AEE8415" w:rsidR="00010CBE" w:rsidRPr="00010CBE" w:rsidRDefault="00010CBE" w:rsidP="00010CBE">
      <w:pPr>
        <w:pStyle w:val="NormalWeb"/>
        <w:spacing w:before="0" w:beforeAutospacing="0" w:after="0" w:afterAutospacing="0" w:line="360" w:lineRule="auto"/>
        <w:ind w:left="567" w:hanging="567"/>
        <w:rPr>
          <w:rFonts w:eastAsiaTheme="majorEastAsia"/>
          <w:color w:val="000000"/>
        </w:rPr>
      </w:pPr>
      <w:r w:rsidRPr="00010CBE">
        <w:rPr>
          <w:rStyle w:val="Strong"/>
          <w:rFonts w:eastAsiaTheme="majorEastAsia"/>
          <w:b w:val="0"/>
          <w:bCs w:val="0"/>
          <w:color w:val="000000"/>
        </w:rPr>
        <w:t>International Monetary Fund.</w:t>
      </w:r>
      <w:r w:rsidRPr="00010CBE">
        <w:rPr>
          <w:rStyle w:val="apple-converted-space"/>
          <w:rFonts w:eastAsiaTheme="majorEastAsia"/>
          <w:b/>
          <w:bCs/>
          <w:color w:val="000000"/>
        </w:rPr>
        <w:t> </w:t>
      </w:r>
      <w:r w:rsidRPr="00010CBE">
        <w:rPr>
          <w:color w:val="000000"/>
        </w:rPr>
        <w:t>2026.</w:t>
      </w:r>
      <w:r w:rsidRPr="00010CBE">
        <w:rPr>
          <w:rStyle w:val="apple-converted-space"/>
          <w:rFonts w:eastAsiaTheme="majorEastAsia"/>
          <w:color w:val="000000"/>
        </w:rPr>
        <w:t> </w:t>
      </w:r>
      <w:r w:rsidRPr="00010CBE">
        <w:rPr>
          <w:rStyle w:val="Emphasis"/>
          <w:rFonts w:eastAsiaTheme="majorEastAsia"/>
          <w:color w:val="000000"/>
        </w:rPr>
        <w:t>Global Financial Stability Report: Global Financial Markets Confront the War in the Middle East and Amplification Risks</w:t>
      </w:r>
      <w:r w:rsidRPr="00010CBE">
        <w:rPr>
          <w:color w:val="000000"/>
        </w:rPr>
        <w:t>. Washington, DC: International Monetary Fund.</w:t>
      </w:r>
      <w:r w:rsidRPr="00010CBE">
        <w:rPr>
          <w:rStyle w:val="apple-converted-space"/>
          <w:rFonts w:eastAsiaTheme="majorEastAsia"/>
          <w:color w:val="000000"/>
        </w:rPr>
        <w:t> </w:t>
      </w:r>
      <w:hyperlink r:id="rId21" w:tgtFrame="_new" w:history="1">
        <w:r w:rsidRPr="00010CBE">
          <w:rPr>
            <w:rStyle w:val="Hyperlink"/>
            <w:rFonts w:eastAsiaTheme="majorEastAsia"/>
          </w:rPr>
          <w:t>https://www.imf.org/-/media/files/publications/gfsr/2026/april/english/text.pdf</w:t>
        </w:r>
      </w:hyperlink>
    </w:p>
    <w:p w14:paraId="5A03E82F" w14:textId="77777777" w:rsidR="00630BDE" w:rsidRDefault="00630BDE" w:rsidP="00AA4398">
      <w:pPr>
        <w:pStyle w:val="NormalWeb"/>
        <w:spacing w:before="0" w:beforeAutospacing="0" w:after="0" w:afterAutospacing="0" w:line="360" w:lineRule="auto"/>
        <w:ind w:left="567" w:hanging="567"/>
        <w:rPr>
          <w:color w:val="000000"/>
        </w:rPr>
      </w:pPr>
      <w:r>
        <w:rPr>
          <w:color w:val="000000"/>
        </w:rPr>
        <w:t>Keynes, J. M. “A Treatise on Money: The Pure Theory of Money.”</w:t>
      </w:r>
      <w:r>
        <w:rPr>
          <w:rStyle w:val="apple-converted-space"/>
          <w:rFonts w:eastAsiaTheme="majorEastAsia"/>
          <w:color w:val="000000"/>
        </w:rPr>
        <w:t> </w:t>
      </w:r>
      <w:r>
        <w:rPr>
          <w:i/>
          <w:iCs/>
          <w:color w:val="000000"/>
        </w:rPr>
        <w:t>The History of Banking II, 1844-1959 Vol 10</w:t>
      </w:r>
      <w:r>
        <w:rPr>
          <w:color w:val="000000"/>
        </w:rPr>
        <w:t>, 1930, 86–104. https://doi.org/10.4324/9781003547150-7.</w:t>
      </w:r>
      <w:r>
        <w:rPr>
          <w:rStyle w:val="apple-converted-space"/>
          <w:rFonts w:eastAsiaTheme="majorEastAsia"/>
          <w:color w:val="000000"/>
        </w:rPr>
        <w:t> </w:t>
      </w:r>
    </w:p>
    <w:p w14:paraId="62EF4843" w14:textId="77777777" w:rsidR="00630BDE" w:rsidRDefault="00630BDE" w:rsidP="00AA4398">
      <w:pPr>
        <w:pStyle w:val="NormalWeb"/>
        <w:spacing w:before="0" w:beforeAutospacing="0" w:after="0" w:afterAutospacing="0" w:line="360" w:lineRule="auto"/>
        <w:ind w:left="567" w:hanging="567"/>
        <w:rPr>
          <w:color w:val="000000"/>
        </w:rPr>
      </w:pPr>
      <w:r>
        <w:rPr>
          <w:color w:val="000000"/>
        </w:rPr>
        <w:t>Kindleberger, Charles P., and Peter L. Bernstein.</w:t>
      </w:r>
      <w:r>
        <w:rPr>
          <w:rStyle w:val="apple-converted-space"/>
          <w:rFonts w:eastAsiaTheme="majorEastAsia"/>
          <w:color w:val="000000"/>
        </w:rPr>
        <w:t> </w:t>
      </w:r>
      <w:r>
        <w:rPr>
          <w:i/>
          <w:iCs/>
          <w:color w:val="000000"/>
        </w:rPr>
        <w:t>Manias, panics and crashes</w:t>
      </w:r>
      <w:r>
        <w:rPr>
          <w:color w:val="000000"/>
        </w:rPr>
        <w:t>, 2000. https://doi.org/10.1057/9780230536753.</w:t>
      </w:r>
      <w:r>
        <w:rPr>
          <w:rStyle w:val="apple-converted-space"/>
          <w:rFonts w:eastAsiaTheme="majorEastAsia"/>
          <w:color w:val="000000"/>
        </w:rPr>
        <w:t> </w:t>
      </w:r>
    </w:p>
    <w:p w14:paraId="10B40F7B" w14:textId="77777777" w:rsidR="00630BDE" w:rsidRDefault="00630BDE" w:rsidP="00AA4398">
      <w:pPr>
        <w:pStyle w:val="NormalWeb"/>
        <w:spacing w:before="0" w:beforeAutospacing="0" w:after="0" w:afterAutospacing="0" w:line="360" w:lineRule="auto"/>
        <w:ind w:left="567" w:hanging="567"/>
        <w:rPr>
          <w:color w:val="000000"/>
        </w:rPr>
      </w:pPr>
      <w:r>
        <w:rPr>
          <w:color w:val="000000"/>
        </w:rPr>
        <w:t>Kose, Ayhan, and Stijn Claessens. “Financial Crises Explanations, Types, and Implications.”</w:t>
      </w:r>
      <w:r>
        <w:rPr>
          <w:rStyle w:val="apple-converted-space"/>
          <w:rFonts w:eastAsiaTheme="majorEastAsia"/>
          <w:color w:val="000000"/>
        </w:rPr>
        <w:t> </w:t>
      </w:r>
      <w:r>
        <w:rPr>
          <w:i/>
          <w:iCs/>
          <w:color w:val="000000"/>
        </w:rPr>
        <w:t>IMF Working Papers</w:t>
      </w:r>
      <w:r>
        <w:rPr>
          <w:rStyle w:val="apple-converted-space"/>
          <w:rFonts w:eastAsiaTheme="majorEastAsia"/>
          <w:color w:val="000000"/>
        </w:rPr>
        <w:t> </w:t>
      </w:r>
      <w:r>
        <w:rPr>
          <w:color w:val="000000"/>
        </w:rPr>
        <w:t>2013, no. 028 (January 2013): 1. https://doi.org/10.5089/9781475561005.001.</w:t>
      </w:r>
      <w:r>
        <w:rPr>
          <w:rStyle w:val="apple-converted-space"/>
          <w:rFonts w:eastAsiaTheme="majorEastAsia"/>
          <w:color w:val="000000"/>
        </w:rPr>
        <w:t> </w:t>
      </w:r>
    </w:p>
    <w:p w14:paraId="66C28CB1" w14:textId="77777777" w:rsidR="00630BDE" w:rsidRDefault="00630BDE" w:rsidP="00AA4398">
      <w:pPr>
        <w:pStyle w:val="NormalWeb"/>
        <w:spacing w:before="0" w:beforeAutospacing="0" w:after="0" w:afterAutospacing="0" w:line="360" w:lineRule="auto"/>
        <w:ind w:left="567" w:hanging="567"/>
        <w:rPr>
          <w:rStyle w:val="apple-converted-space"/>
          <w:rFonts w:eastAsiaTheme="majorEastAsia"/>
          <w:color w:val="000000"/>
        </w:rPr>
      </w:pPr>
      <w:r>
        <w:rPr>
          <w:color w:val="000000"/>
        </w:rPr>
        <w:t>Levingston, Oliver. “Minsky’s Moment? The Rise of Depoliticised Keynesianism and Ideational Change at the Federal Reserve after the Financial Crisis of 2007/08.”</w:t>
      </w:r>
      <w:r>
        <w:rPr>
          <w:rStyle w:val="apple-converted-space"/>
          <w:rFonts w:eastAsiaTheme="majorEastAsia"/>
          <w:color w:val="000000"/>
        </w:rPr>
        <w:t> </w:t>
      </w:r>
      <w:r>
        <w:rPr>
          <w:i/>
          <w:iCs/>
          <w:color w:val="000000"/>
        </w:rPr>
        <w:t>Review of International Political Economy</w:t>
      </w:r>
      <w:r>
        <w:rPr>
          <w:rStyle w:val="apple-converted-space"/>
          <w:rFonts w:eastAsiaTheme="majorEastAsia"/>
          <w:color w:val="000000"/>
        </w:rPr>
        <w:t> </w:t>
      </w:r>
      <w:r>
        <w:rPr>
          <w:color w:val="000000"/>
        </w:rPr>
        <w:t>28, no. 6 (June 19, 2020): 1459–86. https://doi.org/10.1080/09692290.2020.1772848.</w:t>
      </w:r>
      <w:r>
        <w:rPr>
          <w:rStyle w:val="apple-converted-space"/>
          <w:rFonts w:eastAsiaTheme="majorEastAsia"/>
          <w:color w:val="000000"/>
        </w:rPr>
        <w:t> </w:t>
      </w:r>
    </w:p>
    <w:p w14:paraId="05532429" w14:textId="28EA49AB" w:rsidR="00630BDE" w:rsidRDefault="00630BDE" w:rsidP="0038208A">
      <w:pPr>
        <w:spacing w:line="360" w:lineRule="auto"/>
        <w:ind w:left="720" w:hanging="720"/>
      </w:pPr>
      <w:r w:rsidRPr="007A7E0C">
        <w:t>Minsky, Hyman P. Ph.D., "A Theory of Systemic Fragility" (1977).</w:t>
      </w:r>
      <w:r w:rsidRPr="007A7E0C">
        <w:rPr>
          <w:rFonts w:eastAsiaTheme="majorEastAsia"/>
        </w:rPr>
        <w:t> </w:t>
      </w:r>
      <w:r w:rsidRPr="007A7E0C">
        <w:rPr>
          <w:rFonts w:eastAsiaTheme="majorEastAsia"/>
          <w:i/>
          <w:iCs/>
        </w:rPr>
        <w:t>Hyman P. Minsky Archive</w:t>
      </w:r>
      <w:r w:rsidRPr="007A7E0C">
        <w:t xml:space="preserve">. 231. </w:t>
      </w:r>
      <w:hyperlink r:id="rId22" w:history="1">
        <w:r w:rsidRPr="007A7E0C">
          <w:rPr>
            <w:rStyle w:val="Hyperlink"/>
          </w:rPr>
          <w:t>https://digitalcommons.bard.edu/cgi/viewcontent.cgi?article=1230&amp;context=hm_archive</w:t>
        </w:r>
      </w:hyperlink>
    </w:p>
    <w:p w14:paraId="2EE0D5FD" w14:textId="686ED23F" w:rsidR="0038208A" w:rsidRPr="0038208A" w:rsidRDefault="0038208A" w:rsidP="0038208A">
      <w:pPr>
        <w:pStyle w:val="NormalWeb"/>
        <w:spacing w:before="0" w:beforeAutospacing="0" w:after="0" w:afterAutospacing="0"/>
        <w:ind w:left="567" w:hanging="567"/>
        <w:rPr>
          <w:color w:val="000000"/>
        </w:rPr>
      </w:pPr>
      <w:r>
        <w:rPr>
          <w:color w:val="000000"/>
        </w:rPr>
        <w:t>Radelet, Steven, and Jeffrey Sachs.</w:t>
      </w:r>
      <w:r>
        <w:rPr>
          <w:rStyle w:val="apple-converted-space"/>
          <w:rFonts w:eastAsiaTheme="majorEastAsia"/>
          <w:color w:val="000000"/>
        </w:rPr>
        <w:t> </w:t>
      </w:r>
      <w:r>
        <w:rPr>
          <w:i/>
          <w:iCs/>
          <w:color w:val="000000"/>
        </w:rPr>
        <w:t>The onset of the East Asian Financial Crisis</w:t>
      </w:r>
      <w:r>
        <w:rPr>
          <w:color w:val="000000"/>
        </w:rPr>
        <w:t xml:space="preserve">, August 1998. </w:t>
      </w:r>
      <w:hyperlink r:id="rId23" w:history="1">
        <w:r w:rsidRPr="00717E32">
          <w:rPr>
            <w:rStyle w:val="Hyperlink"/>
          </w:rPr>
          <w:t>https://doi.org/10.3386/w6680</w:t>
        </w:r>
      </w:hyperlink>
      <w:r>
        <w:rPr>
          <w:color w:val="000000"/>
        </w:rPr>
        <w:t>.</w:t>
      </w:r>
      <w:r>
        <w:rPr>
          <w:rStyle w:val="apple-converted-space"/>
          <w:rFonts w:eastAsiaTheme="majorEastAsia"/>
          <w:color w:val="000000"/>
        </w:rPr>
        <w:t xml:space="preserve"> </w:t>
      </w:r>
    </w:p>
    <w:p w14:paraId="6B2B4DE4" w14:textId="77581FAF" w:rsidR="00630BDE" w:rsidRPr="00630BDE" w:rsidRDefault="00630BDE" w:rsidP="00AA4398">
      <w:pPr>
        <w:pStyle w:val="NormalWeb"/>
        <w:spacing w:before="0" w:beforeAutospacing="0" w:after="0" w:afterAutospacing="0" w:line="360" w:lineRule="auto"/>
        <w:ind w:left="567" w:hanging="567"/>
        <w:rPr>
          <w:rFonts w:eastAsiaTheme="majorEastAsia"/>
          <w:color w:val="000000"/>
        </w:rPr>
      </w:pPr>
      <w:r>
        <w:rPr>
          <w:color w:val="000000"/>
        </w:rPr>
        <w:t>Rogoff, Kenneth, and Reinhart, Carmen M.</w:t>
      </w:r>
      <w:r>
        <w:rPr>
          <w:rStyle w:val="apple-converted-space"/>
          <w:rFonts w:eastAsiaTheme="majorEastAsia"/>
          <w:color w:val="000000"/>
        </w:rPr>
        <w:t> </w:t>
      </w:r>
      <w:r>
        <w:rPr>
          <w:i/>
          <w:iCs/>
          <w:color w:val="000000"/>
        </w:rPr>
        <w:t>This time is different</w:t>
      </w:r>
      <w:r>
        <w:rPr>
          <w:color w:val="000000"/>
        </w:rPr>
        <w:t>. Princeton University Press, 2009.</w:t>
      </w:r>
      <w:r>
        <w:rPr>
          <w:rStyle w:val="apple-converted-space"/>
          <w:rFonts w:eastAsiaTheme="majorEastAsia"/>
          <w:color w:val="000000"/>
        </w:rPr>
        <w:t> </w:t>
      </w:r>
    </w:p>
    <w:p w14:paraId="163D316C" w14:textId="77777777" w:rsidR="00630BDE" w:rsidRDefault="00630BDE" w:rsidP="00AA4398">
      <w:pPr>
        <w:pStyle w:val="NormalWeb"/>
        <w:spacing w:before="0" w:beforeAutospacing="0" w:after="0" w:afterAutospacing="0" w:line="360" w:lineRule="auto"/>
        <w:ind w:left="567" w:hanging="567"/>
        <w:rPr>
          <w:rStyle w:val="apple-converted-space"/>
          <w:rFonts w:eastAsiaTheme="majorEastAsia"/>
          <w:color w:val="000000"/>
        </w:rPr>
      </w:pPr>
      <w:r>
        <w:rPr>
          <w:color w:val="000000"/>
        </w:rPr>
        <w:t>Shiller, Robert.</w:t>
      </w:r>
      <w:r>
        <w:rPr>
          <w:rStyle w:val="apple-converted-space"/>
          <w:rFonts w:eastAsiaTheme="majorEastAsia"/>
          <w:color w:val="000000"/>
        </w:rPr>
        <w:t> </w:t>
      </w:r>
      <w:r>
        <w:rPr>
          <w:i/>
          <w:iCs/>
          <w:color w:val="000000"/>
        </w:rPr>
        <w:t>Do stock prices move too much to be justified by subsequent changes in dividends?</w:t>
      </w:r>
      <w:r>
        <w:rPr>
          <w:color w:val="000000"/>
        </w:rPr>
        <w:t>, February 1980. https://doi.org/10.3386/w0456.</w:t>
      </w:r>
      <w:r>
        <w:rPr>
          <w:rStyle w:val="apple-converted-space"/>
          <w:rFonts w:eastAsiaTheme="majorEastAsia"/>
          <w:color w:val="000000"/>
        </w:rPr>
        <w:t> </w:t>
      </w:r>
    </w:p>
    <w:p w14:paraId="18CDE04E" w14:textId="77777777" w:rsidR="00630BDE" w:rsidRPr="007A7E0C" w:rsidRDefault="00630BDE" w:rsidP="00AA4398">
      <w:pPr>
        <w:pStyle w:val="NormalWeb"/>
        <w:spacing w:before="0" w:beforeAutospacing="0" w:after="0" w:afterAutospacing="0" w:line="360" w:lineRule="auto"/>
        <w:ind w:left="720" w:hanging="720"/>
        <w:rPr>
          <w:color w:val="000000"/>
        </w:rPr>
      </w:pPr>
      <w:r w:rsidRPr="007A7E0C">
        <w:rPr>
          <w:color w:val="000000"/>
        </w:rPr>
        <w:t>Smith, Adam. 1776.</w:t>
      </w:r>
      <w:r w:rsidRPr="007A7E0C">
        <w:rPr>
          <w:rStyle w:val="apple-converted-space"/>
          <w:rFonts w:eastAsiaTheme="majorEastAsia"/>
          <w:color w:val="000000"/>
        </w:rPr>
        <w:t> </w:t>
      </w:r>
      <w:r w:rsidRPr="007A7E0C">
        <w:rPr>
          <w:rStyle w:val="Emphasis"/>
          <w:rFonts w:eastAsiaTheme="majorEastAsia"/>
          <w:color w:val="000000"/>
        </w:rPr>
        <w:t>An Inquiry into the Nature and Causes of the Wealth of Nations</w:t>
      </w:r>
      <w:r w:rsidRPr="007A7E0C">
        <w:rPr>
          <w:color w:val="000000"/>
        </w:rPr>
        <w:t>. London: W. Strahan and T. Cadell</w:t>
      </w:r>
    </w:p>
    <w:p w14:paraId="250BC419" w14:textId="0151A21B" w:rsidR="00630BDE" w:rsidRPr="00630BDE" w:rsidRDefault="00630BDE" w:rsidP="00AA4398">
      <w:pPr>
        <w:pStyle w:val="NormalWeb"/>
        <w:spacing w:before="0" w:beforeAutospacing="0" w:after="0" w:afterAutospacing="0" w:line="360" w:lineRule="auto"/>
        <w:ind w:left="720" w:hanging="720"/>
        <w:rPr>
          <w:color w:val="000000"/>
        </w:rPr>
      </w:pPr>
      <w:r w:rsidRPr="007A7E0C">
        <w:rPr>
          <w:color w:val="000000"/>
        </w:rPr>
        <w:t xml:space="preserve">Stigler, George J. 1971. “The </w:t>
      </w:r>
      <w:r w:rsidRPr="00053BED">
        <w:rPr>
          <w:color w:val="000000"/>
          <w14:reflection w14:blurRad="0" w14:stA="0" w14:stPos="0" w14:endA="0" w14:endPos="27000" w14:dist="0" w14:dir="0" w14:fadeDir="0" w14:sx="0" w14:sy="0" w14:kx="0" w14:ky="0" w14:algn="b"/>
        </w:rPr>
        <w:t>Theory</w:t>
      </w:r>
      <w:r w:rsidRPr="007A7E0C">
        <w:rPr>
          <w:color w:val="000000"/>
        </w:rPr>
        <w:t xml:space="preserve"> of Economic Regulation.”</w:t>
      </w:r>
      <w:r w:rsidRPr="007A7E0C">
        <w:rPr>
          <w:rStyle w:val="apple-converted-space"/>
          <w:rFonts w:eastAsiaTheme="majorEastAsia"/>
          <w:color w:val="000000"/>
        </w:rPr>
        <w:t> </w:t>
      </w:r>
      <w:r w:rsidRPr="007A7E0C">
        <w:rPr>
          <w:rStyle w:val="Emphasis"/>
          <w:rFonts w:eastAsiaTheme="majorEastAsia"/>
          <w:color w:val="000000"/>
        </w:rPr>
        <w:t>The Bell Journal of Economics and Management Science</w:t>
      </w:r>
      <w:r w:rsidRPr="007A7E0C">
        <w:rPr>
          <w:rStyle w:val="apple-converted-space"/>
          <w:rFonts w:eastAsiaTheme="majorEastAsia"/>
          <w:color w:val="000000"/>
        </w:rPr>
        <w:t> </w:t>
      </w:r>
      <w:r w:rsidRPr="007A7E0C">
        <w:rPr>
          <w:color w:val="000000"/>
        </w:rPr>
        <w:t>2 (1): 3–21.</w:t>
      </w:r>
    </w:p>
    <w:p w14:paraId="6616E05F" w14:textId="77777777" w:rsidR="00051136" w:rsidRDefault="00051136" w:rsidP="00AA4398">
      <w:pPr>
        <w:pStyle w:val="NormalWeb"/>
        <w:spacing w:before="0" w:beforeAutospacing="0" w:after="0" w:afterAutospacing="0" w:line="360" w:lineRule="auto"/>
        <w:ind w:left="720" w:hanging="720"/>
        <w:rPr>
          <w:color w:val="000000"/>
        </w:rPr>
      </w:pPr>
      <w:r w:rsidRPr="007A7E0C">
        <w:rPr>
          <w:color w:val="000000"/>
        </w:rPr>
        <w:lastRenderedPageBreak/>
        <w:t>Tullock, Gordon. 1967. “The Welfare Costs of Tariffs, Monopolies, and Theft.”</w:t>
      </w:r>
      <w:r w:rsidRPr="007A7E0C">
        <w:rPr>
          <w:rStyle w:val="apple-converted-space"/>
          <w:rFonts w:eastAsiaTheme="majorEastAsia"/>
          <w:color w:val="000000"/>
        </w:rPr>
        <w:t> </w:t>
      </w:r>
      <w:r w:rsidRPr="007A7E0C">
        <w:rPr>
          <w:rStyle w:val="Emphasis"/>
          <w:rFonts w:eastAsiaTheme="majorEastAsia"/>
          <w:color w:val="000000"/>
        </w:rPr>
        <w:t>Western Economic Journal</w:t>
      </w:r>
      <w:r w:rsidRPr="007A7E0C">
        <w:rPr>
          <w:rStyle w:val="apple-converted-space"/>
          <w:rFonts w:eastAsiaTheme="majorEastAsia"/>
          <w:color w:val="000000"/>
        </w:rPr>
        <w:t> </w:t>
      </w:r>
      <w:r w:rsidRPr="007A7E0C">
        <w:rPr>
          <w:color w:val="000000"/>
        </w:rPr>
        <w:t>5 (3): 224–232.</w:t>
      </w:r>
    </w:p>
    <w:p w14:paraId="6DCF3BAE" w14:textId="54442924" w:rsidR="00010CBE" w:rsidRPr="007A7E0C" w:rsidRDefault="00010CBE" w:rsidP="00AA4398">
      <w:pPr>
        <w:pStyle w:val="NormalWeb"/>
        <w:spacing w:before="0" w:beforeAutospacing="0" w:after="0" w:afterAutospacing="0" w:line="360" w:lineRule="auto"/>
        <w:ind w:left="720" w:hanging="720"/>
        <w:rPr>
          <w:color w:val="000000"/>
        </w:rPr>
      </w:pPr>
      <w:r w:rsidRPr="00053BED">
        <w:rPr>
          <w:color w:val="000000"/>
        </w:rPr>
        <w:t>World Bank.</w:t>
      </w:r>
      <w:r w:rsidRPr="00010CBE">
        <w:rPr>
          <w:color w:val="000000"/>
        </w:rPr>
        <w:t> 2026. </w:t>
      </w:r>
      <w:r w:rsidRPr="00010CBE">
        <w:rPr>
          <w:i/>
          <w:iCs/>
          <w:color w:val="000000"/>
        </w:rPr>
        <w:t>Global Economic Prospects, January 2026</w:t>
      </w:r>
      <w:r w:rsidRPr="00010CBE">
        <w:rPr>
          <w:color w:val="000000"/>
        </w:rPr>
        <w:t>. Washington, DC: World Bank. </w:t>
      </w:r>
      <w:hyperlink r:id="rId24" w:tgtFrame="_new" w:history="1">
        <w:r w:rsidRPr="00010CBE">
          <w:rPr>
            <w:rStyle w:val="Hyperlink"/>
          </w:rPr>
          <w:t>https://www.worldbank.org/en/publication/global-economic-prospects</w:t>
        </w:r>
      </w:hyperlink>
    </w:p>
    <w:p w14:paraId="6BEED2A8" w14:textId="77777777" w:rsidR="00463B35" w:rsidRPr="00463B35" w:rsidRDefault="00463B35" w:rsidP="00463B35">
      <w:pPr>
        <w:spacing w:before="100" w:beforeAutospacing="1" w:after="100" w:afterAutospacing="1"/>
        <w:textAlignment w:val="baseline"/>
        <w:rPr>
          <w:rFonts w:ascii="inherit" w:hAnsi="inherit" w:cs="Segoe UI"/>
          <w:color w:val="000000"/>
        </w:rPr>
      </w:pPr>
    </w:p>
    <w:sectPr w:rsidR="00463B35" w:rsidRPr="00463B35" w:rsidSect="00F94158">
      <w:footerReference w:type="even" r:id="rId25"/>
      <w:footerReference w:type="default" r:id="rId2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8FF4C" w14:textId="77777777" w:rsidR="004C0FC0" w:rsidRDefault="004C0FC0" w:rsidP="00180F20">
      <w:r>
        <w:separator/>
      </w:r>
    </w:p>
  </w:endnote>
  <w:endnote w:type="continuationSeparator" w:id="0">
    <w:p w14:paraId="60FA7D06" w14:textId="77777777" w:rsidR="004C0FC0" w:rsidRDefault="004C0FC0" w:rsidP="0018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inherit">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4837890"/>
      <w:docPartObj>
        <w:docPartGallery w:val="Page Numbers (Bottom of Page)"/>
        <w:docPartUnique/>
      </w:docPartObj>
    </w:sdtPr>
    <w:sdtContent>
      <w:p w14:paraId="504573CD" w14:textId="0938588F" w:rsidR="000B2FD4" w:rsidRDefault="000B2FD4" w:rsidP="00717E3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453143094"/>
      <w:docPartObj>
        <w:docPartGallery w:val="Page Numbers (Bottom of Page)"/>
        <w:docPartUnique/>
      </w:docPartObj>
    </w:sdtPr>
    <w:sdtContent>
      <w:p w14:paraId="28EB20AE" w14:textId="5380C138" w:rsidR="000B2FD4" w:rsidRDefault="000B2FD4" w:rsidP="00717E3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B07A6E" w14:textId="77777777" w:rsidR="000B2FD4" w:rsidRDefault="000B2F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6243515"/>
      <w:docPartObj>
        <w:docPartGallery w:val="Page Numbers (Bottom of Page)"/>
        <w:docPartUnique/>
      </w:docPartObj>
    </w:sdtPr>
    <w:sdtContent>
      <w:p w14:paraId="75BFA819" w14:textId="04C304D7" w:rsidR="000B2FD4" w:rsidRDefault="000B2FD4" w:rsidP="000B2F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sdtContent>
  </w:sdt>
  <w:p w14:paraId="4485D8F4" w14:textId="77777777" w:rsidR="000B2FD4" w:rsidRDefault="000B2F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F3BC2" w14:textId="77777777" w:rsidR="004C0FC0" w:rsidRDefault="004C0FC0" w:rsidP="00180F20">
      <w:r>
        <w:separator/>
      </w:r>
    </w:p>
  </w:footnote>
  <w:footnote w:type="continuationSeparator" w:id="0">
    <w:p w14:paraId="4027794B" w14:textId="77777777" w:rsidR="004C0FC0" w:rsidRDefault="004C0FC0" w:rsidP="00180F20">
      <w:r>
        <w:continuationSeparator/>
      </w:r>
    </w:p>
  </w:footnote>
  <w:footnote w:id="1">
    <w:p w14:paraId="5B6615FB" w14:textId="421A1820" w:rsidR="00C21152" w:rsidRPr="00C21152" w:rsidRDefault="00C21152" w:rsidP="00C21152">
      <w:pPr>
        <w:pStyle w:val="FootnoteText"/>
        <w:jc w:val="both"/>
        <w:rPr>
          <w:sz w:val="16"/>
          <w:szCs w:val="16"/>
        </w:rPr>
      </w:pPr>
      <w:r w:rsidRPr="00C21152">
        <w:rPr>
          <w:rStyle w:val="FootnoteReference"/>
          <w:sz w:val="16"/>
          <w:szCs w:val="16"/>
        </w:rPr>
        <w:footnoteRef/>
      </w:r>
      <w:r w:rsidRPr="00C21152">
        <w:rPr>
          <w:sz w:val="16"/>
          <w:szCs w:val="16"/>
        </w:rPr>
        <w:t xml:space="preserve"> </w:t>
      </w:r>
      <w:r w:rsidRPr="00C21152">
        <w:rPr>
          <w:b/>
          <w:bCs/>
          <w:sz w:val="16"/>
          <w:szCs w:val="16"/>
        </w:rPr>
        <w:t>Animal spirits</w:t>
      </w:r>
      <w:r w:rsidRPr="00C21152">
        <w:rPr>
          <w:sz w:val="16"/>
          <w:szCs w:val="16"/>
        </w:rPr>
        <w:t> refer to the emotional and psychological factors, such as spontaneous optimism, fear, confidence, and herd mentality, that influence economic decision-making, particularly in situations of high uncertainty</w:t>
      </w:r>
    </w:p>
  </w:footnote>
  <w:footnote w:id="2">
    <w:p w14:paraId="66EDC126" w14:textId="2B6FA43D" w:rsidR="005B38C7" w:rsidRPr="005B38C7" w:rsidRDefault="005B38C7">
      <w:pPr>
        <w:pStyle w:val="FootnoteText"/>
        <w:rPr>
          <w:sz w:val="16"/>
          <w:szCs w:val="16"/>
          <w:lang w:val="en-GB"/>
        </w:rPr>
      </w:pPr>
      <w:r w:rsidRPr="005B38C7">
        <w:rPr>
          <w:rStyle w:val="FootnoteReference"/>
          <w:sz w:val="16"/>
          <w:szCs w:val="16"/>
        </w:rPr>
        <w:footnoteRef/>
      </w:r>
      <w:r w:rsidRPr="005B38C7">
        <w:rPr>
          <w:sz w:val="16"/>
          <w:szCs w:val="16"/>
        </w:rPr>
        <w:t xml:space="preserve"> Plotted using the S&amp;P/Case-Shiller Home Price Index, a monthly repeat-sales measure of U.S. single-family home prices across major metropolitan areas and the national market.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248"/>
    <w:multiLevelType w:val="multilevel"/>
    <w:tmpl w:val="F1E4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0040"/>
    <w:multiLevelType w:val="multilevel"/>
    <w:tmpl w:val="71647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0614B"/>
    <w:multiLevelType w:val="multilevel"/>
    <w:tmpl w:val="A61A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E2D2A"/>
    <w:multiLevelType w:val="multilevel"/>
    <w:tmpl w:val="BE8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B2753"/>
    <w:multiLevelType w:val="multilevel"/>
    <w:tmpl w:val="909E6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24FD1"/>
    <w:multiLevelType w:val="multilevel"/>
    <w:tmpl w:val="8C26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D3A73"/>
    <w:multiLevelType w:val="multilevel"/>
    <w:tmpl w:val="26E2F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A1450"/>
    <w:multiLevelType w:val="hybridMultilevel"/>
    <w:tmpl w:val="1004BD3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723727"/>
    <w:multiLevelType w:val="multilevel"/>
    <w:tmpl w:val="3086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27C0F"/>
    <w:multiLevelType w:val="multilevel"/>
    <w:tmpl w:val="1D02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040A2"/>
    <w:multiLevelType w:val="multilevel"/>
    <w:tmpl w:val="791A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E94766"/>
    <w:multiLevelType w:val="multilevel"/>
    <w:tmpl w:val="C4207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B0B21"/>
    <w:multiLevelType w:val="multilevel"/>
    <w:tmpl w:val="4094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8631D"/>
    <w:multiLevelType w:val="multilevel"/>
    <w:tmpl w:val="46E2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123DC"/>
    <w:multiLevelType w:val="multilevel"/>
    <w:tmpl w:val="D40E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92F87"/>
    <w:multiLevelType w:val="hybridMultilevel"/>
    <w:tmpl w:val="0C00C44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51A341D"/>
    <w:multiLevelType w:val="multilevel"/>
    <w:tmpl w:val="FF8A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D48F7"/>
    <w:multiLevelType w:val="hybridMultilevel"/>
    <w:tmpl w:val="F65A6532"/>
    <w:lvl w:ilvl="0" w:tplc="847CEAD0">
      <w:numFmt w:val="bullet"/>
      <w:lvlText w:val="-"/>
      <w:lvlJc w:val="left"/>
      <w:pPr>
        <w:ind w:left="720" w:hanging="360"/>
      </w:pPr>
      <w:rPr>
        <w:rFonts w:ascii="Times New Roman" w:eastAsia="Times New Roman" w:hAnsi="Times New Roman" w:cs="Times New Roman" w:hint="default"/>
        <w:color w:val="FF0000"/>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6CC3B50"/>
    <w:multiLevelType w:val="multilevel"/>
    <w:tmpl w:val="32BE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446F6"/>
    <w:multiLevelType w:val="multilevel"/>
    <w:tmpl w:val="3F7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E31E5"/>
    <w:multiLevelType w:val="hybridMultilevel"/>
    <w:tmpl w:val="C9846C36"/>
    <w:lvl w:ilvl="0" w:tplc="2404390C">
      <w:numFmt w:val="bullet"/>
      <w:lvlText w:val=""/>
      <w:lvlJc w:val="left"/>
      <w:pPr>
        <w:ind w:left="720" w:hanging="360"/>
      </w:pPr>
      <w:rPr>
        <w:rFonts w:ascii="Wingdings" w:eastAsia="Arial"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58296B"/>
    <w:multiLevelType w:val="multilevel"/>
    <w:tmpl w:val="3EF8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2201E"/>
    <w:multiLevelType w:val="multilevel"/>
    <w:tmpl w:val="B2DC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276AD"/>
    <w:multiLevelType w:val="multilevel"/>
    <w:tmpl w:val="4A0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008D7"/>
    <w:multiLevelType w:val="multilevel"/>
    <w:tmpl w:val="A334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97D8F"/>
    <w:multiLevelType w:val="multilevel"/>
    <w:tmpl w:val="5F0C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BF784D"/>
    <w:multiLevelType w:val="multilevel"/>
    <w:tmpl w:val="C33A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60AFE"/>
    <w:multiLevelType w:val="hybridMultilevel"/>
    <w:tmpl w:val="CB669AB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6A9765C"/>
    <w:multiLevelType w:val="multilevel"/>
    <w:tmpl w:val="E4A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437E8"/>
    <w:multiLevelType w:val="multilevel"/>
    <w:tmpl w:val="1C28A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7C48BA"/>
    <w:multiLevelType w:val="multilevel"/>
    <w:tmpl w:val="B9D8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408835">
    <w:abstractNumId w:val="10"/>
  </w:num>
  <w:num w:numId="2" w16cid:durableId="1097750315">
    <w:abstractNumId w:val="23"/>
  </w:num>
  <w:num w:numId="3" w16cid:durableId="1865941068">
    <w:abstractNumId w:val="26"/>
  </w:num>
  <w:num w:numId="4" w16cid:durableId="496388789">
    <w:abstractNumId w:val="1"/>
  </w:num>
  <w:num w:numId="5" w16cid:durableId="2114785193">
    <w:abstractNumId w:val="29"/>
  </w:num>
  <w:num w:numId="6" w16cid:durableId="719594505">
    <w:abstractNumId w:val="4"/>
  </w:num>
  <w:num w:numId="7" w16cid:durableId="1376584779">
    <w:abstractNumId w:val="5"/>
  </w:num>
  <w:num w:numId="8" w16cid:durableId="2044548219">
    <w:abstractNumId w:val="0"/>
  </w:num>
  <w:num w:numId="9" w16cid:durableId="1864174686">
    <w:abstractNumId w:val="16"/>
  </w:num>
  <w:num w:numId="10" w16cid:durableId="615718721">
    <w:abstractNumId w:val="11"/>
  </w:num>
  <w:num w:numId="11" w16cid:durableId="897738867">
    <w:abstractNumId w:val="18"/>
  </w:num>
  <w:num w:numId="12" w16cid:durableId="2049452202">
    <w:abstractNumId w:val="22"/>
  </w:num>
  <w:num w:numId="13" w16cid:durableId="840773235">
    <w:abstractNumId w:val="13"/>
  </w:num>
  <w:num w:numId="14" w16cid:durableId="41559241">
    <w:abstractNumId w:val="14"/>
  </w:num>
  <w:num w:numId="15" w16cid:durableId="1278023463">
    <w:abstractNumId w:val="24"/>
  </w:num>
  <w:num w:numId="16" w16cid:durableId="2118980467">
    <w:abstractNumId w:val="28"/>
  </w:num>
  <w:num w:numId="17" w16cid:durableId="1460605410">
    <w:abstractNumId w:val="21"/>
  </w:num>
  <w:num w:numId="18" w16cid:durableId="681204793">
    <w:abstractNumId w:val="19"/>
  </w:num>
  <w:num w:numId="19" w16cid:durableId="1101024407">
    <w:abstractNumId w:val="9"/>
  </w:num>
  <w:num w:numId="20" w16cid:durableId="1594166492">
    <w:abstractNumId w:val="30"/>
  </w:num>
  <w:num w:numId="21" w16cid:durableId="624969282">
    <w:abstractNumId w:val="3"/>
  </w:num>
  <w:num w:numId="22" w16cid:durableId="1751345590">
    <w:abstractNumId w:val="2"/>
  </w:num>
  <w:num w:numId="23" w16cid:durableId="855583617">
    <w:abstractNumId w:val="12"/>
  </w:num>
  <w:num w:numId="24" w16cid:durableId="916867424">
    <w:abstractNumId w:val="8"/>
  </w:num>
  <w:num w:numId="25" w16cid:durableId="1437095140">
    <w:abstractNumId w:val="6"/>
  </w:num>
  <w:num w:numId="26" w16cid:durableId="1134441774">
    <w:abstractNumId w:val="25"/>
  </w:num>
  <w:num w:numId="27" w16cid:durableId="98839780">
    <w:abstractNumId w:val="20"/>
  </w:num>
  <w:num w:numId="28" w16cid:durableId="1394891836">
    <w:abstractNumId w:val="17"/>
  </w:num>
  <w:num w:numId="29" w16cid:durableId="1289823095">
    <w:abstractNumId w:val="15"/>
  </w:num>
  <w:num w:numId="30" w16cid:durableId="456602696">
    <w:abstractNumId w:val="27"/>
  </w:num>
  <w:num w:numId="31" w16cid:durableId="17488383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12E"/>
    <w:rsid w:val="00010CBE"/>
    <w:rsid w:val="00024A25"/>
    <w:rsid w:val="000428C0"/>
    <w:rsid w:val="00051136"/>
    <w:rsid w:val="00053BED"/>
    <w:rsid w:val="00061F21"/>
    <w:rsid w:val="00066DDE"/>
    <w:rsid w:val="00072CDF"/>
    <w:rsid w:val="000903D6"/>
    <w:rsid w:val="000B1C62"/>
    <w:rsid w:val="000B2FD4"/>
    <w:rsid w:val="000D18AD"/>
    <w:rsid w:val="000E27A9"/>
    <w:rsid w:val="00151C59"/>
    <w:rsid w:val="00155660"/>
    <w:rsid w:val="00164F37"/>
    <w:rsid w:val="00180F20"/>
    <w:rsid w:val="001A6B51"/>
    <w:rsid w:val="001B321E"/>
    <w:rsid w:val="001C2BC0"/>
    <w:rsid w:val="00217B8A"/>
    <w:rsid w:val="00231399"/>
    <w:rsid w:val="00237C37"/>
    <w:rsid w:val="00246398"/>
    <w:rsid w:val="0027362F"/>
    <w:rsid w:val="002A3A8B"/>
    <w:rsid w:val="002B5035"/>
    <w:rsid w:val="002D5490"/>
    <w:rsid w:val="002F4238"/>
    <w:rsid w:val="002F7722"/>
    <w:rsid w:val="003120E0"/>
    <w:rsid w:val="00325AD4"/>
    <w:rsid w:val="003600B6"/>
    <w:rsid w:val="00364159"/>
    <w:rsid w:val="0038208A"/>
    <w:rsid w:val="003936A2"/>
    <w:rsid w:val="003968F7"/>
    <w:rsid w:val="003F7FCE"/>
    <w:rsid w:val="0040043A"/>
    <w:rsid w:val="00403ED9"/>
    <w:rsid w:val="004253F0"/>
    <w:rsid w:val="004443D3"/>
    <w:rsid w:val="0044706F"/>
    <w:rsid w:val="00463B35"/>
    <w:rsid w:val="00481AC2"/>
    <w:rsid w:val="00494F43"/>
    <w:rsid w:val="00495BF0"/>
    <w:rsid w:val="004C0FC0"/>
    <w:rsid w:val="004C276F"/>
    <w:rsid w:val="004C62B8"/>
    <w:rsid w:val="004D0F33"/>
    <w:rsid w:val="004E568D"/>
    <w:rsid w:val="004F69DF"/>
    <w:rsid w:val="0050570B"/>
    <w:rsid w:val="005109B1"/>
    <w:rsid w:val="00537DA5"/>
    <w:rsid w:val="005517B7"/>
    <w:rsid w:val="005801CC"/>
    <w:rsid w:val="005A7AE9"/>
    <w:rsid w:val="005B38C7"/>
    <w:rsid w:val="005E73CD"/>
    <w:rsid w:val="00630BDE"/>
    <w:rsid w:val="00643BF1"/>
    <w:rsid w:val="0065152D"/>
    <w:rsid w:val="00654639"/>
    <w:rsid w:val="00663DC6"/>
    <w:rsid w:val="00672BFF"/>
    <w:rsid w:val="00673611"/>
    <w:rsid w:val="006936FC"/>
    <w:rsid w:val="006937FA"/>
    <w:rsid w:val="007265F7"/>
    <w:rsid w:val="007318FA"/>
    <w:rsid w:val="007612A2"/>
    <w:rsid w:val="00776636"/>
    <w:rsid w:val="007A7E0C"/>
    <w:rsid w:val="007E765D"/>
    <w:rsid w:val="00804885"/>
    <w:rsid w:val="0083575A"/>
    <w:rsid w:val="00872707"/>
    <w:rsid w:val="008A5E07"/>
    <w:rsid w:val="008C431B"/>
    <w:rsid w:val="008D6035"/>
    <w:rsid w:val="00921449"/>
    <w:rsid w:val="009253C0"/>
    <w:rsid w:val="00927E38"/>
    <w:rsid w:val="009472BD"/>
    <w:rsid w:val="00955A27"/>
    <w:rsid w:val="00964F56"/>
    <w:rsid w:val="009661E1"/>
    <w:rsid w:val="0097461D"/>
    <w:rsid w:val="0099772E"/>
    <w:rsid w:val="009A4070"/>
    <w:rsid w:val="009E74EA"/>
    <w:rsid w:val="009F02A3"/>
    <w:rsid w:val="00A01A3D"/>
    <w:rsid w:val="00A51A99"/>
    <w:rsid w:val="00A5331B"/>
    <w:rsid w:val="00A5764A"/>
    <w:rsid w:val="00AA4398"/>
    <w:rsid w:val="00AA45B5"/>
    <w:rsid w:val="00AA7A41"/>
    <w:rsid w:val="00AC7292"/>
    <w:rsid w:val="00AF3DF1"/>
    <w:rsid w:val="00B56851"/>
    <w:rsid w:val="00B62270"/>
    <w:rsid w:val="00B75F62"/>
    <w:rsid w:val="00B776ED"/>
    <w:rsid w:val="00B84496"/>
    <w:rsid w:val="00B85371"/>
    <w:rsid w:val="00B8604E"/>
    <w:rsid w:val="00BB58CB"/>
    <w:rsid w:val="00BC120F"/>
    <w:rsid w:val="00BD5796"/>
    <w:rsid w:val="00C0332E"/>
    <w:rsid w:val="00C21152"/>
    <w:rsid w:val="00C27502"/>
    <w:rsid w:val="00C462C5"/>
    <w:rsid w:val="00C52430"/>
    <w:rsid w:val="00C915ED"/>
    <w:rsid w:val="00C97EDD"/>
    <w:rsid w:val="00CA0F0A"/>
    <w:rsid w:val="00CD1979"/>
    <w:rsid w:val="00CF1461"/>
    <w:rsid w:val="00CF44B7"/>
    <w:rsid w:val="00D124F0"/>
    <w:rsid w:val="00D763FE"/>
    <w:rsid w:val="00D91F79"/>
    <w:rsid w:val="00DA30F8"/>
    <w:rsid w:val="00DA409B"/>
    <w:rsid w:val="00DC4C88"/>
    <w:rsid w:val="00E12F2C"/>
    <w:rsid w:val="00E23AE6"/>
    <w:rsid w:val="00E3425B"/>
    <w:rsid w:val="00E36EA9"/>
    <w:rsid w:val="00E60953"/>
    <w:rsid w:val="00E7512E"/>
    <w:rsid w:val="00EA1D1C"/>
    <w:rsid w:val="00F01B6B"/>
    <w:rsid w:val="00F94158"/>
    <w:rsid w:val="00FA7119"/>
    <w:rsid w:val="00FD04F5"/>
    <w:rsid w:val="00FD514B"/>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1705"/>
  <w15:chartTrackingRefBased/>
  <w15:docId w15:val="{E2ED212B-5C07-784B-85F1-A837FB6E0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BED"/>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75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5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5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1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1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1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1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5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5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12E"/>
    <w:rPr>
      <w:rFonts w:eastAsiaTheme="majorEastAsia" w:cstheme="majorBidi"/>
      <w:color w:val="272727" w:themeColor="text1" w:themeTint="D8"/>
    </w:rPr>
  </w:style>
  <w:style w:type="paragraph" w:styleId="Title">
    <w:name w:val="Title"/>
    <w:basedOn w:val="Normal"/>
    <w:next w:val="Normal"/>
    <w:link w:val="TitleChar"/>
    <w:uiPriority w:val="10"/>
    <w:qFormat/>
    <w:rsid w:val="00E751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12E"/>
    <w:pPr>
      <w:spacing w:before="160"/>
      <w:jc w:val="center"/>
    </w:pPr>
    <w:rPr>
      <w:i/>
      <w:iCs/>
      <w:color w:val="404040" w:themeColor="text1" w:themeTint="BF"/>
    </w:rPr>
  </w:style>
  <w:style w:type="character" w:customStyle="1" w:styleId="QuoteChar">
    <w:name w:val="Quote Char"/>
    <w:basedOn w:val="DefaultParagraphFont"/>
    <w:link w:val="Quote"/>
    <w:uiPriority w:val="29"/>
    <w:rsid w:val="00E7512E"/>
    <w:rPr>
      <w:i/>
      <w:iCs/>
      <w:color w:val="404040" w:themeColor="text1" w:themeTint="BF"/>
    </w:rPr>
  </w:style>
  <w:style w:type="paragraph" w:styleId="ListParagraph">
    <w:name w:val="List Paragraph"/>
    <w:basedOn w:val="Normal"/>
    <w:uiPriority w:val="34"/>
    <w:qFormat/>
    <w:rsid w:val="00E7512E"/>
    <w:pPr>
      <w:ind w:left="720"/>
      <w:contextualSpacing/>
    </w:pPr>
  </w:style>
  <w:style w:type="character" w:styleId="IntenseEmphasis">
    <w:name w:val="Intense Emphasis"/>
    <w:basedOn w:val="DefaultParagraphFont"/>
    <w:uiPriority w:val="21"/>
    <w:qFormat/>
    <w:rsid w:val="00E7512E"/>
    <w:rPr>
      <w:i/>
      <w:iCs/>
      <w:color w:val="0F4761" w:themeColor="accent1" w:themeShade="BF"/>
    </w:rPr>
  </w:style>
  <w:style w:type="paragraph" w:styleId="IntenseQuote">
    <w:name w:val="Intense Quote"/>
    <w:basedOn w:val="Normal"/>
    <w:next w:val="Normal"/>
    <w:link w:val="IntenseQuoteChar"/>
    <w:uiPriority w:val="30"/>
    <w:qFormat/>
    <w:rsid w:val="00E75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12E"/>
    <w:rPr>
      <w:i/>
      <w:iCs/>
      <w:color w:val="0F4761" w:themeColor="accent1" w:themeShade="BF"/>
    </w:rPr>
  </w:style>
  <w:style w:type="character" w:styleId="IntenseReference">
    <w:name w:val="Intense Reference"/>
    <w:basedOn w:val="DefaultParagraphFont"/>
    <w:uiPriority w:val="32"/>
    <w:qFormat/>
    <w:rsid w:val="00E7512E"/>
    <w:rPr>
      <w:b/>
      <w:bCs/>
      <w:smallCaps/>
      <w:color w:val="0F4761" w:themeColor="accent1" w:themeShade="BF"/>
      <w:spacing w:val="5"/>
    </w:rPr>
  </w:style>
  <w:style w:type="character" w:customStyle="1" w:styleId="apple-converted-space">
    <w:name w:val="apple-converted-space"/>
    <w:basedOn w:val="DefaultParagraphFont"/>
    <w:rsid w:val="00237C37"/>
  </w:style>
  <w:style w:type="character" w:styleId="Strong">
    <w:name w:val="Strong"/>
    <w:basedOn w:val="DefaultParagraphFont"/>
    <w:uiPriority w:val="22"/>
    <w:qFormat/>
    <w:rsid w:val="00237C37"/>
    <w:rPr>
      <w:b/>
      <w:bCs/>
    </w:rPr>
  </w:style>
  <w:style w:type="paragraph" w:styleId="NormalWeb">
    <w:name w:val="Normal (Web)"/>
    <w:basedOn w:val="Normal"/>
    <w:uiPriority w:val="99"/>
    <w:unhideWhenUsed/>
    <w:rsid w:val="00237C37"/>
    <w:pPr>
      <w:spacing w:before="100" w:beforeAutospacing="1" w:after="100" w:afterAutospacing="1"/>
    </w:pPr>
  </w:style>
  <w:style w:type="paragraph" w:customStyle="1" w:styleId="p1">
    <w:name w:val="p1"/>
    <w:basedOn w:val="Normal"/>
    <w:rsid w:val="00CD1979"/>
    <w:rPr>
      <w:color w:val="000000"/>
      <w:sz w:val="18"/>
      <w:szCs w:val="18"/>
    </w:rPr>
  </w:style>
  <w:style w:type="character" w:customStyle="1" w:styleId="s1">
    <w:name w:val="s1"/>
    <w:basedOn w:val="DefaultParagraphFont"/>
    <w:rsid w:val="000D18AD"/>
    <w:rPr>
      <w:rFonts w:ascii="Times New Roman" w:hAnsi="Times New Roman" w:cs="Times New Roman" w:hint="default"/>
      <w:sz w:val="12"/>
      <w:szCs w:val="12"/>
    </w:rPr>
  </w:style>
  <w:style w:type="character" w:styleId="Hyperlink">
    <w:name w:val="Hyperlink"/>
    <w:basedOn w:val="DefaultParagraphFont"/>
    <w:uiPriority w:val="99"/>
    <w:unhideWhenUsed/>
    <w:rsid w:val="00B56851"/>
    <w:rPr>
      <w:color w:val="467886" w:themeColor="hyperlink"/>
      <w:u w:val="single"/>
    </w:rPr>
  </w:style>
  <w:style w:type="character" w:styleId="UnresolvedMention">
    <w:name w:val="Unresolved Mention"/>
    <w:basedOn w:val="DefaultParagraphFont"/>
    <w:uiPriority w:val="99"/>
    <w:semiHidden/>
    <w:unhideWhenUsed/>
    <w:rsid w:val="00B56851"/>
    <w:rPr>
      <w:color w:val="605E5C"/>
      <w:shd w:val="clear" w:color="auto" w:fill="E1DFDD"/>
    </w:rPr>
  </w:style>
  <w:style w:type="character" w:customStyle="1" w:styleId="ref-lnk">
    <w:name w:val="ref-lnk"/>
    <w:basedOn w:val="DefaultParagraphFont"/>
    <w:rsid w:val="00180F20"/>
  </w:style>
  <w:style w:type="character" w:customStyle="1" w:styleId="off-screen">
    <w:name w:val="off-screen"/>
    <w:basedOn w:val="DefaultParagraphFont"/>
    <w:rsid w:val="00180F20"/>
  </w:style>
  <w:style w:type="paragraph" w:styleId="Header">
    <w:name w:val="header"/>
    <w:basedOn w:val="Normal"/>
    <w:link w:val="HeaderChar"/>
    <w:uiPriority w:val="99"/>
    <w:unhideWhenUsed/>
    <w:rsid w:val="00180F20"/>
    <w:pPr>
      <w:tabs>
        <w:tab w:val="center" w:pos="4513"/>
        <w:tab w:val="right" w:pos="9026"/>
      </w:tabs>
    </w:pPr>
  </w:style>
  <w:style w:type="character" w:customStyle="1" w:styleId="HeaderChar">
    <w:name w:val="Header Char"/>
    <w:basedOn w:val="DefaultParagraphFont"/>
    <w:link w:val="Header"/>
    <w:uiPriority w:val="99"/>
    <w:rsid w:val="00180F20"/>
  </w:style>
  <w:style w:type="paragraph" w:styleId="Footer">
    <w:name w:val="footer"/>
    <w:basedOn w:val="Normal"/>
    <w:link w:val="FooterChar"/>
    <w:uiPriority w:val="99"/>
    <w:unhideWhenUsed/>
    <w:rsid w:val="00180F20"/>
    <w:pPr>
      <w:tabs>
        <w:tab w:val="center" w:pos="4513"/>
        <w:tab w:val="right" w:pos="9026"/>
      </w:tabs>
    </w:pPr>
  </w:style>
  <w:style w:type="character" w:customStyle="1" w:styleId="FooterChar">
    <w:name w:val="Footer Char"/>
    <w:basedOn w:val="DefaultParagraphFont"/>
    <w:link w:val="Footer"/>
    <w:uiPriority w:val="99"/>
    <w:rsid w:val="00180F20"/>
  </w:style>
  <w:style w:type="character" w:customStyle="1" w:styleId="s2">
    <w:name w:val="s2"/>
    <w:basedOn w:val="DefaultParagraphFont"/>
    <w:rsid w:val="00FD514B"/>
    <w:rPr>
      <w:color w:val="0D6C9C"/>
    </w:rPr>
  </w:style>
  <w:style w:type="character" w:customStyle="1" w:styleId="s3">
    <w:name w:val="s3"/>
    <w:basedOn w:val="DefaultParagraphFont"/>
    <w:rsid w:val="00FD514B"/>
    <w:rPr>
      <w:rFonts w:ascii="Helvetica" w:hAnsi="Helvetica" w:hint="default"/>
      <w:color w:val="0D6C9C"/>
      <w:sz w:val="9"/>
      <w:szCs w:val="9"/>
    </w:rPr>
  </w:style>
  <w:style w:type="character" w:customStyle="1" w:styleId="katex-mathml">
    <w:name w:val="katex-mathml"/>
    <w:basedOn w:val="DefaultParagraphFont"/>
    <w:rsid w:val="00EA1D1C"/>
  </w:style>
  <w:style w:type="character" w:customStyle="1" w:styleId="mord">
    <w:name w:val="mord"/>
    <w:basedOn w:val="DefaultParagraphFont"/>
    <w:rsid w:val="00EA1D1C"/>
  </w:style>
  <w:style w:type="character" w:customStyle="1" w:styleId="vlist-s">
    <w:name w:val="vlist-s"/>
    <w:basedOn w:val="DefaultParagraphFont"/>
    <w:rsid w:val="00EA1D1C"/>
  </w:style>
  <w:style w:type="paragraph" w:styleId="FootnoteText">
    <w:name w:val="footnote text"/>
    <w:basedOn w:val="Normal"/>
    <w:link w:val="FootnoteTextChar"/>
    <w:uiPriority w:val="99"/>
    <w:semiHidden/>
    <w:unhideWhenUsed/>
    <w:rsid w:val="00EA1D1C"/>
    <w:rPr>
      <w:sz w:val="20"/>
      <w:szCs w:val="20"/>
    </w:rPr>
  </w:style>
  <w:style w:type="character" w:customStyle="1" w:styleId="FootnoteTextChar">
    <w:name w:val="Footnote Text Char"/>
    <w:basedOn w:val="DefaultParagraphFont"/>
    <w:link w:val="FootnoteText"/>
    <w:uiPriority w:val="99"/>
    <w:semiHidden/>
    <w:rsid w:val="00EA1D1C"/>
    <w:rPr>
      <w:sz w:val="20"/>
      <w:szCs w:val="20"/>
    </w:rPr>
  </w:style>
  <w:style w:type="character" w:styleId="FootnoteReference">
    <w:name w:val="footnote reference"/>
    <w:basedOn w:val="DefaultParagraphFont"/>
    <w:uiPriority w:val="99"/>
    <w:semiHidden/>
    <w:unhideWhenUsed/>
    <w:rsid w:val="00EA1D1C"/>
    <w:rPr>
      <w:vertAlign w:val="superscript"/>
    </w:rPr>
  </w:style>
  <w:style w:type="character" w:customStyle="1" w:styleId="mbin">
    <w:name w:val="mbin"/>
    <w:basedOn w:val="DefaultParagraphFont"/>
    <w:rsid w:val="00061F21"/>
  </w:style>
  <w:style w:type="character" w:styleId="Emphasis">
    <w:name w:val="Emphasis"/>
    <w:basedOn w:val="DefaultParagraphFont"/>
    <w:uiPriority w:val="20"/>
    <w:qFormat/>
    <w:rsid w:val="00164F37"/>
    <w:rPr>
      <w:i/>
      <w:iCs/>
    </w:rPr>
  </w:style>
  <w:style w:type="character" w:styleId="FollowedHyperlink">
    <w:name w:val="FollowedHyperlink"/>
    <w:basedOn w:val="DefaultParagraphFont"/>
    <w:uiPriority w:val="99"/>
    <w:semiHidden/>
    <w:unhideWhenUsed/>
    <w:rsid w:val="00B85371"/>
    <w:rPr>
      <w:color w:val="96607D" w:themeColor="followedHyperlink"/>
      <w:u w:val="single"/>
    </w:rPr>
  </w:style>
  <w:style w:type="character" w:customStyle="1" w:styleId="mrel">
    <w:name w:val="mrel"/>
    <w:basedOn w:val="DefaultParagraphFont"/>
    <w:rsid w:val="00BB58CB"/>
  </w:style>
  <w:style w:type="character" w:customStyle="1" w:styleId="mopen">
    <w:name w:val="mopen"/>
    <w:basedOn w:val="DefaultParagraphFont"/>
    <w:rsid w:val="00BB58CB"/>
  </w:style>
  <w:style w:type="character" w:customStyle="1" w:styleId="mpunct">
    <w:name w:val="mpunct"/>
    <w:basedOn w:val="DefaultParagraphFont"/>
    <w:rsid w:val="00BB58CB"/>
  </w:style>
  <w:style w:type="character" w:customStyle="1" w:styleId="mclose">
    <w:name w:val="mclose"/>
    <w:basedOn w:val="DefaultParagraphFont"/>
    <w:rsid w:val="00BB58CB"/>
  </w:style>
  <w:style w:type="paragraph" w:styleId="TOCHeading">
    <w:name w:val="TOC Heading"/>
    <w:basedOn w:val="Heading1"/>
    <w:next w:val="Normal"/>
    <w:uiPriority w:val="39"/>
    <w:unhideWhenUsed/>
    <w:qFormat/>
    <w:rsid w:val="009A4070"/>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9A4070"/>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9A4070"/>
    <w:pPr>
      <w:ind w:left="240"/>
    </w:pPr>
    <w:rPr>
      <w:rFonts w:asciiTheme="minorHAnsi" w:hAnsiTheme="minorHAnsi"/>
      <w:smallCaps/>
      <w:sz w:val="20"/>
      <w:szCs w:val="20"/>
    </w:rPr>
  </w:style>
  <w:style w:type="paragraph" w:styleId="TOC3">
    <w:name w:val="toc 3"/>
    <w:basedOn w:val="Normal"/>
    <w:next w:val="Normal"/>
    <w:autoRedefine/>
    <w:uiPriority w:val="39"/>
    <w:unhideWhenUsed/>
    <w:rsid w:val="009A4070"/>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9A4070"/>
    <w:pPr>
      <w:ind w:left="720"/>
    </w:pPr>
    <w:rPr>
      <w:rFonts w:asciiTheme="minorHAnsi" w:hAnsiTheme="minorHAnsi"/>
      <w:sz w:val="18"/>
      <w:szCs w:val="18"/>
    </w:rPr>
  </w:style>
  <w:style w:type="paragraph" w:styleId="TOC5">
    <w:name w:val="toc 5"/>
    <w:basedOn w:val="Normal"/>
    <w:next w:val="Normal"/>
    <w:autoRedefine/>
    <w:uiPriority w:val="39"/>
    <w:semiHidden/>
    <w:unhideWhenUsed/>
    <w:rsid w:val="009A4070"/>
    <w:pPr>
      <w:ind w:left="960"/>
    </w:pPr>
    <w:rPr>
      <w:rFonts w:asciiTheme="minorHAnsi" w:hAnsiTheme="minorHAnsi"/>
      <w:sz w:val="18"/>
      <w:szCs w:val="18"/>
    </w:rPr>
  </w:style>
  <w:style w:type="paragraph" w:styleId="TOC6">
    <w:name w:val="toc 6"/>
    <w:basedOn w:val="Normal"/>
    <w:next w:val="Normal"/>
    <w:autoRedefine/>
    <w:uiPriority w:val="39"/>
    <w:semiHidden/>
    <w:unhideWhenUsed/>
    <w:rsid w:val="009A4070"/>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9A4070"/>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9A4070"/>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9A4070"/>
    <w:pPr>
      <w:ind w:left="1920"/>
    </w:pPr>
    <w:rPr>
      <w:rFonts w:asciiTheme="minorHAnsi" w:hAnsiTheme="minorHAnsi"/>
      <w:sz w:val="18"/>
      <w:szCs w:val="18"/>
    </w:rPr>
  </w:style>
  <w:style w:type="character" w:styleId="PageNumber">
    <w:name w:val="page number"/>
    <w:basedOn w:val="DefaultParagraphFont"/>
    <w:uiPriority w:val="99"/>
    <w:semiHidden/>
    <w:unhideWhenUsed/>
    <w:rsid w:val="000B2FD4"/>
  </w:style>
  <w:style w:type="paragraph" w:styleId="NoSpacing">
    <w:name w:val="No Spacing"/>
    <w:link w:val="NoSpacingChar"/>
    <w:uiPriority w:val="1"/>
    <w:qFormat/>
    <w:rsid w:val="00F94158"/>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F94158"/>
    <w:rPr>
      <w:rFonts w:eastAsiaTheme="minorEastAsia"/>
      <w:kern w:val="0"/>
      <w:sz w:val="22"/>
      <w:szCs w:val="22"/>
      <w:lang w:val="en-US" w:eastAsia="zh-CN"/>
      <w14:ligatures w14:val="none"/>
    </w:rPr>
  </w:style>
  <w:style w:type="character" w:customStyle="1" w:styleId="qnqjie">
    <w:name w:val="qnqjie"/>
    <w:basedOn w:val="DefaultParagraphFont"/>
    <w:rsid w:val="005B38C7"/>
  </w:style>
  <w:style w:type="character" w:customStyle="1" w:styleId="ugdw8c">
    <w:name w:val="ugdw8c"/>
    <w:basedOn w:val="DefaultParagraphFont"/>
    <w:rsid w:val="005B3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papers.ssrn.com/sol3/papers.cfm?abstract_id=1401882" TargetMode="External"/><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s://www.imf.org/-/media/files/publications/gfsr/2026/april/english/text.pdf"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jstor.org/stable/1837095"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oecd.org/content/dam/oecd/en/publications/reports/2009/02/financial-crises_g17a1c8c/226777318564.pdf" TargetMode="External"/><Relationship Id="rId20" Type="http://schemas.openxmlformats.org/officeDocument/2006/relationships/hyperlink" Target="https://doi.org/10.1080/23311886.2025.245474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worldbank.org/en/publication/global-economic-prospects" TargetMode="External"/><Relationship Id="rId5" Type="http://schemas.openxmlformats.org/officeDocument/2006/relationships/settings" Target="settings.xml"/><Relationship Id="rId15" Type="http://schemas.openxmlformats.org/officeDocument/2006/relationships/hyperlink" Target="https://doi.org/10.1093/0198296983.001.0001" TargetMode="External"/><Relationship Id="rId23" Type="http://schemas.openxmlformats.org/officeDocument/2006/relationships/hyperlink" Target="https://doi.org/10.3386/w6680"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i.org/10.1257/aer.104.2.343"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rchive.org/details/couragetoactmemo0000bern" TargetMode="External"/><Relationship Id="rId22" Type="http://schemas.openxmlformats.org/officeDocument/2006/relationships/hyperlink" Target="https://digitalcommons.bard.edu/cgi/viewcontent.cgi?article=1230&amp;context=hm_archiv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Mariarosaria Di Bagno                  </Abstract>
  <CompanyAddress>Economics &amp; PoliticsBocconi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5E7217-D88B-EB42-BD05-6984ACEDE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3687</Words>
  <Characters>21019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Financial Booms, Systemic Crises, and Policy Failures:</vt:lpstr>
    </vt:vector>
  </TitlesOfParts>
  <Company>RT</Company>
  <LinksUpToDate>false</LinksUpToDate>
  <CharactersWithSpaces>24657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Booms, Systemic Crises, and Policy Failures:</dc:title>
  <dc:subject>An Economic and Political Economy Perspective</dc:subject>
  <dc:creator>Short PaperM</dc:creator>
  <cp:keywords/>
  <dc:description/>
  <cp:lastModifiedBy>MARIAROSARIA DI BAGNO</cp:lastModifiedBy>
  <cp:revision>3</cp:revision>
  <cp:lastPrinted>2026-05-10T11:48:00Z</cp:lastPrinted>
  <dcterms:created xsi:type="dcterms:W3CDTF">2026-10-07T08:37:00Z</dcterms:created>
  <dcterms:modified xsi:type="dcterms:W3CDTF">2026-10-07T08:39:00Z</dcterms:modified>
</cp:coreProperties>
</file>