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sz w:val="50"/>
          <w:szCs w:val="50"/>
        </w:rPr>
      </w:pPr>
      <w:r w:rsidDel="00000000" w:rsidR="00000000" w:rsidRPr="00000000">
        <w:rPr>
          <w:rFonts w:ascii="Times New Roman" w:cs="Times New Roman" w:eastAsia="Times New Roman" w:hAnsi="Times New Roman"/>
          <w:sz w:val="24"/>
          <w:szCs w:val="24"/>
        </w:rPr>
        <w:drawing>
          <wp:inline distB="114300" distT="114300" distL="114300" distR="114300">
            <wp:extent cx="4864092" cy="1637537"/>
            <wp:effectExtent b="0" l="0" r="0" t="0"/>
            <wp:docPr id="2" name="image2.png"/>
            <a:graphic>
              <a:graphicData uri="http://schemas.openxmlformats.org/drawingml/2006/picture">
                <pic:pic>
                  <pic:nvPicPr>
                    <pic:cNvPr id="0" name="image2.png"/>
                    <pic:cNvPicPr preferRelativeResize="0"/>
                  </pic:nvPicPr>
                  <pic:blipFill>
                    <a:blip r:embed="rId6"/>
                    <a:srcRect b="67465" l="6077" r="56224" t="0"/>
                    <a:stretch>
                      <a:fillRect/>
                    </a:stretch>
                  </pic:blipFill>
                  <pic:spPr>
                    <a:xfrm>
                      <a:off x="0" y="0"/>
                      <a:ext cx="4864092" cy="16375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Software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Salle University - Manila</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2, A.Y. 2023 - 2024</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Applications Protocol</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(NSCOM01)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Course Output 1</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MCO1</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6 - S13</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Eun Ji</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Maria Sarah Althea A.</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Fonts w:ascii="Times New Roman" w:cs="Times New Roman" w:eastAsia="Times New Roman" w:hAnsi="Times New Roman"/>
          <w:sz w:val="24"/>
          <w:szCs w:val="24"/>
          <w:rtl w:val="0"/>
        </w:rPr>
        <w:t xml:space="preserve">Dr. Marnel Peradilla</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Formats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Request (RRQ)</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Request (WRQ)</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(DATA)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35"/>
        <w:gridCol w:w="4005"/>
        <w:tblGridChange w:id="0">
          <w:tblGrid>
            <w:gridCol w:w="3120"/>
            <w:gridCol w:w="223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(variable length up to 512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to 512 bytes</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 (ACK)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(ERROR)</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byte</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152400</wp:posOffset>
            </wp:positionV>
            <wp:extent cx="2828925" cy="231731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8925" cy="2317311"/>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Figure 1</w:t>
      </w:r>
      <w:r w:rsidDel="00000000" w:rsidR="00000000" w:rsidRPr="00000000">
        <w:rPr>
          <w:rFonts w:ascii="Times New Roman" w:cs="Times New Roman" w:eastAsia="Times New Roman" w:hAnsi="Times New Roman"/>
          <w:sz w:val="24"/>
          <w:szCs w:val="24"/>
          <w:rtl w:val="0"/>
        </w:rPr>
        <w:t xml:space="preserve">. Write Request (WRQ) Sequence Diagram</w:t>
      </w:r>
    </w:p>
    <w:p w:rsidR="00000000" w:rsidDel="00000000" w:rsidP="00000000" w:rsidRDefault="00000000" w:rsidRPr="00000000" w14:paraId="0000006E">
      <w:pPr>
        <w:jc w:val="both"/>
        <w:rPr>
          <w:rFonts w:ascii="Times New Roman" w:cs="Times New Roman" w:eastAsia="Times New Roman" w:hAnsi="Times New Roman"/>
          <w:i w:val="1"/>
          <w:color w:val="0d0d0d"/>
          <w:sz w:val="24"/>
          <w:szCs w:val="24"/>
          <w:highlight w:val="white"/>
        </w:rPr>
      </w:pPr>
      <w:r w:rsidDel="00000000" w:rsidR="00000000" w:rsidRPr="00000000">
        <w:rPr>
          <w:rtl w:val="0"/>
        </w:rPr>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d0d0d"/>
          <w:sz w:val="24"/>
          <w:szCs w:val="24"/>
          <w:highlight w:val="white"/>
          <w:rtl w:val="0"/>
        </w:rPr>
        <w:t xml:space="preserve">Figure 1</w:t>
      </w:r>
      <w:r w:rsidDel="00000000" w:rsidR="00000000" w:rsidRPr="00000000">
        <w:rPr>
          <w:rFonts w:ascii="Times New Roman" w:cs="Times New Roman" w:eastAsia="Times New Roman" w:hAnsi="Times New Roman"/>
          <w:color w:val="0d0d0d"/>
          <w:sz w:val="24"/>
          <w:szCs w:val="24"/>
          <w:highlight w:val="white"/>
          <w:rtl w:val="0"/>
        </w:rPr>
        <w:t xml:space="preserve"> presents the TFTP protocol's write operation. The client sends a WRQ to the server, indicating the file to be written. The server acknowledges this with an ACK for block 0, prompting the client to send the file in blocks. Each block sent by the client is acknowledged by the server before the next is sent. The process concludes when the server acknowledges the final data block, indicating the file has been successfully written.</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142875</wp:posOffset>
            </wp:positionV>
            <wp:extent cx="2991294" cy="23145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1986" l="-2693" r="0" t="0"/>
                    <a:stretch>
                      <a:fillRect/>
                    </a:stretch>
                  </pic:blipFill>
                  <pic:spPr>
                    <a:xfrm>
                      <a:off x="0" y="0"/>
                      <a:ext cx="2991294" cy="2314575"/>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Read Request (RRQ) Sequence Diagram</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depicts the TFTP protocol's read operation. It starts with the client sending an RRQ to the server for a file. The server responds with the first data block, which the client acknowledges. This exchange of data and acknowledgments continues until the server sends a final, potentially smaller data block. The client's acknowledgment of this block completes the file transfer.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