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09DA"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t>Title:</w:t>
      </w:r>
      <w:r w:rsidRPr="000C001A">
        <w:rPr>
          <w:rFonts w:ascii="Times New Roman" w:hAnsi="Times New Roman" w:cs="Times New Roman"/>
        </w:rPr>
        <w:t xml:space="preserve"> Integrating Polygenic Risk Scores and Machine Learning for Enhanced Prediction of Type 2 Diabetes Risk</w:t>
      </w:r>
    </w:p>
    <w:p w14:paraId="00C72BD9" w14:textId="77777777" w:rsid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t>Abstract</w:t>
      </w:r>
      <w:r w:rsidRPr="000C001A">
        <w:rPr>
          <w:rFonts w:ascii="Times New Roman" w:hAnsi="Times New Roman" w:cs="Times New Roman"/>
        </w:rPr>
        <w:t xml:space="preserve"> </w:t>
      </w:r>
    </w:p>
    <w:p w14:paraId="12C7BD5A" w14:textId="77777777" w:rsidR="00887428" w:rsidRPr="00887428" w:rsidRDefault="00887428" w:rsidP="0084640A">
      <w:pPr>
        <w:spacing w:line="480" w:lineRule="auto"/>
        <w:ind w:firstLine="720"/>
        <w:rPr>
          <w:rFonts w:ascii="Times New Roman" w:hAnsi="Times New Roman" w:cs="Times New Roman"/>
        </w:rPr>
      </w:pPr>
      <w:r w:rsidRPr="00887428">
        <w:rPr>
          <w:rFonts w:ascii="Times New Roman" w:hAnsi="Times New Roman" w:cs="Times New Roman"/>
        </w:rPr>
        <w:t>Type 2 Diabetes Mellitus (T2D) is a widespread and growing health concern, often detected late and associated with high healthcare costs. While Polygenic Risk Scores (PRSs), derived from genome-wide association studies (GWAS), offer promise in assessing genetic susceptibility, their traditional linear models often underperform in diverse populations due to limited ability to model complex interactions. This study proposes an advanced framework integrating PRS with machine learning (ML) to enhance predictive accuracy and generalizability.</w:t>
      </w:r>
    </w:p>
    <w:p w14:paraId="13B7F2E0" w14:textId="77777777" w:rsidR="00887428" w:rsidRPr="00887428" w:rsidRDefault="00887428" w:rsidP="0084640A">
      <w:pPr>
        <w:spacing w:line="480" w:lineRule="auto"/>
        <w:ind w:firstLine="720"/>
        <w:rPr>
          <w:rFonts w:ascii="Times New Roman" w:hAnsi="Times New Roman" w:cs="Times New Roman"/>
        </w:rPr>
      </w:pPr>
      <w:r w:rsidRPr="00887428">
        <w:rPr>
          <w:rFonts w:ascii="Times New Roman" w:hAnsi="Times New Roman" w:cs="Times New Roman"/>
        </w:rPr>
        <w:t>By combining high-dimensional genomic data with clinical, lifestyle, and demographic variables, the model will address non-linear relationships that are commonly overlooked. Data will be sourced from large-scale, multi-ethnic cohorts like the UK Biobank and NHANES. Risk scores will be computed using PRSice-2, and ML models—including Random Forests, Gradient Boosting, and Neural Networks—will be implemented using scikit-learn and TensorFlow. Performance will be evaluated using metrics such as AUC, precision, recall, and F1-score.</w:t>
      </w:r>
    </w:p>
    <w:p w14:paraId="12ED324D" w14:textId="77777777" w:rsidR="00887428" w:rsidRPr="00887428" w:rsidRDefault="00887428" w:rsidP="0084640A">
      <w:pPr>
        <w:spacing w:line="480" w:lineRule="auto"/>
        <w:rPr>
          <w:rFonts w:ascii="Times New Roman" w:hAnsi="Times New Roman" w:cs="Times New Roman"/>
        </w:rPr>
      </w:pPr>
      <w:r w:rsidRPr="00887428">
        <w:rPr>
          <w:rFonts w:ascii="Times New Roman" w:hAnsi="Times New Roman" w:cs="Times New Roman"/>
        </w:rPr>
        <w:t>This research is informed by current literature highlighting the limitations of classical PRS models and the potential of ML to address these gaps. The anticipated outcome is a robust, interpretable, and scalable model capable of guiding early intervention strategies and reducing diagnostic disparities. This approach not only advances T2D prediction but also provides a replicable framework for other complex diseases.</w:t>
      </w:r>
    </w:p>
    <w:p w14:paraId="4FA13146" w14:textId="77777777" w:rsidR="00887428" w:rsidRDefault="00887428" w:rsidP="0084640A">
      <w:pPr>
        <w:spacing w:line="480" w:lineRule="auto"/>
        <w:rPr>
          <w:rFonts w:ascii="Times New Roman" w:hAnsi="Times New Roman" w:cs="Times New Roman"/>
          <w:b/>
          <w:bCs/>
        </w:rPr>
      </w:pPr>
      <w:r>
        <w:rPr>
          <w:rFonts w:ascii="Times New Roman" w:hAnsi="Times New Roman" w:cs="Times New Roman"/>
          <w:b/>
          <w:bCs/>
        </w:rPr>
        <w:br w:type="page"/>
      </w:r>
    </w:p>
    <w:p w14:paraId="307553B1" w14:textId="3873DAE4" w:rsidR="00806B70" w:rsidRDefault="000C001A" w:rsidP="0084640A">
      <w:pPr>
        <w:spacing w:line="480" w:lineRule="auto"/>
        <w:rPr>
          <w:rFonts w:ascii="Times New Roman" w:hAnsi="Times New Roman" w:cs="Times New Roman"/>
        </w:rPr>
      </w:pPr>
      <w:r w:rsidRPr="000C001A">
        <w:rPr>
          <w:rFonts w:ascii="Times New Roman" w:hAnsi="Times New Roman" w:cs="Times New Roman"/>
          <w:b/>
          <w:bCs/>
        </w:rPr>
        <w:lastRenderedPageBreak/>
        <w:t>Introduction</w:t>
      </w:r>
      <w:r w:rsidRPr="000C001A">
        <w:rPr>
          <w:rFonts w:ascii="Times New Roman" w:hAnsi="Times New Roman" w:cs="Times New Roman"/>
        </w:rPr>
        <w:t xml:space="preserve"> </w:t>
      </w:r>
    </w:p>
    <w:p w14:paraId="04787169" w14:textId="77777777" w:rsidR="00F4375A" w:rsidRPr="00F4375A" w:rsidRDefault="00F4375A" w:rsidP="0084640A">
      <w:pPr>
        <w:spacing w:line="480" w:lineRule="auto"/>
        <w:ind w:firstLine="720"/>
        <w:rPr>
          <w:rFonts w:ascii="Times New Roman" w:hAnsi="Times New Roman" w:cs="Times New Roman"/>
        </w:rPr>
      </w:pPr>
      <w:r w:rsidRPr="00F4375A">
        <w:rPr>
          <w:rFonts w:ascii="Times New Roman" w:hAnsi="Times New Roman" w:cs="Times New Roman"/>
        </w:rPr>
        <w:t>Type 2 Diabetes Mellitus (T2D) is a multifactorial, chronic metabolic condition characterized by insulin resistance and beta-cell dysfunction, leading to elevated blood glucose levels. It affects over 450 million people globally, with projections estimating this number will surpass 600 million by 2045. The increasing prevalence is largely attributed to aging populations, urbanization, poor dietary habits, and sedentary lifestyles. Despite being preventable in many cases, T2D remains one of the leading causes of morbidity and mortality due to its complications, including cardiovascular disease, kidney failure, neuropathy, and retinopathy.</w:t>
      </w:r>
    </w:p>
    <w:p w14:paraId="1BA372E2" w14:textId="77777777" w:rsidR="00F4375A" w:rsidRPr="00F4375A" w:rsidRDefault="00F4375A" w:rsidP="0084640A">
      <w:pPr>
        <w:spacing w:line="480" w:lineRule="auto"/>
        <w:ind w:firstLine="720"/>
        <w:rPr>
          <w:rFonts w:ascii="Times New Roman" w:hAnsi="Times New Roman" w:cs="Times New Roman"/>
        </w:rPr>
      </w:pPr>
      <w:r w:rsidRPr="00F4375A">
        <w:rPr>
          <w:rFonts w:ascii="Times New Roman" w:hAnsi="Times New Roman" w:cs="Times New Roman"/>
        </w:rPr>
        <w:t>A major challenge in diabetes care lies in identifying individuals at risk early enough to implement preventative strategies. Traditional screening methods often rely on clinical biomarkers such as fasting glucose, HbA1c, and body mass index (BMI), which may detect the disease only after it has progressed significantly. Therefore, predictive models that can identify at-risk individuals before clinical symptoms appear are vital to reducing the global burden of T2D.</w:t>
      </w:r>
    </w:p>
    <w:p w14:paraId="687B023E" w14:textId="77777777" w:rsidR="00F4375A" w:rsidRPr="00F4375A" w:rsidRDefault="00F4375A" w:rsidP="0084640A">
      <w:pPr>
        <w:spacing w:line="480" w:lineRule="auto"/>
        <w:ind w:firstLine="720"/>
        <w:rPr>
          <w:rFonts w:ascii="Times New Roman" w:hAnsi="Times New Roman" w:cs="Times New Roman"/>
        </w:rPr>
      </w:pPr>
      <w:r w:rsidRPr="00F4375A">
        <w:rPr>
          <w:rFonts w:ascii="Times New Roman" w:hAnsi="Times New Roman" w:cs="Times New Roman"/>
        </w:rPr>
        <w:t>In recent years, Polygenic Risk Scores (PRSs) have emerged as a promising tool for assessing an individual's inherited risk of developing complex diseases like T2D. PRSs aggregate the effects of numerous single nucleotide polymorphisms (SNPs) identified through genome-wide association studies (GWAS), offering a quantitative measure of genetic predisposition. However, traditional PRS models often employ linear assumptions and additive effects, limiting their utility in capturing gene-gene and gene-environment interactions. Moreover, their predictive accuracy tends to be lower in non-European populations due to Eurocentric GWAS data, raising concerns about equity and generalizability.</w:t>
      </w:r>
    </w:p>
    <w:p w14:paraId="521202ED" w14:textId="77777777" w:rsidR="00F4375A" w:rsidRPr="00F4375A" w:rsidRDefault="00F4375A" w:rsidP="0084640A">
      <w:pPr>
        <w:spacing w:line="480" w:lineRule="auto"/>
        <w:ind w:firstLine="720"/>
        <w:rPr>
          <w:rFonts w:ascii="Times New Roman" w:hAnsi="Times New Roman" w:cs="Times New Roman"/>
        </w:rPr>
      </w:pPr>
      <w:r w:rsidRPr="00F4375A">
        <w:rPr>
          <w:rFonts w:ascii="Times New Roman" w:hAnsi="Times New Roman" w:cs="Times New Roman"/>
        </w:rPr>
        <w:lastRenderedPageBreak/>
        <w:t xml:space="preserve">To address these limitations, integrating machine learning (ML) techniques into PRS-based prediction frameworks has gained significant attention. ML algorithms can handle large, high-dimensional datasets and uncover complex, non-linear patterns that </w:t>
      </w:r>
      <w:proofErr w:type="gramStart"/>
      <w:r w:rsidRPr="00F4375A">
        <w:rPr>
          <w:rFonts w:ascii="Times New Roman" w:hAnsi="Times New Roman" w:cs="Times New Roman"/>
        </w:rPr>
        <w:t>are often missed</w:t>
      </w:r>
      <w:proofErr w:type="gramEnd"/>
      <w:r w:rsidRPr="00F4375A">
        <w:rPr>
          <w:rFonts w:ascii="Times New Roman" w:hAnsi="Times New Roman" w:cs="Times New Roman"/>
        </w:rPr>
        <w:t xml:space="preserve"> by conventional models. They also facilitate the integration of diverse data types, including clinical records, lifestyle behaviors, and sociodemographic information, to improve the accuracy and applicability of risk prediction tools.</w:t>
      </w:r>
    </w:p>
    <w:p w14:paraId="18072859" w14:textId="77777777" w:rsidR="00F4375A" w:rsidRPr="00F4375A" w:rsidRDefault="00F4375A" w:rsidP="0084640A">
      <w:pPr>
        <w:spacing w:line="480" w:lineRule="auto"/>
        <w:ind w:firstLine="720"/>
        <w:rPr>
          <w:rFonts w:ascii="Times New Roman" w:hAnsi="Times New Roman" w:cs="Times New Roman"/>
        </w:rPr>
      </w:pPr>
      <w:r w:rsidRPr="00F4375A">
        <w:rPr>
          <w:rFonts w:ascii="Times New Roman" w:hAnsi="Times New Roman" w:cs="Times New Roman"/>
        </w:rPr>
        <w:t>This proposal presents a novel framework that combines PRS with supervised ML models to predict T2D risk more accurately and equitably. The approach will utilize publicly available, ethnically diverse datasets and leverage advanced algorithms such as Random Forests, Gradient Boosting, and Neural Networks. The objective is to build a scalable, interpretable model that can support early identification, guide clinical decision-making, and ultimately contribute to the development of personalized preventive strategies in diabetes care.</w:t>
      </w:r>
    </w:p>
    <w:p w14:paraId="0B21B54D"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t>Research Questions</w:t>
      </w:r>
    </w:p>
    <w:p w14:paraId="2734FCA7" w14:textId="77777777" w:rsidR="000C001A" w:rsidRPr="000C001A" w:rsidRDefault="000C001A" w:rsidP="0084640A">
      <w:pPr>
        <w:numPr>
          <w:ilvl w:val="0"/>
          <w:numId w:val="1"/>
        </w:numPr>
        <w:spacing w:line="480" w:lineRule="auto"/>
        <w:rPr>
          <w:rFonts w:ascii="Times New Roman" w:hAnsi="Times New Roman" w:cs="Times New Roman"/>
        </w:rPr>
      </w:pPr>
      <w:r w:rsidRPr="000C001A">
        <w:rPr>
          <w:rFonts w:ascii="Times New Roman" w:hAnsi="Times New Roman" w:cs="Times New Roman"/>
        </w:rPr>
        <w:t>How can machine learning algorithms integrated with polygenic risk scores enhance the prediction of Type 2 Diabetes across diverse populations compared to traditional statistical models?</w:t>
      </w:r>
    </w:p>
    <w:p w14:paraId="36CD568E" w14:textId="77777777" w:rsidR="000C001A" w:rsidRPr="000C001A" w:rsidRDefault="000C001A" w:rsidP="0084640A">
      <w:pPr>
        <w:numPr>
          <w:ilvl w:val="0"/>
          <w:numId w:val="1"/>
        </w:numPr>
        <w:spacing w:line="480" w:lineRule="auto"/>
        <w:rPr>
          <w:rFonts w:ascii="Times New Roman" w:hAnsi="Times New Roman" w:cs="Times New Roman"/>
        </w:rPr>
      </w:pPr>
      <w:r w:rsidRPr="000C001A">
        <w:rPr>
          <w:rFonts w:ascii="Times New Roman" w:hAnsi="Times New Roman" w:cs="Times New Roman"/>
        </w:rPr>
        <w:t>What machine learning techniques provide the best balance of interpretability and accuracy when modeling polygenic risk for T2D?</w:t>
      </w:r>
    </w:p>
    <w:p w14:paraId="7E7E4ECA" w14:textId="77777777" w:rsidR="000C001A" w:rsidRPr="000C001A" w:rsidRDefault="000C001A" w:rsidP="0084640A">
      <w:pPr>
        <w:numPr>
          <w:ilvl w:val="0"/>
          <w:numId w:val="1"/>
        </w:numPr>
        <w:spacing w:line="480" w:lineRule="auto"/>
        <w:rPr>
          <w:rFonts w:ascii="Times New Roman" w:hAnsi="Times New Roman" w:cs="Times New Roman"/>
        </w:rPr>
      </w:pPr>
      <w:r w:rsidRPr="000C001A">
        <w:rPr>
          <w:rFonts w:ascii="Times New Roman" w:hAnsi="Times New Roman" w:cs="Times New Roman"/>
        </w:rPr>
        <w:t>How does the inclusion of environmental and clinical variables affect the performance of ML-enhanced PRS models for T2D?</w:t>
      </w:r>
    </w:p>
    <w:p w14:paraId="4EA186FB" w14:textId="77777777" w:rsidR="000C001A" w:rsidRPr="000C001A" w:rsidRDefault="000C001A" w:rsidP="0084640A">
      <w:pPr>
        <w:numPr>
          <w:ilvl w:val="0"/>
          <w:numId w:val="1"/>
        </w:numPr>
        <w:spacing w:line="480" w:lineRule="auto"/>
        <w:rPr>
          <w:rFonts w:ascii="Times New Roman" w:hAnsi="Times New Roman" w:cs="Times New Roman"/>
        </w:rPr>
      </w:pPr>
      <w:r w:rsidRPr="000C001A">
        <w:rPr>
          <w:rFonts w:ascii="Times New Roman" w:hAnsi="Times New Roman" w:cs="Times New Roman"/>
        </w:rPr>
        <w:t>To what extent can machine learning-augmented PRS models support early intervention and risk stratification in non-European populations?</w:t>
      </w:r>
    </w:p>
    <w:p w14:paraId="66C0705D" w14:textId="77777777" w:rsidR="00806B70" w:rsidRDefault="000C001A" w:rsidP="0084640A">
      <w:pPr>
        <w:spacing w:line="480" w:lineRule="auto"/>
        <w:rPr>
          <w:rFonts w:ascii="Times New Roman" w:hAnsi="Times New Roman" w:cs="Times New Roman"/>
        </w:rPr>
      </w:pPr>
      <w:r w:rsidRPr="000C001A">
        <w:rPr>
          <w:rFonts w:ascii="Times New Roman" w:hAnsi="Times New Roman" w:cs="Times New Roman"/>
          <w:b/>
          <w:bCs/>
        </w:rPr>
        <w:lastRenderedPageBreak/>
        <w:t>Literature Review</w:t>
      </w:r>
      <w:r w:rsidRPr="000C001A">
        <w:rPr>
          <w:rFonts w:ascii="Times New Roman" w:hAnsi="Times New Roman" w:cs="Times New Roman"/>
        </w:rPr>
        <w:t xml:space="preserve"> </w:t>
      </w:r>
    </w:p>
    <w:p w14:paraId="650DBB12" w14:textId="2D98B810"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t xml:space="preserve">A comprehensive body of literature illustrates the evolution and limitations of polygenic risk prediction for T2D. </w:t>
      </w:r>
      <w:r w:rsidR="004C14A4" w:rsidRPr="005D5A4A">
        <w:rPr>
          <w:rFonts w:ascii="Times New Roman" w:hAnsi="Times New Roman" w:cs="Times New Roman"/>
        </w:rPr>
        <w:t>Dud bridge</w:t>
      </w:r>
      <w:r w:rsidRPr="005D5A4A">
        <w:rPr>
          <w:rFonts w:ascii="Times New Roman" w:hAnsi="Times New Roman" w:cs="Times New Roman"/>
        </w:rPr>
        <w:t xml:space="preserve"> (2013) quantified the predictive power of PRSs and outlined how the use of additive SNP models may be insufficient in capturing the complexity of genetic architecture. Wong et al. (2022) confirmed that PRSs yield only moderate accuracy when applied independently, especially when evaluated in non-European cohorts. Similarly, He et al. (2021) found that prediction improved significantly when polygenic and polyexposure scores were combined with clinical variables.</w:t>
      </w:r>
    </w:p>
    <w:p w14:paraId="5ACE929B" w14:textId="77777777"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t>Ge et al. (2022) contributed an important advance through Bayesian regression models that allowed continuous shrinkage priors, better capturing SNP effect heterogeneity. Chang et al. (2025) demonstrated that local ancestry-specific PRSs could improve prediction in East Asian populations, and Werissa et al. (2019) concluded that T2D risk in Roma populations stemmed more from socioeconomic and lifestyle factors than from genetic predisposition, reinforcing the importance of context-aware modeling.</w:t>
      </w:r>
    </w:p>
    <w:p w14:paraId="41DB21D2" w14:textId="77777777"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t>The introduction of machine learning tools into PRS development has shifted the field significantly. Paré et al. (2017) developed GraBLD, which used gradient boosting to optimize LD-aware SNP weighting and produced more accurate polygenic trait predictions. Muneeb and Henschel (2021) showed that deep learning architectures like LSTM and CNN could be applied to SNP data, achieving prediction accuracies near 97%. Zhou et al. (2023) provided a systematic comparison of ML-based T2D predictors, concluding that tree-based ensemble models generally outperform linear models in both accuracy and generalizability.</w:t>
      </w:r>
    </w:p>
    <w:p w14:paraId="0EAD4325" w14:textId="77777777"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lastRenderedPageBreak/>
        <w:t>Widen et al. (2021) further enhanced predictive potential by combining SNP-derived biomarkers with clinical traits to model T2D risk. They demonstrated that integrating data modalities results in AUCs above 0.90—significantly higher than traditional PRS-only models. Mamani (2020) conducted a scoping review that linked the integration of PRS and ML to better outcomes across multiple diseases, highlighting its growing relevance to public health.</w:t>
      </w:r>
    </w:p>
    <w:p w14:paraId="27F58B5B" w14:textId="77777777"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t>Timasheva et al. (2023) and Morieri et al. (2018) illustrated real-world clinical utility by showing how PRS combined with age, sex, and lifestyle indicators can outperform standard risk models in cohort studies. Alzoubi et al. (2023) validated these findings using deep learning on clinical-genomic datasets, reinforcing scalability. Cheng et al. (2020) and Elgart et al. (2022) applied ML-enhanced PRS models to HIV and cardiometabolic risk prediction, respectively, demonstrating the broader applicability of this approach across conditions. Lopez-Pineda et al. (2022) verified the utility of such models in consumer-genomics, using them to develop cardiometabolic PRSs from DTC genetic data with high accuracy.</w:t>
      </w:r>
    </w:p>
    <w:p w14:paraId="11EFDC48" w14:textId="77777777"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t>Beyond predictive accuracy, several studies address the interpretability and ethical implications of ML-enhanced PRS. Lewis and Vassos (2020) emphasized the need for clinically transparent models to support equitable care delivery. Tamlander et al. (2022) echoed this point, showing how integrating self-reported questionnaire data with genomic features increases model transparency and stakeholder trust. Dudbridge (2013) and Zhao et al. (2013) also highlighted the importance of communication, data standardization, and validation in different populations to ensure broad utility.</w:t>
      </w:r>
    </w:p>
    <w:p w14:paraId="39E26ECE" w14:textId="05F89F4C" w:rsidR="005D5A4A" w:rsidRPr="005D5A4A" w:rsidRDefault="005D5A4A" w:rsidP="0084640A">
      <w:pPr>
        <w:spacing w:line="480" w:lineRule="auto"/>
        <w:ind w:firstLine="720"/>
        <w:rPr>
          <w:rFonts w:ascii="Times New Roman" w:hAnsi="Times New Roman" w:cs="Times New Roman"/>
        </w:rPr>
      </w:pPr>
      <w:r w:rsidRPr="005D5A4A">
        <w:rPr>
          <w:rFonts w:ascii="Times New Roman" w:hAnsi="Times New Roman" w:cs="Times New Roman"/>
        </w:rPr>
        <w:t xml:space="preserve">Taken together, </w:t>
      </w:r>
      <w:r w:rsidR="004C14A4" w:rsidRPr="005D5A4A">
        <w:rPr>
          <w:rFonts w:ascii="Times New Roman" w:hAnsi="Times New Roman" w:cs="Times New Roman"/>
        </w:rPr>
        <w:t>literature</w:t>
      </w:r>
      <w:r w:rsidRPr="005D5A4A">
        <w:rPr>
          <w:rFonts w:ascii="Times New Roman" w:hAnsi="Times New Roman" w:cs="Times New Roman"/>
        </w:rPr>
        <w:t xml:space="preserve"> underscores that while PRSs are a foundational tool in genomic medicine, their integration with machine learning is essential for optimizing performance, generalizability, and equity. These studies form a robust foundation for this proposal, which aims </w:t>
      </w:r>
      <w:r w:rsidRPr="005D5A4A">
        <w:rPr>
          <w:rFonts w:ascii="Times New Roman" w:hAnsi="Times New Roman" w:cs="Times New Roman"/>
        </w:rPr>
        <w:lastRenderedPageBreak/>
        <w:t>to leverage such interdisciplinary insights to develop a scalable, ML-enhanced PRS framework for predicting T2D risk across diverse populations.</w:t>
      </w:r>
    </w:p>
    <w:p w14:paraId="5A1C4C3A" w14:textId="77777777" w:rsidR="005D5A4A" w:rsidRDefault="000C001A" w:rsidP="0084640A">
      <w:pPr>
        <w:spacing w:line="480" w:lineRule="auto"/>
        <w:rPr>
          <w:rFonts w:ascii="Times New Roman" w:hAnsi="Times New Roman" w:cs="Times New Roman"/>
        </w:rPr>
      </w:pPr>
      <w:r w:rsidRPr="000C001A">
        <w:rPr>
          <w:rFonts w:ascii="Times New Roman" w:hAnsi="Times New Roman" w:cs="Times New Roman"/>
          <w:b/>
          <w:bCs/>
        </w:rPr>
        <w:t>Methodology</w:t>
      </w:r>
      <w:r w:rsidRPr="000C001A">
        <w:rPr>
          <w:rFonts w:ascii="Times New Roman" w:hAnsi="Times New Roman" w:cs="Times New Roman"/>
        </w:rPr>
        <w:t xml:space="preserve"> </w:t>
      </w:r>
    </w:p>
    <w:p w14:paraId="608793CF" w14:textId="77777777" w:rsidR="00131FF5" w:rsidRPr="00131FF5" w:rsidRDefault="00131FF5" w:rsidP="0084640A">
      <w:pPr>
        <w:spacing w:line="480" w:lineRule="auto"/>
        <w:ind w:firstLine="720"/>
        <w:rPr>
          <w:rFonts w:ascii="Times New Roman" w:hAnsi="Times New Roman" w:cs="Times New Roman"/>
        </w:rPr>
      </w:pPr>
      <w:r w:rsidRPr="00131FF5">
        <w:rPr>
          <w:rFonts w:ascii="Times New Roman" w:hAnsi="Times New Roman" w:cs="Times New Roman"/>
        </w:rPr>
        <w:t>This study will adopt a robust, multidisciplinary methodology to develop a predictive framework that integrates Polygenic Risk Scores (PRS) with machine learning (ML) techniques for the enhanced prediction of Type 2 Diabetes (T2D). The goal is to produce a scalable, interpretable, and accurate model that leverages genomic, clinical, lifestyle, and environmental data. This section outlines the methodological steps including data sources, preprocessing strategies, model construction, validation approaches, and ethical considerations.</w:t>
      </w:r>
    </w:p>
    <w:p w14:paraId="4C3E6043" w14:textId="5EF996E1"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1. Study Design and Data Sources</w:t>
      </w:r>
      <w:r w:rsidRPr="00131FF5">
        <w:rPr>
          <w:rFonts w:ascii="Times New Roman" w:hAnsi="Times New Roman" w:cs="Times New Roman"/>
        </w:rPr>
        <w:t xml:space="preserve"> We will utilize multiple large-scale, ethnically diverse cohorts, such as the UK Biobank, the National </w:t>
      </w:r>
      <w:r w:rsidR="004C14A4" w:rsidRPr="00131FF5">
        <w:rPr>
          <w:rFonts w:ascii="Times New Roman" w:hAnsi="Times New Roman" w:cs="Times New Roman"/>
        </w:rPr>
        <w:t>Health,</w:t>
      </w:r>
      <w:r w:rsidRPr="00131FF5">
        <w:rPr>
          <w:rFonts w:ascii="Times New Roman" w:hAnsi="Times New Roman" w:cs="Times New Roman"/>
        </w:rPr>
        <w:t xml:space="preserve"> and Nutrition Examination Survey (NHANES), and the Diabetes Genetics Initiative (DGI). These datasets provide genotype information, extensive phenotypic measures, biomarker profiles, and demographic and lifestyle variables. Eligibility criteria will include individuals aged 30–75 years with complete genotypic and phenotypic information. A total sample size exceeding 10,000 individuals is targeted to ensure model robustness and generalizability.</w:t>
      </w:r>
    </w:p>
    <w:p w14:paraId="0FFFD20B"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2. Genomic Data and Polygenic Risk Score Calculation</w:t>
      </w:r>
      <w:r w:rsidRPr="00131FF5">
        <w:rPr>
          <w:rFonts w:ascii="Times New Roman" w:hAnsi="Times New Roman" w:cs="Times New Roman"/>
        </w:rPr>
        <w:t xml:space="preserve"> Genome-wide SNP data will undergo standard quality control procedures, including the removal of SNPs with low call rates, minor allele frequency (MAF) thresholds (&lt;1%), and those not in Hardy-Weinberg equilibrium. Imputation will be performed using the 1000 Genomes reference panel. PRS will be computed using PRSice-2, incorporating summary statistics from recent large GWAS meta-analyses of </w:t>
      </w:r>
      <w:r w:rsidRPr="00131FF5">
        <w:rPr>
          <w:rFonts w:ascii="Times New Roman" w:hAnsi="Times New Roman" w:cs="Times New Roman"/>
        </w:rPr>
        <w:lastRenderedPageBreak/>
        <w:t>T2D. Multiple p-value thresholds will be evaluated, and LD clumping will be applied to reduce redundancy among SNPs.</w:t>
      </w:r>
    </w:p>
    <w:p w14:paraId="6429B275"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3. Clinical and Environmental Variables</w:t>
      </w:r>
      <w:r w:rsidRPr="00131FF5">
        <w:rPr>
          <w:rFonts w:ascii="Times New Roman" w:hAnsi="Times New Roman" w:cs="Times New Roman"/>
        </w:rPr>
        <w:t xml:space="preserve"> Clinical variables will include fasting glucose, HbA1c, lipid levels, BMI, blood pressure, and existing comorbidities. Environmental and behavioral data such as smoking status, alcohol intake, diet, physical activity, education level, and socioeconomic status will be integrated. Data harmonization across cohorts will ensure consistency in definitions and units.</w:t>
      </w:r>
    </w:p>
    <w:p w14:paraId="2EB010C4"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4. Feature Engineering and Data Preprocessing</w:t>
      </w:r>
      <w:r w:rsidRPr="00131FF5">
        <w:rPr>
          <w:rFonts w:ascii="Times New Roman" w:hAnsi="Times New Roman" w:cs="Times New Roman"/>
        </w:rPr>
        <w:t xml:space="preserve"> Before model training, all data will be preprocessed. Continuous variables will be standardized; categorical variables will be one-hot encoded. Missing data will be imputed using the MissForest algorithm for non-linear imputation. Feature importance ranking and dimensionality reduction techniques (e.g., PCA, mutual information scores) will be applied to explore the effect of feature selection on model performance.</w:t>
      </w:r>
    </w:p>
    <w:p w14:paraId="337FF603"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5. Machine Learning Models</w:t>
      </w:r>
      <w:r w:rsidRPr="00131FF5">
        <w:rPr>
          <w:rFonts w:ascii="Times New Roman" w:hAnsi="Times New Roman" w:cs="Times New Roman"/>
        </w:rPr>
        <w:t xml:space="preserve"> Multiple ML models will be constructed and compared. These include:</w:t>
      </w:r>
    </w:p>
    <w:p w14:paraId="4F0D9D84" w14:textId="77777777" w:rsidR="00131FF5" w:rsidRPr="00131FF5" w:rsidRDefault="00131FF5" w:rsidP="0084640A">
      <w:pPr>
        <w:numPr>
          <w:ilvl w:val="0"/>
          <w:numId w:val="8"/>
        </w:numPr>
        <w:spacing w:line="480" w:lineRule="auto"/>
        <w:rPr>
          <w:rFonts w:ascii="Times New Roman" w:hAnsi="Times New Roman" w:cs="Times New Roman"/>
        </w:rPr>
      </w:pPr>
      <w:r w:rsidRPr="00131FF5">
        <w:rPr>
          <w:rFonts w:ascii="Times New Roman" w:hAnsi="Times New Roman" w:cs="Times New Roman"/>
          <w:b/>
          <w:bCs/>
        </w:rPr>
        <w:t>Logistic Regression</w:t>
      </w:r>
      <w:r w:rsidRPr="00131FF5">
        <w:rPr>
          <w:rFonts w:ascii="Times New Roman" w:hAnsi="Times New Roman" w:cs="Times New Roman"/>
        </w:rPr>
        <w:t>: Baseline linear model for benchmarking.</w:t>
      </w:r>
    </w:p>
    <w:p w14:paraId="5860B548" w14:textId="77777777" w:rsidR="00131FF5" w:rsidRPr="00131FF5" w:rsidRDefault="00131FF5" w:rsidP="0084640A">
      <w:pPr>
        <w:numPr>
          <w:ilvl w:val="0"/>
          <w:numId w:val="8"/>
        </w:numPr>
        <w:spacing w:line="480" w:lineRule="auto"/>
        <w:rPr>
          <w:rFonts w:ascii="Times New Roman" w:hAnsi="Times New Roman" w:cs="Times New Roman"/>
        </w:rPr>
      </w:pPr>
      <w:r w:rsidRPr="00131FF5">
        <w:rPr>
          <w:rFonts w:ascii="Times New Roman" w:hAnsi="Times New Roman" w:cs="Times New Roman"/>
          <w:b/>
          <w:bCs/>
        </w:rPr>
        <w:t>Random Forest</w:t>
      </w:r>
      <w:r w:rsidRPr="00131FF5">
        <w:rPr>
          <w:rFonts w:ascii="Times New Roman" w:hAnsi="Times New Roman" w:cs="Times New Roman"/>
        </w:rPr>
        <w:t>: Tree-based ensemble model suitable for capturing non-linear relationships.</w:t>
      </w:r>
    </w:p>
    <w:p w14:paraId="11176D51" w14:textId="77777777" w:rsidR="00131FF5" w:rsidRPr="00131FF5" w:rsidRDefault="00131FF5" w:rsidP="0084640A">
      <w:pPr>
        <w:numPr>
          <w:ilvl w:val="0"/>
          <w:numId w:val="8"/>
        </w:numPr>
        <w:spacing w:line="480" w:lineRule="auto"/>
        <w:rPr>
          <w:rFonts w:ascii="Times New Roman" w:hAnsi="Times New Roman" w:cs="Times New Roman"/>
        </w:rPr>
      </w:pPr>
      <w:r w:rsidRPr="00131FF5">
        <w:rPr>
          <w:rFonts w:ascii="Times New Roman" w:hAnsi="Times New Roman" w:cs="Times New Roman"/>
          <w:b/>
          <w:bCs/>
        </w:rPr>
        <w:t>Gradient Boosting (XGBoost)</w:t>
      </w:r>
      <w:r w:rsidRPr="00131FF5">
        <w:rPr>
          <w:rFonts w:ascii="Times New Roman" w:hAnsi="Times New Roman" w:cs="Times New Roman"/>
        </w:rPr>
        <w:t>: Optimized for speed and predictive power.</w:t>
      </w:r>
    </w:p>
    <w:p w14:paraId="4AC96DF4" w14:textId="77777777" w:rsidR="00131FF5" w:rsidRPr="00131FF5" w:rsidRDefault="00131FF5" w:rsidP="0084640A">
      <w:pPr>
        <w:numPr>
          <w:ilvl w:val="0"/>
          <w:numId w:val="8"/>
        </w:numPr>
        <w:spacing w:line="480" w:lineRule="auto"/>
        <w:rPr>
          <w:rFonts w:ascii="Times New Roman" w:hAnsi="Times New Roman" w:cs="Times New Roman"/>
        </w:rPr>
      </w:pPr>
      <w:r w:rsidRPr="00131FF5">
        <w:rPr>
          <w:rFonts w:ascii="Times New Roman" w:hAnsi="Times New Roman" w:cs="Times New Roman"/>
          <w:b/>
          <w:bCs/>
        </w:rPr>
        <w:t>Deep Neural Networks (DNNs)</w:t>
      </w:r>
      <w:r w:rsidRPr="00131FF5">
        <w:rPr>
          <w:rFonts w:ascii="Times New Roman" w:hAnsi="Times New Roman" w:cs="Times New Roman"/>
        </w:rPr>
        <w:t>: Capable of modeling complex, high-dimensional interactions.</w:t>
      </w:r>
    </w:p>
    <w:p w14:paraId="2C8C05F4" w14:textId="77777777" w:rsidR="00131FF5" w:rsidRPr="00131FF5" w:rsidRDefault="00131FF5" w:rsidP="0084640A">
      <w:pPr>
        <w:numPr>
          <w:ilvl w:val="0"/>
          <w:numId w:val="8"/>
        </w:numPr>
        <w:spacing w:line="480" w:lineRule="auto"/>
        <w:rPr>
          <w:rFonts w:ascii="Times New Roman" w:hAnsi="Times New Roman" w:cs="Times New Roman"/>
        </w:rPr>
      </w:pPr>
      <w:r w:rsidRPr="00131FF5">
        <w:rPr>
          <w:rFonts w:ascii="Times New Roman" w:hAnsi="Times New Roman" w:cs="Times New Roman"/>
          <w:b/>
          <w:bCs/>
        </w:rPr>
        <w:lastRenderedPageBreak/>
        <w:t>Recurrent Neural Networks (LSTM)</w:t>
      </w:r>
      <w:r w:rsidRPr="00131FF5">
        <w:rPr>
          <w:rFonts w:ascii="Times New Roman" w:hAnsi="Times New Roman" w:cs="Times New Roman"/>
        </w:rPr>
        <w:t>: Explored for temporal data modeling where available.</w:t>
      </w:r>
    </w:p>
    <w:p w14:paraId="12CD3317" w14:textId="77777777" w:rsidR="00131FF5" w:rsidRPr="00131FF5" w:rsidRDefault="00131FF5" w:rsidP="0084640A">
      <w:pPr>
        <w:spacing w:line="480" w:lineRule="auto"/>
        <w:ind w:firstLine="360"/>
        <w:rPr>
          <w:rFonts w:ascii="Times New Roman" w:hAnsi="Times New Roman" w:cs="Times New Roman"/>
        </w:rPr>
      </w:pPr>
      <w:r w:rsidRPr="00131FF5">
        <w:rPr>
          <w:rFonts w:ascii="Times New Roman" w:hAnsi="Times New Roman" w:cs="Times New Roman"/>
        </w:rPr>
        <w:t>Each model will be trained using stratified 5-fold cross-validation. Hyperparameters will be optimized via Bayesian search or grid search, depending on computational feasibility.</w:t>
      </w:r>
    </w:p>
    <w:p w14:paraId="652DBDD7"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6. Evaluation Metrics and Validation</w:t>
      </w:r>
      <w:r w:rsidRPr="00131FF5">
        <w:rPr>
          <w:rFonts w:ascii="Times New Roman" w:hAnsi="Times New Roman" w:cs="Times New Roman"/>
        </w:rPr>
        <w:t xml:space="preserve"> Model performance will be assessed using:</w:t>
      </w:r>
    </w:p>
    <w:p w14:paraId="26D8BBB2" w14:textId="77777777" w:rsidR="00131FF5" w:rsidRPr="00131FF5" w:rsidRDefault="00131FF5" w:rsidP="0084640A">
      <w:pPr>
        <w:numPr>
          <w:ilvl w:val="0"/>
          <w:numId w:val="9"/>
        </w:numPr>
        <w:spacing w:line="480" w:lineRule="auto"/>
        <w:rPr>
          <w:rFonts w:ascii="Times New Roman" w:hAnsi="Times New Roman" w:cs="Times New Roman"/>
        </w:rPr>
      </w:pPr>
      <w:r w:rsidRPr="00131FF5">
        <w:rPr>
          <w:rFonts w:ascii="Times New Roman" w:hAnsi="Times New Roman" w:cs="Times New Roman"/>
          <w:b/>
          <w:bCs/>
        </w:rPr>
        <w:t>Primary Metrics</w:t>
      </w:r>
      <w:r w:rsidRPr="00131FF5">
        <w:rPr>
          <w:rFonts w:ascii="Times New Roman" w:hAnsi="Times New Roman" w:cs="Times New Roman"/>
        </w:rPr>
        <w:t>: AUC-ROC, accuracy, precision, recall, F1-score</w:t>
      </w:r>
    </w:p>
    <w:p w14:paraId="63A5664A" w14:textId="77777777" w:rsidR="00131FF5" w:rsidRPr="00131FF5" w:rsidRDefault="00131FF5" w:rsidP="0084640A">
      <w:pPr>
        <w:numPr>
          <w:ilvl w:val="0"/>
          <w:numId w:val="9"/>
        </w:numPr>
        <w:spacing w:line="480" w:lineRule="auto"/>
        <w:rPr>
          <w:rFonts w:ascii="Times New Roman" w:hAnsi="Times New Roman" w:cs="Times New Roman"/>
        </w:rPr>
      </w:pPr>
      <w:r w:rsidRPr="00131FF5">
        <w:rPr>
          <w:rFonts w:ascii="Times New Roman" w:hAnsi="Times New Roman" w:cs="Times New Roman"/>
          <w:b/>
          <w:bCs/>
        </w:rPr>
        <w:t>Secondary Metrics</w:t>
      </w:r>
      <w:r w:rsidRPr="00131FF5">
        <w:rPr>
          <w:rFonts w:ascii="Times New Roman" w:hAnsi="Times New Roman" w:cs="Times New Roman"/>
        </w:rPr>
        <w:t>: Calibration curves, Brier scores, decision curve analysis</w:t>
      </w:r>
    </w:p>
    <w:p w14:paraId="5B5221C9" w14:textId="77777777" w:rsidR="00131FF5" w:rsidRPr="00131FF5" w:rsidRDefault="00131FF5" w:rsidP="0084640A">
      <w:pPr>
        <w:spacing w:line="480" w:lineRule="auto"/>
        <w:ind w:firstLine="360"/>
        <w:rPr>
          <w:rFonts w:ascii="Times New Roman" w:hAnsi="Times New Roman" w:cs="Times New Roman"/>
        </w:rPr>
      </w:pPr>
      <w:r w:rsidRPr="00131FF5">
        <w:rPr>
          <w:rFonts w:ascii="Times New Roman" w:hAnsi="Times New Roman" w:cs="Times New Roman"/>
        </w:rPr>
        <w:t>An external validation will be performed using a holdout dataset not involved in training, preferably from a geographically and demographically distinct population. Subgroup analysis will examine model performance across sex, age groups, and ethnicities.</w:t>
      </w:r>
    </w:p>
    <w:p w14:paraId="78E7145A"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7. Interpretability and Explainability</w:t>
      </w:r>
      <w:r w:rsidRPr="00131FF5">
        <w:rPr>
          <w:rFonts w:ascii="Times New Roman" w:hAnsi="Times New Roman" w:cs="Times New Roman"/>
        </w:rPr>
        <w:t xml:space="preserve"> Model transparency will be addressed using SHAP (SHapley Additive exPlanations) values, which allow for the visualization of feature contributions at both the individual and global levels. For tree-based models, feature importance rankings will be calculated to support clinical interpretability. For deep learning models, layer-wise relevance propagation (LRP) will be applied where feasible.</w:t>
      </w:r>
    </w:p>
    <w:p w14:paraId="5404B5F5"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t>8. Ethical Considerations</w:t>
      </w:r>
      <w:r w:rsidRPr="00131FF5">
        <w:rPr>
          <w:rFonts w:ascii="Times New Roman" w:hAnsi="Times New Roman" w:cs="Times New Roman"/>
        </w:rPr>
        <w:t xml:space="preserve"> All data used in this study will be de-identified and accessed under approved institutional protocols. Bias audits will be conducted to ensure that model outputs do not systematically disadvantage any subgroup. The research will follow the FAIR principles (Findability, Accessibility, Interoperability, and Reusability) and comply with GDPR and HIPAA regulations where applicable.</w:t>
      </w:r>
    </w:p>
    <w:p w14:paraId="53C55C2F" w14:textId="77777777" w:rsidR="00131FF5" w:rsidRPr="00131FF5" w:rsidRDefault="00131FF5" w:rsidP="0084640A">
      <w:pPr>
        <w:spacing w:line="480" w:lineRule="auto"/>
        <w:rPr>
          <w:rFonts w:ascii="Times New Roman" w:hAnsi="Times New Roman" w:cs="Times New Roman"/>
        </w:rPr>
      </w:pPr>
      <w:r w:rsidRPr="00131FF5">
        <w:rPr>
          <w:rFonts w:ascii="Times New Roman" w:hAnsi="Times New Roman" w:cs="Times New Roman"/>
          <w:b/>
          <w:bCs/>
        </w:rPr>
        <w:lastRenderedPageBreak/>
        <w:t>9. Software and Tools</w:t>
      </w:r>
      <w:r w:rsidRPr="00131FF5">
        <w:rPr>
          <w:rFonts w:ascii="Times New Roman" w:hAnsi="Times New Roman" w:cs="Times New Roman"/>
        </w:rPr>
        <w:t xml:space="preserve"> The computational environment will consist of Python (using libraries such as scikit-learn, TensorFlow, XGBoost, pandas, SHAP) and R (for preprocessing, statistical testing, and visualization). PRS computation will rely on PRSice-2 and LDpred2. Code will be version-controlled and publicly shared via GitHub upon publication.</w:t>
      </w:r>
    </w:p>
    <w:p w14:paraId="556E4B4B" w14:textId="77777777" w:rsidR="00131FF5" w:rsidRPr="00131FF5" w:rsidRDefault="00131FF5" w:rsidP="0084640A">
      <w:pPr>
        <w:spacing w:line="480" w:lineRule="auto"/>
        <w:ind w:firstLine="720"/>
        <w:rPr>
          <w:rFonts w:ascii="Times New Roman" w:hAnsi="Times New Roman" w:cs="Times New Roman"/>
        </w:rPr>
      </w:pPr>
      <w:r w:rsidRPr="00131FF5">
        <w:rPr>
          <w:rFonts w:ascii="Times New Roman" w:hAnsi="Times New Roman" w:cs="Times New Roman"/>
        </w:rPr>
        <w:t>By incorporating rigorous statistical preprocessing, advanced ML algorithms, and fairness audits, this methodology ensures the proposed framework will be comprehensive, interpretable, and capable of advancing personalized prediction of T2D in diverse populations.</w:t>
      </w:r>
    </w:p>
    <w:p w14:paraId="3E389864" w14:textId="7A2FC396" w:rsidR="00806B70" w:rsidRPr="0084640A" w:rsidRDefault="000C001A" w:rsidP="0084640A">
      <w:pPr>
        <w:spacing w:line="480" w:lineRule="auto"/>
        <w:rPr>
          <w:rFonts w:ascii="Times New Roman" w:hAnsi="Times New Roman" w:cs="Times New Roman"/>
          <w:b/>
          <w:bCs/>
        </w:rPr>
      </w:pPr>
      <w:r w:rsidRPr="000C001A">
        <w:rPr>
          <w:rFonts w:ascii="Times New Roman" w:hAnsi="Times New Roman" w:cs="Times New Roman"/>
          <w:b/>
          <w:bCs/>
        </w:rPr>
        <w:t>Data Analysis &amp; Expected Results</w:t>
      </w:r>
      <w:r w:rsidRPr="000C001A">
        <w:rPr>
          <w:rFonts w:ascii="Times New Roman" w:hAnsi="Times New Roman" w:cs="Times New Roman"/>
        </w:rPr>
        <w:t xml:space="preserve"> </w:t>
      </w:r>
    </w:p>
    <w:p w14:paraId="1B36E9D0" w14:textId="65B56572" w:rsidR="00F579C6" w:rsidRPr="00F579C6" w:rsidRDefault="00F579C6" w:rsidP="00F579C6">
      <w:pPr>
        <w:spacing w:line="480" w:lineRule="auto"/>
        <w:ind w:firstLine="720"/>
        <w:rPr>
          <w:rFonts w:ascii="Times New Roman" w:hAnsi="Times New Roman" w:cs="Times New Roman"/>
        </w:rPr>
      </w:pPr>
      <w:r w:rsidRPr="00F579C6">
        <w:rPr>
          <w:rFonts w:ascii="Times New Roman" w:hAnsi="Times New Roman" w:cs="Times New Roman"/>
        </w:rPr>
        <w:t xml:space="preserve">The data analysis phase will be a critical component of this study, focusing on evaluating and interpreting the performance of machine learning-enhanced polygenic risk score (PRS) models in predicting Type 2 Diabetes (T2D). This section details the processes of dataset partitioning, performance evaluation, stratified subgroup analysis, </w:t>
      </w:r>
      <w:r w:rsidR="004C14A4" w:rsidRPr="00F579C6">
        <w:rPr>
          <w:rFonts w:ascii="Times New Roman" w:hAnsi="Times New Roman" w:cs="Times New Roman"/>
        </w:rPr>
        <w:t>robust</w:t>
      </w:r>
      <w:r w:rsidRPr="00F579C6">
        <w:rPr>
          <w:rFonts w:ascii="Times New Roman" w:hAnsi="Times New Roman" w:cs="Times New Roman"/>
        </w:rPr>
        <w:t xml:space="preserve"> testing, and interpretability techniques that will ensure comprehensive and actionable insights.</w:t>
      </w:r>
    </w:p>
    <w:p w14:paraId="24B496FF"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1. Dataset Splitting and Cross-Validation</w:t>
      </w:r>
      <w:r w:rsidRPr="00F579C6">
        <w:rPr>
          <w:rFonts w:ascii="Times New Roman" w:hAnsi="Times New Roman" w:cs="Times New Roman"/>
        </w:rPr>
        <w:t xml:space="preserve"> The full dataset will be randomly divided into a training set (70%) and a testing set (30%) while maintaining the proportion of T2D cases across sets through stratification. The training set will be used for model development and hyperparameter tuning, while the testing set will serve as an unseen dataset for evaluating final model performance. Stratified 5-fold cross-validation will be applied within the training set to minimize overfitting and ensure robustness. Nested cross-validation will also be employed for unbiased model selection and evaluation.</w:t>
      </w:r>
    </w:p>
    <w:p w14:paraId="3F118496"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2. Performance Metrics</w:t>
      </w:r>
      <w:r w:rsidRPr="00F579C6">
        <w:rPr>
          <w:rFonts w:ascii="Times New Roman" w:hAnsi="Times New Roman" w:cs="Times New Roman"/>
        </w:rPr>
        <w:t xml:space="preserve"> The predictive accuracy of each model will be assessed using a comprehensive set of evaluation metrics:</w:t>
      </w:r>
    </w:p>
    <w:p w14:paraId="1E184111" w14:textId="77777777" w:rsidR="00F579C6" w:rsidRPr="00F579C6" w:rsidRDefault="00F579C6" w:rsidP="00F579C6">
      <w:pPr>
        <w:numPr>
          <w:ilvl w:val="0"/>
          <w:numId w:val="10"/>
        </w:numPr>
        <w:spacing w:line="480" w:lineRule="auto"/>
        <w:rPr>
          <w:rFonts w:ascii="Times New Roman" w:hAnsi="Times New Roman" w:cs="Times New Roman"/>
        </w:rPr>
      </w:pPr>
      <w:r w:rsidRPr="00F579C6">
        <w:rPr>
          <w:rFonts w:ascii="Times New Roman" w:hAnsi="Times New Roman" w:cs="Times New Roman"/>
          <w:b/>
          <w:bCs/>
        </w:rPr>
        <w:lastRenderedPageBreak/>
        <w:t>Discrimination Metrics</w:t>
      </w:r>
      <w:r w:rsidRPr="00F579C6">
        <w:rPr>
          <w:rFonts w:ascii="Times New Roman" w:hAnsi="Times New Roman" w:cs="Times New Roman"/>
        </w:rPr>
        <w:t>: Area under the Receiver Operating Characteristic curve (AUC-ROC), precision, recall, and F1-score will measure how well the models distinguish between T2D and non-T2D individuals.</w:t>
      </w:r>
    </w:p>
    <w:p w14:paraId="2384E319" w14:textId="77777777" w:rsidR="00F579C6" w:rsidRPr="00F579C6" w:rsidRDefault="00F579C6" w:rsidP="00F579C6">
      <w:pPr>
        <w:numPr>
          <w:ilvl w:val="0"/>
          <w:numId w:val="10"/>
        </w:numPr>
        <w:spacing w:line="480" w:lineRule="auto"/>
        <w:rPr>
          <w:rFonts w:ascii="Times New Roman" w:hAnsi="Times New Roman" w:cs="Times New Roman"/>
        </w:rPr>
      </w:pPr>
      <w:r w:rsidRPr="00F579C6">
        <w:rPr>
          <w:rFonts w:ascii="Times New Roman" w:hAnsi="Times New Roman" w:cs="Times New Roman"/>
          <w:b/>
          <w:bCs/>
        </w:rPr>
        <w:t>Calibration Metrics</w:t>
      </w:r>
      <w:r w:rsidRPr="00F579C6">
        <w:rPr>
          <w:rFonts w:ascii="Times New Roman" w:hAnsi="Times New Roman" w:cs="Times New Roman"/>
        </w:rPr>
        <w:t>: Brier score and calibration curves will assess the agreement between predicted probabilities and actual outcomes.</w:t>
      </w:r>
    </w:p>
    <w:p w14:paraId="3C08F938" w14:textId="77777777" w:rsidR="00F579C6" w:rsidRPr="00F579C6" w:rsidRDefault="00F579C6" w:rsidP="00F579C6">
      <w:pPr>
        <w:numPr>
          <w:ilvl w:val="0"/>
          <w:numId w:val="10"/>
        </w:numPr>
        <w:spacing w:line="480" w:lineRule="auto"/>
        <w:rPr>
          <w:rFonts w:ascii="Times New Roman" w:hAnsi="Times New Roman" w:cs="Times New Roman"/>
        </w:rPr>
      </w:pPr>
      <w:r w:rsidRPr="00F579C6">
        <w:rPr>
          <w:rFonts w:ascii="Times New Roman" w:hAnsi="Times New Roman" w:cs="Times New Roman"/>
          <w:b/>
          <w:bCs/>
        </w:rPr>
        <w:t>Net Benefit Analysis</w:t>
      </w:r>
      <w:r w:rsidRPr="00F579C6">
        <w:rPr>
          <w:rFonts w:ascii="Times New Roman" w:hAnsi="Times New Roman" w:cs="Times New Roman"/>
        </w:rPr>
        <w:t>: Decision curve analysis will evaluate the clinical utility of models across a range of risk thresholds.</w:t>
      </w:r>
    </w:p>
    <w:p w14:paraId="3F4DA998" w14:textId="77777777" w:rsidR="00F579C6" w:rsidRPr="00F579C6" w:rsidRDefault="00F579C6" w:rsidP="00F579C6">
      <w:pPr>
        <w:numPr>
          <w:ilvl w:val="0"/>
          <w:numId w:val="10"/>
        </w:numPr>
        <w:spacing w:line="480" w:lineRule="auto"/>
        <w:rPr>
          <w:rFonts w:ascii="Times New Roman" w:hAnsi="Times New Roman" w:cs="Times New Roman"/>
        </w:rPr>
      </w:pPr>
      <w:r w:rsidRPr="00F579C6">
        <w:rPr>
          <w:rFonts w:ascii="Times New Roman" w:hAnsi="Times New Roman" w:cs="Times New Roman"/>
          <w:b/>
          <w:bCs/>
        </w:rPr>
        <w:t>Reclassification Metrics</w:t>
      </w:r>
      <w:r w:rsidRPr="00F579C6">
        <w:rPr>
          <w:rFonts w:ascii="Times New Roman" w:hAnsi="Times New Roman" w:cs="Times New Roman"/>
        </w:rPr>
        <w:t>: Net reclassification improvement (NRI) and integrated discrimination improvement (IDI) will compare ML-enhanced models to baseline PRS-only models.</w:t>
      </w:r>
    </w:p>
    <w:p w14:paraId="216FF44D"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3. Subgroup Analyses and Fairness Audits</w:t>
      </w:r>
      <w:r w:rsidRPr="00F579C6">
        <w:rPr>
          <w:rFonts w:ascii="Times New Roman" w:hAnsi="Times New Roman" w:cs="Times New Roman"/>
        </w:rPr>
        <w:t xml:space="preserve"> To assess model equity, subgroup performance will be evaluated across multiple dimensions, including ethnicity, sex, and age strata. Comparative AUCs, confusion matrices, and fairness indicators (e.g., equal opportunity difference, demographic parity) will be calculated. This will help ensure that no subpopulation is disproportionately misclassified or underrepresented in the model’s predictions.</w:t>
      </w:r>
    </w:p>
    <w:p w14:paraId="5EFBFDC5"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4. Model Comparison and Statistical Testing</w:t>
      </w:r>
      <w:r w:rsidRPr="00F579C6">
        <w:rPr>
          <w:rFonts w:ascii="Times New Roman" w:hAnsi="Times New Roman" w:cs="Times New Roman"/>
        </w:rPr>
        <w:t xml:space="preserve"> Pairwise comparisons between models will be conducted using Delong’s test for correlated ROC curves to determine statistically significant differences in AUC. Paired t-tests or Wilcoxon signed-rank tests will be used to compare mean scores of metrics like F1 and Brier scores. McNemar’s test will evaluate classification consistency between models. These tests will establish which model delivers the best performance under different configurations.</w:t>
      </w:r>
    </w:p>
    <w:p w14:paraId="04435991"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5. Sensitivity Analysis and Robustness Checks</w:t>
      </w:r>
      <w:r w:rsidRPr="00F579C6">
        <w:rPr>
          <w:rFonts w:ascii="Times New Roman" w:hAnsi="Times New Roman" w:cs="Times New Roman"/>
        </w:rPr>
        <w:t xml:space="preserve"> Sensitivity analyses will be conducted by:</w:t>
      </w:r>
    </w:p>
    <w:p w14:paraId="26CFD1D7" w14:textId="77777777" w:rsidR="00F579C6" w:rsidRPr="00F579C6" w:rsidRDefault="00F579C6" w:rsidP="00F579C6">
      <w:pPr>
        <w:numPr>
          <w:ilvl w:val="0"/>
          <w:numId w:val="11"/>
        </w:numPr>
        <w:spacing w:line="480" w:lineRule="auto"/>
        <w:rPr>
          <w:rFonts w:ascii="Times New Roman" w:hAnsi="Times New Roman" w:cs="Times New Roman"/>
        </w:rPr>
      </w:pPr>
      <w:r w:rsidRPr="00F579C6">
        <w:rPr>
          <w:rFonts w:ascii="Times New Roman" w:hAnsi="Times New Roman" w:cs="Times New Roman"/>
        </w:rPr>
        <w:lastRenderedPageBreak/>
        <w:t>Varying PRS construction parameters (e.g., different p-value thresholds, SNP inclusion levels)</w:t>
      </w:r>
    </w:p>
    <w:p w14:paraId="0DB1E77F" w14:textId="279AAAE3" w:rsidR="00F579C6" w:rsidRPr="00F579C6" w:rsidRDefault="00F579C6" w:rsidP="00F579C6">
      <w:pPr>
        <w:numPr>
          <w:ilvl w:val="0"/>
          <w:numId w:val="11"/>
        </w:numPr>
        <w:spacing w:line="480" w:lineRule="auto"/>
        <w:rPr>
          <w:rFonts w:ascii="Times New Roman" w:hAnsi="Times New Roman" w:cs="Times New Roman"/>
        </w:rPr>
      </w:pPr>
      <w:r w:rsidRPr="00F579C6">
        <w:rPr>
          <w:rFonts w:ascii="Times New Roman" w:hAnsi="Times New Roman" w:cs="Times New Roman"/>
        </w:rPr>
        <w:t xml:space="preserve">Excluding variables with high multicollinearity or </w:t>
      </w:r>
      <w:r w:rsidR="004C14A4" w:rsidRPr="00F579C6">
        <w:rPr>
          <w:rFonts w:ascii="Times New Roman" w:hAnsi="Times New Roman" w:cs="Times New Roman"/>
        </w:rPr>
        <w:t>lack of ability</w:t>
      </w:r>
    </w:p>
    <w:p w14:paraId="7D0AA410" w14:textId="77777777" w:rsidR="00F579C6" w:rsidRPr="00F579C6" w:rsidRDefault="00F579C6" w:rsidP="00F579C6">
      <w:pPr>
        <w:numPr>
          <w:ilvl w:val="0"/>
          <w:numId w:val="11"/>
        </w:numPr>
        <w:spacing w:line="480" w:lineRule="auto"/>
        <w:rPr>
          <w:rFonts w:ascii="Times New Roman" w:hAnsi="Times New Roman" w:cs="Times New Roman"/>
        </w:rPr>
      </w:pPr>
      <w:r w:rsidRPr="00F579C6">
        <w:rPr>
          <w:rFonts w:ascii="Times New Roman" w:hAnsi="Times New Roman" w:cs="Times New Roman"/>
        </w:rPr>
        <w:t>Testing model performance across different imputation techniques</w:t>
      </w:r>
    </w:p>
    <w:p w14:paraId="1C44EB1B" w14:textId="77777777" w:rsidR="00F579C6" w:rsidRPr="00F579C6" w:rsidRDefault="00F579C6" w:rsidP="00F579C6">
      <w:pPr>
        <w:numPr>
          <w:ilvl w:val="0"/>
          <w:numId w:val="11"/>
        </w:numPr>
        <w:spacing w:line="480" w:lineRule="auto"/>
        <w:rPr>
          <w:rFonts w:ascii="Times New Roman" w:hAnsi="Times New Roman" w:cs="Times New Roman"/>
        </w:rPr>
      </w:pPr>
      <w:r w:rsidRPr="00F579C6">
        <w:rPr>
          <w:rFonts w:ascii="Times New Roman" w:hAnsi="Times New Roman" w:cs="Times New Roman"/>
        </w:rPr>
        <w:t>Using bootstrapping and jackknife resampling to evaluate the stability of model outputs</w:t>
      </w:r>
    </w:p>
    <w:p w14:paraId="1AFC36DD" w14:textId="1B7910A8" w:rsidR="00F579C6" w:rsidRPr="00F579C6" w:rsidRDefault="00F579C6" w:rsidP="00F579C6">
      <w:pPr>
        <w:spacing w:line="480" w:lineRule="auto"/>
        <w:ind w:firstLine="360"/>
        <w:rPr>
          <w:rFonts w:ascii="Times New Roman" w:hAnsi="Times New Roman" w:cs="Times New Roman"/>
        </w:rPr>
      </w:pPr>
      <w:r w:rsidRPr="00F579C6">
        <w:rPr>
          <w:rFonts w:ascii="Times New Roman" w:hAnsi="Times New Roman" w:cs="Times New Roman"/>
        </w:rPr>
        <w:t xml:space="preserve">Robustness will also </w:t>
      </w:r>
      <w:proofErr w:type="gramStart"/>
      <w:r w:rsidRPr="00F579C6">
        <w:rPr>
          <w:rFonts w:ascii="Times New Roman" w:hAnsi="Times New Roman" w:cs="Times New Roman"/>
        </w:rPr>
        <w:t xml:space="preserve">be </w:t>
      </w:r>
      <w:r w:rsidR="004C14A4" w:rsidRPr="00F579C6">
        <w:rPr>
          <w:rFonts w:ascii="Times New Roman" w:hAnsi="Times New Roman" w:cs="Times New Roman"/>
        </w:rPr>
        <w:t>evaluated</w:t>
      </w:r>
      <w:proofErr w:type="gramEnd"/>
      <w:r w:rsidRPr="00F579C6">
        <w:rPr>
          <w:rFonts w:ascii="Times New Roman" w:hAnsi="Times New Roman" w:cs="Times New Roman"/>
        </w:rPr>
        <w:t xml:space="preserve"> across different feature selection strategies such as recursive feature elimination (RFE), LASSO regularization, and mutual information gain. Ensemble averaging and model stacking techniques will be explored to further enhance prediction accuracy.</w:t>
      </w:r>
    </w:p>
    <w:p w14:paraId="58D17DC5"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6. Feature Importance and Interpretability</w:t>
      </w:r>
      <w:r w:rsidRPr="00F579C6">
        <w:rPr>
          <w:rFonts w:ascii="Times New Roman" w:hAnsi="Times New Roman" w:cs="Times New Roman"/>
        </w:rPr>
        <w:t xml:space="preserve"> SHAP (SHapley Additive exPlanations) values will be calculated for all machine learning models to interpret the contribution of individual features. Global importance plots will identify the most influential variables (e.g., specific SNPs, clinical markers, lifestyle traits). For individual-level interpretation, local SHAP explanations will illustrate why a particular prediction was made, increasing clinical transparency.</w:t>
      </w:r>
    </w:p>
    <w:p w14:paraId="77D2E553" w14:textId="77777777" w:rsidR="00F579C6" w:rsidRPr="00F579C6" w:rsidRDefault="00F579C6" w:rsidP="00F579C6">
      <w:pPr>
        <w:spacing w:line="480" w:lineRule="auto"/>
        <w:ind w:firstLine="720"/>
        <w:rPr>
          <w:rFonts w:ascii="Times New Roman" w:hAnsi="Times New Roman" w:cs="Times New Roman"/>
        </w:rPr>
      </w:pPr>
      <w:r w:rsidRPr="00F579C6">
        <w:rPr>
          <w:rFonts w:ascii="Times New Roman" w:hAnsi="Times New Roman" w:cs="Times New Roman"/>
        </w:rPr>
        <w:t>For deep learning models, interpretability will be supported using integrated gradients and layer-wise relevance propagation (LRP) to visualize hidden feature patterns. These tools will allow researchers and clinicians to better understand how model decisions are made, especially in high-dimensional genetic data.</w:t>
      </w:r>
    </w:p>
    <w:p w14:paraId="70B49D88"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7. External Validation</w:t>
      </w:r>
      <w:r w:rsidRPr="00F579C6">
        <w:rPr>
          <w:rFonts w:ascii="Times New Roman" w:hAnsi="Times New Roman" w:cs="Times New Roman"/>
        </w:rPr>
        <w:t xml:space="preserve"> To ensure generalizability, the final selected model will be validated using an independent dataset not involved in model training (e.g., a subset from a different </w:t>
      </w:r>
      <w:r w:rsidRPr="00F579C6">
        <w:rPr>
          <w:rFonts w:ascii="Times New Roman" w:hAnsi="Times New Roman" w:cs="Times New Roman"/>
        </w:rPr>
        <w:lastRenderedPageBreak/>
        <w:t>biobank or health system). Performance will be compared to internal test results to confirm consistency.</w:t>
      </w:r>
    </w:p>
    <w:p w14:paraId="5C0C5853" w14:textId="77777777" w:rsidR="00F579C6" w:rsidRPr="00F579C6" w:rsidRDefault="00F579C6" w:rsidP="00F579C6">
      <w:pPr>
        <w:spacing w:line="480" w:lineRule="auto"/>
        <w:rPr>
          <w:rFonts w:ascii="Times New Roman" w:hAnsi="Times New Roman" w:cs="Times New Roman"/>
        </w:rPr>
      </w:pPr>
      <w:r w:rsidRPr="00F579C6">
        <w:rPr>
          <w:rFonts w:ascii="Times New Roman" w:hAnsi="Times New Roman" w:cs="Times New Roman"/>
          <w:b/>
          <w:bCs/>
        </w:rPr>
        <w:t>8. Visualization and Reporting</w:t>
      </w:r>
      <w:r w:rsidRPr="00F579C6">
        <w:rPr>
          <w:rFonts w:ascii="Times New Roman" w:hAnsi="Times New Roman" w:cs="Times New Roman"/>
        </w:rPr>
        <w:t xml:space="preserve"> Visualization tools (e.g., ROC curves, precision-recall plots, calibration plots, SHAP summary plots) will be used to present results. Reports will be generated for each model, including confusion matrices, metric summaries, feature importance rankings, and bias assessments. These visual and quantitative outputs will guide future deployment and help stakeholders interpret model performance.</w:t>
      </w:r>
    </w:p>
    <w:p w14:paraId="60A553F9" w14:textId="77777777" w:rsidR="00F579C6" w:rsidRPr="00F579C6" w:rsidRDefault="00F579C6" w:rsidP="00F579C6">
      <w:pPr>
        <w:spacing w:line="480" w:lineRule="auto"/>
        <w:ind w:firstLine="720"/>
        <w:rPr>
          <w:rFonts w:ascii="Times New Roman" w:hAnsi="Times New Roman" w:cs="Times New Roman"/>
        </w:rPr>
      </w:pPr>
      <w:r w:rsidRPr="00F579C6">
        <w:rPr>
          <w:rFonts w:ascii="Times New Roman" w:hAnsi="Times New Roman" w:cs="Times New Roman"/>
          <w:b/>
          <w:bCs/>
        </w:rPr>
        <w:t>Expected Outcomes</w:t>
      </w:r>
      <w:r w:rsidRPr="00F579C6">
        <w:rPr>
          <w:rFonts w:ascii="Times New Roman" w:hAnsi="Times New Roman" w:cs="Times New Roman"/>
        </w:rPr>
        <w:t xml:space="preserve"> We expect that ML-enhanced PRS models will significantly outperform traditional PRS-only models, with anticipated AUC improvements from ~0.65 to above 0.85. The models are expected to retain high discriminatory power across subgroups while maintaining calibration and fairness. Feature importance analysis will likely reveal synergistic effects between genetic, clinical, and lifestyle variables, providing actionable insights for early diagnosis and targeted prevention strategies.</w:t>
      </w:r>
    </w:p>
    <w:p w14:paraId="41935FE8" w14:textId="77777777" w:rsidR="00F579C6" w:rsidRPr="00F579C6" w:rsidRDefault="00F579C6" w:rsidP="00F579C6">
      <w:pPr>
        <w:spacing w:line="480" w:lineRule="auto"/>
        <w:ind w:firstLine="720"/>
        <w:rPr>
          <w:rFonts w:ascii="Times New Roman" w:hAnsi="Times New Roman" w:cs="Times New Roman"/>
        </w:rPr>
      </w:pPr>
      <w:r w:rsidRPr="00F579C6">
        <w:rPr>
          <w:rFonts w:ascii="Times New Roman" w:hAnsi="Times New Roman" w:cs="Times New Roman"/>
        </w:rPr>
        <w:t>This comprehensive data analysis framework ensures that our findings will be statistically rigorous, clinically relevant, and ethically sound, enabling reliable deployment in diverse populations and healthcare settings.</w:t>
      </w:r>
    </w:p>
    <w:p w14:paraId="317FA697"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t>Deliverables</w:t>
      </w:r>
    </w:p>
    <w:p w14:paraId="0926C4E0" w14:textId="77777777" w:rsidR="000C001A" w:rsidRPr="000C001A" w:rsidRDefault="000C001A" w:rsidP="0084640A">
      <w:pPr>
        <w:numPr>
          <w:ilvl w:val="0"/>
          <w:numId w:val="6"/>
        </w:numPr>
        <w:spacing w:line="480" w:lineRule="auto"/>
        <w:rPr>
          <w:rFonts w:ascii="Times New Roman" w:hAnsi="Times New Roman" w:cs="Times New Roman"/>
        </w:rPr>
      </w:pPr>
      <w:r w:rsidRPr="000C001A">
        <w:rPr>
          <w:rFonts w:ascii="Times New Roman" w:hAnsi="Times New Roman" w:cs="Times New Roman"/>
        </w:rPr>
        <w:t xml:space="preserve">Peer-reviewed journal article (e.g., </w:t>
      </w:r>
      <w:r w:rsidRPr="000C001A">
        <w:rPr>
          <w:rFonts w:ascii="Times New Roman" w:hAnsi="Times New Roman" w:cs="Times New Roman"/>
          <w:i/>
          <w:iCs/>
        </w:rPr>
        <w:t>Diabetes Care</w:t>
      </w:r>
      <w:r w:rsidRPr="000C001A">
        <w:rPr>
          <w:rFonts w:ascii="Times New Roman" w:hAnsi="Times New Roman" w:cs="Times New Roman"/>
        </w:rPr>
        <w:t xml:space="preserve">, </w:t>
      </w:r>
      <w:r w:rsidRPr="000C001A">
        <w:rPr>
          <w:rFonts w:ascii="Times New Roman" w:hAnsi="Times New Roman" w:cs="Times New Roman"/>
          <w:i/>
          <w:iCs/>
        </w:rPr>
        <w:t>Nature Genetics</w:t>
      </w:r>
      <w:r w:rsidRPr="000C001A">
        <w:rPr>
          <w:rFonts w:ascii="Times New Roman" w:hAnsi="Times New Roman" w:cs="Times New Roman"/>
        </w:rPr>
        <w:t>)</w:t>
      </w:r>
    </w:p>
    <w:p w14:paraId="2F5B8CEF" w14:textId="77777777" w:rsidR="000C001A" w:rsidRPr="000C001A" w:rsidRDefault="000C001A" w:rsidP="0084640A">
      <w:pPr>
        <w:numPr>
          <w:ilvl w:val="0"/>
          <w:numId w:val="6"/>
        </w:numPr>
        <w:spacing w:line="480" w:lineRule="auto"/>
        <w:rPr>
          <w:rFonts w:ascii="Times New Roman" w:hAnsi="Times New Roman" w:cs="Times New Roman"/>
        </w:rPr>
      </w:pPr>
      <w:r w:rsidRPr="000C001A">
        <w:rPr>
          <w:rFonts w:ascii="Times New Roman" w:hAnsi="Times New Roman" w:cs="Times New Roman"/>
        </w:rPr>
        <w:t>GitHub repository with cleaned data scripts, model code, and reproducibility guidelines</w:t>
      </w:r>
    </w:p>
    <w:p w14:paraId="663A7235" w14:textId="77777777" w:rsidR="000C001A" w:rsidRPr="000C001A" w:rsidRDefault="000C001A" w:rsidP="0084640A">
      <w:pPr>
        <w:numPr>
          <w:ilvl w:val="0"/>
          <w:numId w:val="6"/>
        </w:numPr>
        <w:spacing w:line="480" w:lineRule="auto"/>
        <w:rPr>
          <w:rFonts w:ascii="Times New Roman" w:hAnsi="Times New Roman" w:cs="Times New Roman"/>
        </w:rPr>
      </w:pPr>
      <w:r w:rsidRPr="000C001A">
        <w:rPr>
          <w:rFonts w:ascii="Times New Roman" w:hAnsi="Times New Roman" w:cs="Times New Roman"/>
        </w:rPr>
        <w:t>Academic presentation and conference poster (e.g., AMIA, ISMB)</w:t>
      </w:r>
    </w:p>
    <w:p w14:paraId="6B3C3CBC" w14:textId="0EB0886B" w:rsidR="000C001A" w:rsidRPr="000C001A" w:rsidRDefault="000C001A" w:rsidP="0084640A">
      <w:pPr>
        <w:numPr>
          <w:ilvl w:val="0"/>
          <w:numId w:val="6"/>
        </w:numPr>
        <w:spacing w:line="480" w:lineRule="auto"/>
        <w:rPr>
          <w:rFonts w:ascii="Times New Roman" w:hAnsi="Times New Roman" w:cs="Times New Roman"/>
        </w:rPr>
      </w:pPr>
      <w:r w:rsidRPr="000C001A">
        <w:rPr>
          <w:rFonts w:ascii="Times New Roman" w:hAnsi="Times New Roman" w:cs="Times New Roman"/>
        </w:rPr>
        <w:t xml:space="preserve">Research brief for public health </w:t>
      </w:r>
      <w:r w:rsidR="004C14A4" w:rsidRPr="000C001A">
        <w:rPr>
          <w:rFonts w:ascii="Times New Roman" w:hAnsi="Times New Roman" w:cs="Times New Roman"/>
        </w:rPr>
        <w:t>stakeholders.</w:t>
      </w:r>
    </w:p>
    <w:p w14:paraId="00F2DE34"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lastRenderedPageBreak/>
        <w:t>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1009"/>
      </w:tblGrid>
      <w:tr w:rsidR="000C001A" w:rsidRPr="000C001A" w14:paraId="78EE2A6D" w14:textId="77777777" w:rsidTr="000C001A">
        <w:trPr>
          <w:tblCellSpacing w:w="15" w:type="dxa"/>
        </w:trPr>
        <w:tc>
          <w:tcPr>
            <w:tcW w:w="0" w:type="auto"/>
            <w:vAlign w:val="center"/>
            <w:hideMark/>
          </w:tcPr>
          <w:p w14:paraId="00432592" w14:textId="77777777" w:rsidR="000C001A" w:rsidRPr="000C001A" w:rsidRDefault="000C001A" w:rsidP="0084640A">
            <w:pPr>
              <w:spacing w:line="480" w:lineRule="auto"/>
              <w:rPr>
                <w:rFonts w:ascii="Times New Roman" w:hAnsi="Times New Roman" w:cs="Times New Roman"/>
                <w:b/>
                <w:bCs/>
              </w:rPr>
            </w:pPr>
            <w:r w:rsidRPr="000C001A">
              <w:rPr>
                <w:rFonts w:ascii="Times New Roman" w:hAnsi="Times New Roman" w:cs="Times New Roman"/>
                <w:b/>
                <w:bCs/>
              </w:rPr>
              <w:t>Activity</w:t>
            </w:r>
          </w:p>
        </w:tc>
        <w:tc>
          <w:tcPr>
            <w:tcW w:w="0" w:type="auto"/>
            <w:vAlign w:val="center"/>
            <w:hideMark/>
          </w:tcPr>
          <w:p w14:paraId="2B04F9C1" w14:textId="77777777" w:rsidR="000C001A" w:rsidRPr="000C001A" w:rsidRDefault="000C001A" w:rsidP="0084640A">
            <w:pPr>
              <w:spacing w:line="480" w:lineRule="auto"/>
              <w:rPr>
                <w:rFonts w:ascii="Times New Roman" w:hAnsi="Times New Roman" w:cs="Times New Roman"/>
                <w:b/>
                <w:bCs/>
              </w:rPr>
            </w:pPr>
            <w:r w:rsidRPr="000C001A">
              <w:rPr>
                <w:rFonts w:ascii="Times New Roman" w:hAnsi="Times New Roman" w:cs="Times New Roman"/>
                <w:b/>
                <w:bCs/>
              </w:rPr>
              <w:t>Duration</w:t>
            </w:r>
          </w:p>
        </w:tc>
      </w:tr>
      <w:tr w:rsidR="000C001A" w:rsidRPr="000C001A" w14:paraId="17ECBDE3" w14:textId="77777777" w:rsidTr="000C001A">
        <w:trPr>
          <w:tblCellSpacing w:w="15" w:type="dxa"/>
        </w:trPr>
        <w:tc>
          <w:tcPr>
            <w:tcW w:w="0" w:type="auto"/>
            <w:vAlign w:val="center"/>
            <w:hideMark/>
          </w:tcPr>
          <w:p w14:paraId="63DE8CB5"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Literature Review</w:t>
            </w:r>
          </w:p>
        </w:tc>
        <w:tc>
          <w:tcPr>
            <w:tcW w:w="0" w:type="auto"/>
            <w:vAlign w:val="center"/>
            <w:hideMark/>
          </w:tcPr>
          <w:p w14:paraId="6BC8F85B"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2 weeks</w:t>
            </w:r>
          </w:p>
        </w:tc>
      </w:tr>
      <w:tr w:rsidR="000C001A" w:rsidRPr="000C001A" w14:paraId="0C4E06F1" w14:textId="77777777" w:rsidTr="000C001A">
        <w:trPr>
          <w:tblCellSpacing w:w="15" w:type="dxa"/>
        </w:trPr>
        <w:tc>
          <w:tcPr>
            <w:tcW w:w="0" w:type="auto"/>
            <w:vAlign w:val="center"/>
            <w:hideMark/>
          </w:tcPr>
          <w:p w14:paraId="703D66A2"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Data Acquisition &amp; Cleaning</w:t>
            </w:r>
          </w:p>
        </w:tc>
        <w:tc>
          <w:tcPr>
            <w:tcW w:w="0" w:type="auto"/>
            <w:vAlign w:val="center"/>
            <w:hideMark/>
          </w:tcPr>
          <w:p w14:paraId="7E974564"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3 weeks</w:t>
            </w:r>
          </w:p>
        </w:tc>
      </w:tr>
      <w:tr w:rsidR="000C001A" w:rsidRPr="000C001A" w14:paraId="6168974D" w14:textId="77777777" w:rsidTr="000C001A">
        <w:trPr>
          <w:tblCellSpacing w:w="15" w:type="dxa"/>
        </w:trPr>
        <w:tc>
          <w:tcPr>
            <w:tcW w:w="0" w:type="auto"/>
            <w:vAlign w:val="center"/>
            <w:hideMark/>
          </w:tcPr>
          <w:p w14:paraId="286CF789"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Model Development</w:t>
            </w:r>
          </w:p>
        </w:tc>
        <w:tc>
          <w:tcPr>
            <w:tcW w:w="0" w:type="auto"/>
            <w:vAlign w:val="center"/>
            <w:hideMark/>
          </w:tcPr>
          <w:p w14:paraId="77610E25"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4 weeks</w:t>
            </w:r>
          </w:p>
        </w:tc>
      </w:tr>
      <w:tr w:rsidR="000C001A" w:rsidRPr="000C001A" w14:paraId="19A379BC" w14:textId="77777777" w:rsidTr="000C001A">
        <w:trPr>
          <w:tblCellSpacing w:w="15" w:type="dxa"/>
        </w:trPr>
        <w:tc>
          <w:tcPr>
            <w:tcW w:w="0" w:type="auto"/>
            <w:vAlign w:val="center"/>
            <w:hideMark/>
          </w:tcPr>
          <w:p w14:paraId="04815A8A"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Model Evaluation &amp; Optimization</w:t>
            </w:r>
          </w:p>
        </w:tc>
        <w:tc>
          <w:tcPr>
            <w:tcW w:w="0" w:type="auto"/>
            <w:vAlign w:val="center"/>
            <w:hideMark/>
          </w:tcPr>
          <w:p w14:paraId="717B1362"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4 weeks</w:t>
            </w:r>
          </w:p>
        </w:tc>
      </w:tr>
      <w:tr w:rsidR="000C001A" w:rsidRPr="000C001A" w14:paraId="0696F8D8" w14:textId="77777777" w:rsidTr="000C001A">
        <w:trPr>
          <w:tblCellSpacing w:w="15" w:type="dxa"/>
        </w:trPr>
        <w:tc>
          <w:tcPr>
            <w:tcW w:w="0" w:type="auto"/>
            <w:vAlign w:val="center"/>
            <w:hideMark/>
          </w:tcPr>
          <w:p w14:paraId="2F81E0C3"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Subgroup &amp; Sensitivity Analyses</w:t>
            </w:r>
          </w:p>
        </w:tc>
        <w:tc>
          <w:tcPr>
            <w:tcW w:w="0" w:type="auto"/>
            <w:vAlign w:val="center"/>
            <w:hideMark/>
          </w:tcPr>
          <w:p w14:paraId="24986CE9"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2 weeks</w:t>
            </w:r>
          </w:p>
        </w:tc>
      </w:tr>
      <w:tr w:rsidR="000C001A" w:rsidRPr="000C001A" w14:paraId="554D2957" w14:textId="77777777" w:rsidTr="000C001A">
        <w:trPr>
          <w:tblCellSpacing w:w="15" w:type="dxa"/>
        </w:trPr>
        <w:tc>
          <w:tcPr>
            <w:tcW w:w="0" w:type="auto"/>
            <w:vAlign w:val="center"/>
            <w:hideMark/>
          </w:tcPr>
          <w:p w14:paraId="68D533E8"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Manuscript Writing</w:t>
            </w:r>
          </w:p>
        </w:tc>
        <w:tc>
          <w:tcPr>
            <w:tcW w:w="0" w:type="auto"/>
            <w:vAlign w:val="center"/>
            <w:hideMark/>
          </w:tcPr>
          <w:p w14:paraId="56354962"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3 weeks</w:t>
            </w:r>
          </w:p>
        </w:tc>
      </w:tr>
      <w:tr w:rsidR="000C001A" w:rsidRPr="000C001A" w14:paraId="071E449B" w14:textId="77777777" w:rsidTr="000C001A">
        <w:trPr>
          <w:tblCellSpacing w:w="15" w:type="dxa"/>
        </w:trPr>
        <w:tc>
          <w:tcPr>
            <w:tcW w:w="0" w:type="auto"/>
            <w:vAlign w:val="center"/>
            <w:hideMark/>
          </w:tcPr>
          <w:p w14:paraId="0C37C84C"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Presentation &amp; Dissemination</w:t>
            </w:r>
          </w:p>
        </w:tc>
        <w:tc>
          <w:tcPr>
            <w:tcW w:w="0" w:type="auto"/>
            <w:vAlign w:val="center"/>
            <w:hideMark/>
          </w:tcPr>
          <w:p w14:paraId="530BCF58"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rPr>
              <w:t>2 weeks</w:t>
            </w:r>
          </w:p>
        </w:tc>
      </w:tr>
      <w:tr w:rsidR="000C001A" w:rsidRPr="000C001A" w14:paraId="42E3B8BB" w14:textId="77777777" w:rsidTr="000C001A">
        <w:trPr>
          <w:tblCellSpacing w:w="15" w:type="dxa"/>
        </w:trPr>
        <w:tc>
          <w:tcPr>
            <w:tcW w:w="0" w:type="auto"/>
            <w:vAlign w:val="center"/>
            <w:hideMark/>
          </w:tcPr>
          <w:p w14:paraId="2F3A956C"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t>Total</w:t>
            </w:r>
          </w:p>
        </w:tc>
        <w:tc>
          <w:tcPr>
            <w:tcW w:w="0" w:type="auto"/>
            <w:vAlign w:val="center"/>
            <w:hideMark/>
          </w:tcPr>
          <w:p w14:paraId="75832307" w14:textId="77777777" w:rsidR="000C001A" w:rsidRPr="000C001A" w:rsidRDefault="000C001A" w:rsidP="0084640A">
            <w:pPr>
              <w:spacing w:line="480" w:lineRule="auto"/>
              <w:rPr>
                <w:rFonts w:ascii="Times New Roman" w:hAnsi="Times New Roman" w:cs="Times New Roman"/>
              </w:rPr>
            </w:pPr>
            <w:r w:rsidRPr="000C001A">
              <w:rPr>
                <w:rFonts w:ascii="Times New Roman" w:hAnsi="Times New Roman" w:cs="Times New Roman"/>
                <w:b/>
                <w:bCs/>
              </w:rPr>
              <w:t>20 weeks</w:t>
            </w:r>
          </w:p>
        </w:tc>
      </w:tr>
    </w:tbl>
    <w:p w14:paraId="45085B40" w14:textId="5C3880AF" w:rsidR="00806B70" w:rsidRPr="00FE5352" w:rsidRDefault="000C001A" w:rsidP="0084640A">
      <w:pPr>
        <w:spacing w:line="480" w:lineRule="auto"/>
        <w:rPr>
          <w:rFonts w:ascii="Times New Roman" w:hAnsi="Times New Roman" w:cs="Times New Roman"/>
          <w:b/>
          <w:bCs/>
        </w:rPr>
      </w:pPr>
      <w:r w:rsidRPr="000C001A">
        <w:rPr>
          <w:rFonts w:ascii="Times New Roman" w:hAnsi="Times New Roman" w:cs="Times New Roman"/>
          <w:b/>
          <w:bCs/>
        </w:rPr>
        <w:t>Budget</w:t>
      </w:r>
      <w:r w:rsidRPr="000C001A">
        <w:rPr>
          <w:rFonts w:ascii="Times New Roman" w:hAnsi="Times New Roman" w:cs="Times New Roman"/>
        </w:rPr>
        <w:t xml:space="preserve"> </w:t>
      </w:r>
    </w:p>
    <w:p w14:paraId="3532BB12" w14:textId="3BD71333" w:rsidR="000C001A" w:rsidRPr="000C001A" w:rsidRDefault="000C001A" w:rsidP="0084640A">
      <w:pPr>
        <w:spacing w:line="480" w:lineRule="auto"/>
        <w:ind w:firstLine="720"/>
        <w:rPr>
          <w:rFonts w:ascii="Times New Roman" w:hAnsi="Times New Roman" w:cs="Times New Roman"/>
        </w:rPr>
      </w:pPr>
      <w:r w:rsidRPr="000C001A">
        <w:rPr>
          <w:rFonts w:ascii="Times New Roman" w:hAnsi="Times New Roman" w:cs="Times New Roman"/>
        </w:rPr>
        <w:t>The estimated budget will include projected costs for cloud computing resources, software tools, data access fees, and conference travel. Final costs will be determined during the funding phase of the project planning.</w:t>
      </w:r>
    </w:p>
    <w:p w14:paraId="04BD565B" w14:textId="77777777" w:rsidR="00FE5352" w:rsidRDefault="000C001A" w:rsidP="0084640A">
      <w:pPr>
        <w:spacing w:line="480" w:lineRule="auto"/>
        <w:rPr>
          <w:rFonts w:ascii="Times New Roman" w:hAnsi="Times New Roman" w:cs="Times New Roman"/>
        </w:rPr>
      </w:pPr>
      <w:r w:rsidRPr="000C001A">
        <w:rPr>
          <w:rFonts w:ascii="Times New Roman" w:hAnsi="Times New Roman" w:cs="Times New Roman"/>
          <w:b/>
          <w:bCs/>
        </w:rPr>
        <w:t>Conclusion</w:t>
      </w:r>
      <w:r w:rsidRPr="000C001A">
        <w:rPr>
          <w:rFonts w:ascii="Times New Roman" w:hAnsi="Times New Roman" w:cs="Times New Roman"/>
        </w:rPr>
        <w:t xml:space="preserve"> </w:t>
      </w:r>
    </w:p>
    <w:p w14:paraId="0CF1F8D4" w14:textId="77777777" w:rsidR="00FB6982" w:rsidRPr="00FB6982" w:rsidRDefault="00FB6982" w:rsidP="00FB6982">
      <w:pPr>
        <w:spacing w:line="480" w:lineRule="auto"/>
        <w:ind w:firstLine="720"/>
        <w:rPr>
          <w:rFonts w:ascii="Times New Roman" w:hAnsi="Times New Roman" w:cs="Times New Roman"/>
        </w:rPr>
      </w:pPr>
      <w:r w:rsidRPr="00FB6982">
        <w:rPr>
          <w:rFonts w:ascii="Times New Roman" w:hAnsi="Times New Roman" w:cs="Times New Roman"/>
        </w:rPr>
        <w:t xml:space="preserve">This research proposal presents an innovative and timely framework for predicting Type 2 Diabetes (T2D) through the integration of Polygenic Risk Scores (PRS) and advanced machine learning (ML) techniques. The literature has strongly highlighted the limitations of linear PRS models and the promising advantages of using ML to capture complex, non-linear relationships </w:t>
      </w:r>
      <w:r w:rsidRPr="00FB6982">
        <w:rPr>
          <w:rFonts w:ascii="Times New Roman" w:hAnsi="Times New Roman" w:cs="Times New Roman"/>
        </w:rPr>
        <w:lastRenderedPageBreak/>
        <w:t>among genetic, clinical, and environmental variables. Our framework is uniquely positioned to harness this potential by drawing on multi-modal datasets and employing a robust methodological approach to model development, evaluation, and validation.</w:t>
      </w:r>
    </w:p>
    <w:p w14:paraId="39E38255" w14:textId="79342614" w:rsidR="00FB6982" w:rsidRPr="00FB6982" w:rsidRDefault="00FB6982" w:rsidP="00FB6982">
      <w:pPr>
        <w:spacing w:line="480" w:lineRule="auto"/>
        <w:ind w:firstLine="720"/>
        <w:rPr>
          <w:rFonts w:ascii="Times New Roman" w:hAnsi="Times New Roman" w:cs="Times New Roman"/>
        </w:rPr>
      </w:pPr>
      <w:r w:rsidRPr="00FB6982">
        <w:rPr>
          <w:rFonts w:ascii="Times New Roman" w:hAnsi="Times New Roman" w:cs="Times New Roman"/>
        </w:rPr>
        <w:t xml:space="preserve">The proposed methodology not only leverages </w:t>
      </w:r>
      <w:r w:rsidR="004C14A4" w:rsidRPr="00FB6982">
        <w:rPr>
          <w:rFonts w:ascii="Times New Roman" w:hAnsi="Times New Roman" w:cs="Times New Roman"/>
        </w:rPr>
        <w:t>innovative</w:t>
      </w:r>
      <w:r w:rsidRPr="00FB6982">
        <w:rPr>
          <w:rFonts w:ascii="Times New Roman" w:hAnsi="Times New Roman" w:cs="Times New Roman"/>
        </w:rPr>
        <w:t xml:space="preserve"> tools for genomic data analysis, such as PRSice-2 and SHAP, but also incorporates ethical safeguards, subgroup fairness evaluations, and interpretability techniques to ensure clinical applicability and social responsibility. By using diverse datasets, including those representing underserved populations, this study aligns with the principles of equity and precision medicine, aiming to produce a model that generalizes across populations.</w:t>
      </w:r>
    </w:p>
    <w:p w14:paraId="680BBBE3" w14:textId="6912BB5F" w:rsidR="00FB6982" w:rsidRPr="00FB6982" w:rsidRDefault="00FB6982" w:rsidP="00FB6982">
      <w:pPr>
        <w:spacing w:line="480" w:lineRule="auto"/>
        <w:ind w:firstLine="720"/>
        <w:rPr>
          <w:rFonts w:ascii="Times New Roman" w:hAnsi="Times New Roman" w:cs="Times New Roman"/>
        </w:rPr>
      </w:pPr>
      <w:r w:rsidRPr="00FB6982">
        <w:rPr>
          <w:rFonts w:ascii="Times New Roman" w:hAnsi="Times New Roman" w:cs="Times New Roman"/>
        </w:rPr>
        <w:t xml:space="preserve">Importantly, this research has the potential to transform how we identify and manage individuals at </w:t>
      </w:r>
      <w:r w:rsidR="004C14A4" w:rsidRPr="00FB6982">
        <w:rPr>
          <w:rFonts w:ascii="Times New Roman" w:hAnsi="Times New Roman" w:cs="Times New Roman"/>
        </w:rPr>
        <w:t>elevated risk</w:t>
      </w:r>
      <w:r w:rsidRPr="00FB6982">
        <w:rPr>
          <w:rFonts w:ascii="Times New Roman" w:hAnsi="Times New Roman" w:cs="Times New Roman"/>
        </w:rPr>
        <w:t xml:space="preserve"> for T2D. By improving early detection, clinicians can intervene sooner with lifestyle recommendations, targeted screenings, or pharmacologic strategies, ultimately reducing disease burden and improving patient outcomes. The integration of ML models with PRS is not limited to T2D; it provides a scalable template for other complex disorders such as cardiovascular disease, Alzheimer’s, and various cancers.</w:t>
      </w:r>
    </w:p>
    <w:p w14:paraId="2533D878" w14:textId="77777777" w:rsidR="00FB6982" w:rsidRPr="00FB6982" w:rsidRDefault="00FB6982" w:rsidP="00FB6982">
      <w:pPr>
        <w:spacing w:line="480" w:lineRule="auto"/>
        <w:ind w:firstLine="720"/>
        <w:rPr>
          <w:rFonts w:ascii="Times New Roman" w:hAnsi="Times New Roman" w:cs="Times New Roman"/>
        </w:rPr>
      </w:pPr>
      <w:r w:rsidRPr="00FB6982">
        <w:rPr>
          <w:rFonts w:ascii="Times New Roman" w:hAnsi="Times New Roman" w:cs="Times New Roman"/>
        </w:rPr>
        <w:t>Furthermore, the tools, code, and insights generated by this study will be made publicly available, encouraging reproducibility and collaboration. This transparency supports ongoing innovation in genomic medicine and fosters trust among clinicians, researchers, and patients alike. Future directions may include implementing the model in clinical settings, refining the approach using real-time patient monitoring data, or extending the framework to incorporate epigenetic and transcriptomic data.</w:t>
      </w:r>
    </w:p>
    <w:p w14:paraId="510447BD" w14:textId="77777777" w:rsidR="00FB6982" w:rsidRPr="00FB6982" w:rsidRDefault="00FB6982" w:rsidP="00FB6982">
      <w:pPr>
        <w:spacing w:line="480" w:lineRule="auto"/>
        <w:ind w:firstLine="720"/>
        <w:rPr>
          <w:rFonts w:ascii="Times New Roman" w:hAnsi="Times New Roman" w:cs="Times New Roman"/>
        </w:rPr>
      </w:pPr>
      <w:r w:rsidRPr="00FB6982">
        <w:rPr>
          <w:rFonts w:ascii="Times New Roman" w:hAnsi="Times New Roman" w:cs="Times New Roman"/>
        </w:rPr>
        <w:lastRenderedPageBreak/>
        <w:t>In summary, this project not only advances the scientific frontier of disease risk prediction but also provides tangible contributions to clinical care, data science, and public health. It represents a meaningful step toward realizing the full promise of personalized medicine for chronic disease prevention and health equity.</w:t>
      </w:r>
    </w:p>
    <w:p w14:paraId="4A25C667" w14:textId="77777777" w:rsidR="00FE5352" w:rsidRDefault="00FE5352" w:rsidP="0084640A">
      <w:pPr>
        <w:spacing w:line="480" w:lineRule="auto"/>
        <w:rPr>
          <w:rFonts w:ascii="Times New Roman" w:hAnsi="Times New Roman" w:cs="Times New Roman"/>
        </w:rPr>
      </w:pPr>
      <w:r>
        <w:rPr>
          <w:rFonts w:ascii="Times New Roman" w:hAnsi="Times New Roman" w:cs="Times New Roman"/>
        </w:rPr>
        <w:br w:type="page"/>
      </w:r>
    </w:p>
    <w:p w14:paraId="092F8B57" w14:textId="386EE6F8" w:rsidR="000C001A" w:rsidRDefault="00FE5352" w:rsidP="0084640A">
      <w:pPr>
        <w:spacing w:line="480" w:lineRule="auto"/>
        <w:rPr>
          <w:rFonts w:ascii="Times New Roman" w:hAnsi="Times New Roman" w:cs="Times New Roman"/>
          <w:b/>
          <w:bCs/>
        </w:rPr>
      </w:pPr>
      <w:r>
        <w:rPr>
          <w:rFonts w:ascii="Times New Roman" w:hAnsi="Times New Roman" w:cs="Times New Roman"/>
          <w:b/>
          <w:bCs/>
        </w:rPr>
        <w:lastRenderedPageBreak/>
        <w:t>Reference</w:t>
      </w:r>
    </w:p>
    <w:p w14:paraId="1A767353" w14:textId="02B9FAF1"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Alzoubi, H., Alzubi, R., &amp; Ramzan, N. (2023). Deep learning framework for complex disease risk prediction using genomic variations. </w:t>
      </w:r>
      <w:r w:rsidRPr="00AF74EA">
        <w:rPr>
          <w:rFonts w:ascii="Times New Roman" w:hAnsi="Times New Roman" w:cs="Times New Roman"/>
          <w:i/>
          <w:iCs/>
        </w:rPr>
        <w:t>Sensors, 23</w:t>
      </w:r>
      <w:r w:rsidRPr="00AF74EA">
        <w:rPr>
          <w:rFonts w:ascii="Times New Roman" w:hAnsi="Times New Roman" w:cs="Times New Roman"/>
        </w:rPr>
        <w:t xml:space="preserve">(9), 4439. </w:t>
      </w:r>
      <w:hyperlink r:id="rId5" w:tgtFrame="_new" w:history="1">
        <w:r w:rsidRPr="00AF74EA">
          <w:rPr>
            <w:rStyle w:val="Hyperlink"/>
            <w:rFonts w:ascii="Times New Roman" w:hAnsi="Times New Roman" w:cs="Times New Roman"/>
          </w:rPr>
          <w:t>https://doi.org/10.3390/s23094439</w:t>
        </w:r>
      </w:hyperlink>
    </w:p>
    <w:p w14:paraId="4D32EA2E" w14:textId="211F72C3"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Chang, X., Shih, C. C., Chen, J., Lee, A. S., Tan, P., Wang, L., ... &amp; Dorajoo, R. (2025). Predictive capabilities of polygenic scores in an East-Asian population-based cohort. </w:t>
      </w:r>
      <w:r w:rsidRPr="00AF74EA">
        <w:rPr>
          <w:rFonts w:ascii="Times New Roman" w:hAnsi="Times New Roman" w:cs="Times New Roman"/>
          <w:i/>
          <w:iCs/>
        </w:rPr>
        <w:t>medRxiv</w:t>
      </w:r>
      <w:r w:rsidRPr="00AF74EA">
        <w:rPr>
          <w:rFonts w:ascii="Times New Roman" w:hAnsi="Times New Roman" w:cs="Times New Roman"/>
        </w:rPr>
        <w:t xml:space="preserve">. </w:t>
      </w:r>
      <w:hyperlink r:id="rId6" w:tgtFrame="_new" w:history="1">
        <w:r w:rsidRPr="00AF74EA">
          <w:rPr>
            <w:rStyle w:val="Hyperlink"/>
            <w:rFonts w:ascii="Times New Roman" w:hAnsi="Times New Roman" w:cs="Times New Roman"/>
          </w:rPr>
          <w:t>https://doi.org/10.1101/2025.02.13.25322249</w:t>
        </w:r>
      </w:hyperlink>
    </w:p>
    <w:p w14:paraId="354EB4F0" w14:textId="7D0923B7"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Ge, T., Chen, C. Y., Ni, Y., Feng, Y. C. A., &amp; Smoller, J. W. (2022). Polygenic prediction via Bayesian regression and continuous shrinkage priors. </w:t>
      </w:r>
      <w:r w:rsidRPr="00AF74EA">
        <w:rPr>
          <w:rFonts w:ascii="Times New Roman" w:hAnsi="Times New Roman" w:cs="Times New Roman"/>
          <w:i/>
          <w:iCs/>
        </w:rPr>
        <w:t>Genome Medicine, 14</w:t>
      </w:r>
      <w:r w:rsidRPr="00AF74EA">
        <w:rPr>
          <w:rFonts w:ascii="Times New Roman" w:hAnsi="Times New Roman" w:cs="Times New Roman"/>
        </w:rPr>
        <w:t xml:space="preserve">, 70. </w:t>
      </w:r>
      <w:hyperlink r:id="rId7" w:tgtFrame="_new" w:history="1">
        <w:r w:rsidRPr="00AF74EA">
          <w:rPr>
            <w:rStyle w:val="Hyperlink"/>
            <w:rFonts w:ascii="Times New Roman" w:hAnsi="Times New Roman" w:cs="Times New Roman"/>
          </w:rPr>
          <w:t>https://doi.org/10.1186/s13073-022-01074-2</w:t>
        </w:r>
      </w:hyperlink>
    </w:p>
    <w:p w14:paraId="278026F1" w14:textId="3FC93543"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He, Y., Patel, C. J., &amp; others. (2021). Integrative modeling of polygenic, environmental, and clinical risk scores for type 2 diabetes. </w:t>
      </w:r>
      <w:r w:rsidRPr="00AF74EA">
        <w:rPr>
          <w:rFonts w:ascii="Times New Roman" w:hAnsi="Times New Roman" w:cs="Times New Roman"/>
          <w:i/>
          <w:iCs/>
        </w:rPr>
        <w:t>Journal of Translational Medicine, 19</w:t>
      </w:r>
      <w:r w:rsidRPr="00AF74EA">
        <w:rPr>
          <w:rFonts w:ascii="Times New Roman" w:hAnsi="Times New Roman" w:cs="Times New Roman"/>
        </w:rPr>
        <w:t>, 384. https://doi.org/10.1186/s12967-021-03017-2</w:t>
      </w:r>
    </w:p>
    <w:p w14:paraId="7A62B786" w14:textId="0C6FA7C7"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Mamani, N. M. (2020). Machine learning techniques and polygenic risk score application to </w:t>
      </w:r>
      <w:r w:rsidR="004C14A4" w:rsidRPr="00AF74EA">
        <w:rPr>
          <w:rFonts w:ascii="Times New Roman" w:hAnsi="Times New Roman" w:cs="Times New Roman"/>
        </w:rPr>
        <w:t>predict</w:t>
      </w:r>
      <w:r w:rsidRPr="00AF74EA">
        <w:rPr>
          <w:rFonts w:ascii="Times New Roman" w:hAnsi="Times New Roman" w:cs="Times New Roman"/>
        </w:rPr>
        <w:t xml:space="preserve"> genetic diseases. </w:t>
      </w:r>
      <w:r w:rsidRPr="00AF74EA">
        <w:rPr>
          <w:rFonts w:ascii="Times New Roman" w:hAnsi="Times New Roman" w:cs="Times New Roman"/>
          <w:i/>
          <w:iCs/>
        </w:rPr>
        <w:t>Advances in Distributed Computing and Artificial Intelligence Journal, 9</w:t>
      </w:r>
      <w:r w:rsidRPr="00AF74EA">
        <w:rPr>
          <w:rFonts w:ascii="Times New Roman" w:hAnsi="Times New Roman" w:cs="Times New Roman"/>
        </w:rPr>
        <w:t>(1), 5–14.</w:t>
      </w:r>
    </w:p>
    <w:p w14:paraId="382796ED" w14:textId="63633288"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Muneeb, M., &amp; Henschel, A. (2021). Eye-color and type-2 diabetes phenotype prediction from genotype data using deep learning methods. </w:t>
      </w:r>
      <w:r w:rsidRPr="00AF74EA">
        <w:rPr>
          <w:rFonts w:ascii="Times New Roman" w:hAnsi="Times New Roman" w:cs="Times New Roman"/>
          <w:i/>
          <w:iCs/>
        </w:rPr>
        <w:t>BMC Bioinformatics, 22</w:t>
      </w:r>
      <w:r w:rsidRPr="00AF74EA">
        <w:rPr>
          <w:rFonts w:ascii="Times New Roman" w:hAnsi="Times New Roman" w:cs="Times New Roman"/>
        </w:rPr>
        <w:t>, 198. https://doi.org/10.1186/s12859-021-04077-9</w:t>
      </w:r>
    </w:p>
    <w:p w14:paraId="61D5D6B1" w14:textId="79F72831"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Paré, G., Mao, S., &amp; Deng, W. Q. (2017). A machine-learning heuristic to improve gene score prediction of polygenic traits. </w:t>
      </w:r>
      <w:r w:rsidRPr="00AF74EA">
        <w:rPr>
          <w:rFonts w:ascii="Times New Roman" w:hAnsi="Times New Roman" w:cs="Times New Roman"/>
          <w:i/>
          <w:iCs/>
        </w:rPr>
        <w:t>Scientific Reports, 7</w:t>
      </w:r>
      <w:r w:rsidRPr="00AF74EA">
        <w:rPr>
          <w:rFonts w:ascii="Times New Roman" w:hAnsi="Times New Roman" w:cs="Times New Roman"/>
        </w:rPr>
        <w:t>, 12665. https://doi.org/10.1038/s41598-017-13056-1</w:t>
      </w:r>
    </w:p>
    <w:p w14:paraId="639A20E9" w14:textId="2FF6DCFA"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lastRenderedPageBreak/>
        <w:t xml:space="preserve">Timasheva, Y., Balkhiyarova, Z., Avzaletdinova, D., Rassoleeva, I., Morugova, T. V., Korytina, G., Prokopenko, I., &amp; Kochetova, O. (2023). Integrating common risk factors with polygenic scores improves the prediction of type 2 diabetes. </w:t>
      </w:r>
      <w:r w:rsidRPr="00AF74EA">
        <w:rPr>
          <w:rFonts w:ascii="Times New Roman" w:hAnsi="Times New Roman" w:cs="Times New Roman"/>
          <w:i/>
          <w:iCs/>
        </w:rPr>
        <w:t>International Journal of Molecular Sciences, 24</w:t>
      </w:r>
      <w:r w:rsidRPr="00AF74EA">
        <w:rPr>
          <w:rFonts w:ascii="Times New Roman" w:hAnsi="Times New Roman" w:cs="Times New Roman"/>
        </w:rPr>
        <w:t xml:space="preserve">(2), 984. </w:t>
      </w:r>
      <w:hyperlink r:id="rId8" w:tgtFrame="_new" w:history="1">
        <w:r w:rsidRPr="00AF74EA">
          <w:rPr>
            <w:rStyle w:val="Hyperlink"/>
            <w:rFonts w:ascii="Times New Roman" w:hAnsi="Times New Roman" w:cs="Times New Roman"/>
          </w:rPr>
          <w:t>https://doi.org/10.3390/ijms24020984</w:t>
        </w:r>
      </w:hyperlink>
    </w:p>
    <w:p w14:paraId="2AED77F7" w14:textId="46A53069"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Werissa, N. A., Piko, P., Fiatal, S., Kosa, Z., Sandor, J., &amp; Adany, R. (2019). SNP-based genetic risk score modeling suggests no increased genetic susceptibility of the Roma population to type 2 diabetes mellitus. </w:t>
      </w:r>
      <w:r w:rsidRPr="00AF74EA">
        <w:rPr>
          <w:rFonts w:ascii="Times New Roman" w:hAnsi="Times New Roman" w:cs="Times New Roman"/>
          <w:i/>
          <w:iCs/>
        </w:rPr>
        <w:t>Genes, 10</w:t>
      </w:r>
      <w:r w:rsidRPr="00AF74EA">
        <w:rPr>
          <w:rFonts w:ascii="Times New Roman" w:hAnsi="Times New Roman" w:cs="Times New Roman"/>
        </w:rPr>
        <w:t xml:space="preserve">(11), 942. </w:t>
      </w:r>
      <w:hyperlink r:id="rId9" w:tgtFrame="_new" w:history="1">
        <w:r w:rsidRPr="00AF74EA">
          <w:rPr>
            <w:rStyle w:val="Hyperlink"/>
            <w:rFonts w:ascii="Times New Roman" w:hAnsi="Times New Roman" w:cs="Times New Roman"/>
          </w:rPr>
          <w:t>https://doi.org/10.3390/genes10110942</w:t>
        </w:r>
      </w:hyperlink>
    </w:p>
    <w:p w14:paraId="73201917" w14:textId="4B4DB450"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Widen, E., Raben, T. G., Lello, L., &amp; Hsu, S. D. H. (2021). Machine learning prediction of biomarkers from SNPs and of disease risk from biomarkers in the UK Biobank. </w:t>
      </w:r>
      <w:r w:rsidRPr="00AF74EA">
        <w:rPr>
          <w:rFonts w:ascii="Times New Roman" w:hAnsi="Times New Roman" w:cs="Times New Roman"/>
          <w:i/>
          <w:iCs/>
        </w:rPr>
        <w:t>Genes, 12</w:t>
      </w:r>
      <w:r w:rsidRPr="00AF74EA">
        <w:rPr>
          <w:rFonts w:ascii="Times New Roman" w:hAnsi="Times New Roman" w:cs="Times New Roman"/>
        </w:rPr>
        <w:t xml:space="preserve">(7), 991. </w:t>
      </w:r>
      <w:hyperlink r:id="rId10" w:tgtFrame="_new" w:history="1">
        <w:r w:rsidRPr="00AF74EA">
          <w:rPr>
            <w:rStyle w:val="Hyperlink"/>
            <w:rFonts w:ascii="Times New Roman" w:hAnsi="Times New Roman" w:cs="Times New Roman"/>
          </w:rPr>
          <w:t>https://doi.org/10.3390/genes12070991</w:t>
        </w:r>
      </w:hyperlink>
    </w:p>
    <w:p w14:paraId="316F89CF" w14:textId="6C7A6FE4"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Wong, C. K., Makalic, E., Dite, G. S., Whiting, L., Murphy, N. M., Hopper, J. L., &amp; Allman, R. (2022). Polygenic risk scores for cardiovascular diseases and type 2 diabetes. </w:t>
      </w:r>
      <w:r w:rsidRPr="00AF74EA">
        <w:rPr>
          <w:rFonts w:ascii="Times New Roman" w:hAnsi="Times New Roman" w:cs="Times New Roman"/>
          <w:i/>
          <w:iCs/>
        </w:rPr>
        <w:t>PLOS ONE, 17</w:t>
      </w:r>
      <w:r w:rsidRPr="00AF74EA">
        <w:rPr>
          <w:rFonts w:ascii="Times New Roman" w:hAnsi="Times New Roman" w:cs="Times New Roman"/>
        </w:rPr>
        <w:t xml:space="preserve">(12), e0278764. </w:t>
      </w:r>
      <w:hyperlink r:id="rId11" w:tgtFrame="_new" w:history="1">
        <w:r w:rsidRPr="00AF74EA">
          <w:rPr>
            <w:rStyle w:val="Hyperlink"/>
            <w:rFonts w:ascii="Times New Roman" w:hAnsi="Times New Roman" w:cs="Times New Roman"/>
          </w:rPr>
          <w:t>https://doi.org/10.1371/journal.pone.0278764</w:t>
        </w:r>
      </w:hyperlink>
    </w:p>
    <w:p w14:paraId="1F0686D2" w14:textId="6BCD5BDE"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Zhou, Y., et al. (2023). Predicting long-term type 2 diabetes risk with machine learning: A review of current models and methodologies. </w:t>
      </w:r>
      <w:r w:rsidRPr="00AF74EA">
        <w:rPr>
          <w:rFonts w:ascii="Times New Roman" w:hAnsi="Times New Roman" w:cs="Times New Roman"/>
          <w:i/>
          <w:iCs/>
        </w:rPr>
        <w:t>International Journal of Molecular Sciences, 24</w:t>
      </w:r>
      <w:r w:rsidRPr="00AF74EA">
        <w:rPr>
          <w:rFonts w:ascii="Times New Roman" w:hAnsi="Times New Roman" w:cs="Times New Roman"/>
        </w:rPr>
        <w:t>(3), 984. https://doi.org/10.3390/ijms24030984</w:t>
      </w:r>
    </w:p>
    <w:p w14:paraId="586ED7BE" w14:textId="5370FFF2"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Elgart, M., Lyons, G., Romero-Brufau, S., Kurniansyah, N., Brody, J. A., Guo, X., ... &amp; Liu, C. Y. (2022). Non-linear machine learning models incorporating SNPs and PRS improve polygenic prediction in diverse human populations. </w:t>
      </w:r>
      <w:r w:rsidRPr="00AF74EA">
        <w:rPr>
          <w:rFonts w:ascii="Times New Roman" w:hAnsi="Times New Roman" w:cs="Times New Roman"/>
          <w:i/>
          <w:iCs/>
        </w:rPr>
        <w:t>Communications Biology, 5</w:t>
      </w:r>
      <w:r w:rsidRPr="00AF74EA">
        <w:rPr>
          <w:rFonts w:ascii="Times New Roman" w:hAnsi="Times New Roman" w:cs="Times New Roman"/>
        </w:rPr>
        <w:t>, 856. https://doi.org/10.1038/s42003-022-03939-5</w:t>
      </w:r>
    </w:p>
    <w:p w14:paraId="2F57695E" w14:textId="389D2B7D"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Lewis, C. M., &amp; Vassos, E. (2020). Polygenic risk scores: From research tools to clinical instruments. </w:t>
      </w:r>
      <w:r w:rsidRPr="00AF74EA">
        <w:rPr>
          <w:rFonts w:ascii="Times New Roman" w:hAnsi="Times New Roman" w:cs="Times New Roman"/>
          <w:i/>
          <w:iCs/>
        </w:rPr>
        <w:t>Genome Medicine, 12</w:t>
      </w:r>
      <w:r w:rsidRPr="00AF74EA">
        <w:rPr>
          <w:rFonts w:ascii="Times New Roman" w:hAnsi="Times New Roman" w:cs="Times New Roman"/>
        </w:rPr>
        <w:t>, 44. https://doi.org/10.1186/s13073-020-00742-5</w:t>
      </w:r>
    </w:p>
    <w:p w14:paraId="477210B7" w14:textId="1F0317A4"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lastRenderedPageBreak/>
        <w:t xml:space="preserve">Dudbridge, F. (2013). Power and predictive accuracy of polygenic risk scores. </w:t>
      </w:r>
      <w:r w:rsidRPr="00AF74EA">
        <w:rPr>
          <w:rFonts w:ascii="Times New Roman" w:hAnsi="Times New Roman" w:cs="Times New Roman"/>
          <w:i/>
          <w:iCs/>
        </w:rPr>
        <w:t>PLoS Genetics, 9</w:t>
      </w:r>
      <w:r w:rsidRPr="00AF74EA">
        <w:rPr>
          <w:rFonts w:ascii="Times New Roman" w:hAnsi="Times New Roman" w:cs="Times New Roman"/>
        </w:rPr>
        <w:t>(3), e1003348. https://doi.org/10.1371/journal.pgen.1003348</w:t>
      </w:r>
    </w:p>
    <w:p w14:paraId="7DF826F3" w14:textId="51DDB6C5"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Tamlander, M., Mars, N., Pirinen, M., Palotie, A., &amp; Daly, M. J. (2022). Integration of questionnaire-based risk factors improves polygenic risk scores for human coronary heart disease and type 2 diabetes. </w:t>
      </w:r>
      <w:r w:rsidRPr="00AF74EA">
        <w:rPr>
          <w:rFonts w:ascii="Times New Roman" w:hAnsi="Times New Roman" w:cs="Times New Roman"/>
          <w:i/>
          <w:iCs/>
        </w:rPr>
        <w:t>Communications Biology, 5</w:t>
      </w:r>
      <w:r w:rsidRPr="00AF74EA">
        <w:rPr>
          <w:rFonts w:ascii="Times New Roman" w:hAnsi="Times New Roman" w:cs="Times New Roman"/>
        </w:rPr>
        <w:t>, 158. https://doi.org/10.1038/s42003-022-03069-5</w:t>
      </w:r>
    </w:p>
    <w:p w14:paraId="33FB3CC0" w14:textId="22C7CD1D"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Morieri, M. L., Gao, H., Pigeyre, M., Shah, H. S., Sjaarda, J., Mendonca, C., ... &amp; Doria, A. (2018). Genetic tools for coronary risk assessment in type 2 diabetes: A cohort study from the ACCORD clinical trial. </w:t>
      </w:r>
      <w:r w:rsidRPr="00AF74EA">
        <w:rPr>
          <w:rFonts w:ascii="Times New Roman" w:hAnsi="Times New Roman" w:cs="Times New Roman"/>
          <w:i/>
          <w:iCs/>
        </w:rPr>
        <w:t>Diabetes Care, 41</w:t>
      </w:r>
      <w:r w:rsidRPr="00AF74EA">
        <w:rPr>
          <w:rFonts w:ascii="Times New Roman" w:hAnsi="Times New Roman" w:cs="Times New Roman"/>
        </w:rPr>
        <w:t>(12), 2404–2413. https://doi.org/10.2337/dc18-1101</w:t>
      </w:r>
    </w:p>
    <w:p w14:paraId="485670FC" w14:textId="688EED10"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Lopez-Pineda, A., Vernekar, M., Moreno-Grau, S., et al. (2022). Validating and automating learning of cardiometabolic polygenic risk scores from direct-to-consumer genetic and phenotypic data. </w:t>
      </w:r>
      <w:r w:rsidRPr="00AF74EA">
        <w:rPr>
          <w:rFonts w:ascii="Times New Roman" w:hAnsi="Times New Roman" w:cs="Times New Roman"/>
          <w:i/>
          <w:iCs/>
        </w:rPr>
        <w:t>Human Genomics, 16</w:t>
      </w:r>
      <w:r w:rsidRPr="00AF74EA">
        <w:rPr>
          <w:rFonts w:ascii="Times New Roman" w:hAnsi="Times New Roman" w:cs="Times New Roman"/>
        </w:rPr>
        <w:t>, 37. https://doi.org/10.1186/s40246-022-00390-2</w:t>
      </w:r>
    </w:p>
    <w:p w14:paraId="37394837" w14:textId="12F3F6E4"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Cheng, H., Sewda, A., Marquez-Luna, C., White, S. R., Whitney, B. M., et al. (2020). Genetic architecture of cardiometabolic </w:t>
      </w:r>
      <w:r w:rsidR="004C14A4" w:rsidRPr="00AF74EA">
        <w:rPr>
          <w:rFonts w:ascii="Times New Roman" w:hAnsi="Times New Roman" w:cs="Times New Roman"/>
        </w:rPr>
        <w:t>risks</w:t>
      </w:r>
      <w:r w:rsidRPr="00AF74EA">
        <w:rPr>
          <w:rFonts w:ascii="Times New Roman" w:hAnsi="Times New Roman" w:cs="Times New Roman"/>
        </w:rPr>
        <w:t xml:space="preserve"> people living with HIV. </w:t>
      </w:r>
      <w:r w:rsidRPr="00AF74EA">
        <w:rPr>
          <w:rFonts w:ascii="Times New Roman" w:hAnsi="Times New Roman" w:cs="Times New Roman"/>
          <w:i/>
          <w:iCs/>
        </w:rPr>
        <w:t>BMC Medicine, 18</w:t>
      </w:r>
      <w:r w:rsidRPr="00AF74EA">
        <w:rPr>
          <w:rFonts w:ascii="Times New Roman" w:hAnsi="Times New Roman" w:cs="Times New Roman"/>
        </w:rPr>
        <w:t>, 288. https://doi.org/10.1186/s12916-020-01773-2</w:t>
      </w:r>
    </w:p>
    <w:p w14:paraId="2B944990" w14:textId="7021DE04" w:rsidR="00AF74EA" w:rsidRPr="00AF74EA" w:rsidRDefault="00AF74EA" w:rsidP="0084640A">
      <w:pPr>
        <w:pStyle w:val="ListParagraph"/>
        <w:numPr>
          <w:ilvl w:val="0"/>
          <w:numId w:val="6"/>
        </w:numPr>
        <w:spacing w:line="480" w:lineRule="auto"/>
        <w:rPr>
          <w:rFonts w:ascii="Times New Roman" w:hAnsi="Times New Roman" w:cs="Times New Roman"/>
        </w:rPr>
      </w:pPr>
      <w:r w:rsidRPr="00AF74EA">
        <w:rPr>
          <w:rFonts w:ascii="Times New Roman" w:hAnsi="Times New Roman" w:cs="Times New Roman"/>
        </w:rPr>
        <w:t xml:space="preserve">Zhao, J., Arafat, D., Brigham, K. L., &amp; Gibson, G. (2013). Genetic risk prediction in a small cohort of healthy adults in Atlanta. </w:t>
      </w:r>
      <w:r w:rsidRPr="00AF74EA">
        <w:rPr>
          <w:rFonts w:ascii="Times New Roman" w:hAnsi="Times New Roman" w:cs="Times New Roman"/>
          <w:i/>
          <w:iCs/>
        </w:rPr>
        <w:t>Genetic Research, 95</w:t>
      </w:r>
      <w:r w:rsidRPr="00AF74EA">
        <w:rPr>
          <w:rFonts w:ascii="Times New Roman" w:hAnsi="Times New Roman" w:cs="Times New Roman"/>
        </w:rPr>
        <w:t>, e30–e37. https://doi.org/10.1017/S0016672313000083</w:t>
      </w:r>
    </w:p>
    <w:p w14:paraId="2F610A02" w14:textId="77777777" w:rsidR="00FE5352" w:rsidRPr="000C001A" w:rsidRDefault="00FE5352" w:rsidP="0084640A">
      <w:pPr>
        <w:spacing w:line="480" w:lineRule="auto"/>
        <w:rPr>
          <w:rFonts w:ascii="Times New Roman" w:hAnsi="Times New Roman" w:cs="Times New Roman"/>
          <w:b/>
          <w:bCs/>
        </w:rPr>
      </w:pPr>
    </w:p>
    <w:p w14:paraId="19BAF43A" w14:textId="77777777" w:rsidR="008E71AC" w:rsidRPr="000C001A" w:rsidRDefault="008E71AC" w:rsidP="0084640A">
      <w:pPr>
        <w:spacing w:line="480" w:lineRule="auto"/>
        <w:rPr>
          <w:rFonts w:ascii="Times New Roman" w:hAnsi="Times New Roman" w:cs="Times New Roman"/>
        </w:rPr>
      </w:pPr>
    </w:p>
    <w:sectPr w:rsidR="008E71AC" w:rsidRPr="000C0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273"/>
    <w:multiLevelType w:val="multilevel"/>
    <w:tmpl w:val="CB4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1153B"/>
    <w:multiLevelType w:val="hybridMultilevel"/>
    <w:tmpl w:val="577A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4007E"/>
    <w:multiLevelType w:val="multilevel"/>
    <w:tmpl w:val="444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E0553"/>
    <w:multiLevelType w:val="multilevel"/>
    <w:tmpl w:val="E99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D7E6C"/>
    <w:multiLevelType w:val="multilevel"/>
    <w:tmpl w:val="988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44D17"/>
    <w:multiLevelType w:val="multilevel"/>
    <w:tmpl w:val="54A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528C2"/>
    <w:multiLevelType w:val="multilevel"/>
    <w:tmpl w:val="CB8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C0E05"/>
    <w:multiLevelType w:val="multilevel"/>
    <w:tmpl w:val="12E0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D44076"/>
    <w:multiLevelType w:val="multilevel"/>
    <w:tmpl w:val="5972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1344F7"/>
    <w:multiLevelType w:val="multilevel"/>
    <w:tmpl w:val="DF2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42AD5"/>
    <w:multiLevelType w:val="multilevel"/>
    <w:tmpl w:val="E28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259852">
    <w:abstractNumId w:val="7"/>
  </w:num>
  <w:num w:numId="2" w16cid:durableId="2119448348">
    <w:abstractNumId w:val="4"/>
  </w:num>
  <w:num w:numId="3" w16cid:durableId="441922635">
    <w:abstractNumId w:val="9"/>
  </w:num>
  <w:num w:numId="4" w16cid:durableId="1618097493">
    <w:abstractNumId w:val="8"/>
  </w:num>
  <w:num w:numId="5" w16cid:durableId="752044257">
    <w:abstractNumId w:val="6"/>
  </w:num>
  <w:num w:numId="6" w16cid:durableId="877158652">
    <w:abstractNumId w:val="3"/>
  </w:num>
  <w:num w:numId="7" w16cid:durableId="793717059">
    <w:abstractNumId w:val="1"/>
  </w:num>
  <w:num w:numId="8" w16cid:durableId="1880581751">
    <w:abstractNumId w:val="0"/>
  </w:num>
  <w:num w:numId="9" w16cid:durableId="936324398">
    <w:abstractNumId w:val="2"/>
  </w:num>
  <w:num w:numId="10" w16cid:durableId="1678774748">
    <w:abstractNumId w:val="5"/>
  </w:num>
  <w:num w:numId="11" w16cid:durableId="689187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AC"/>
    <w:rsid w:val="000C001A"/>
    <w:rsid w:val="00131FF5"/>
    <w:rsid w:val="004C14A4"/>
    <w:rsid w:val="005D5A4A"/>
    <w:rsid w:val="006422F9"/>
    <w:rsid w:val="00806B70"/>
    <w:rsid w:val="0084640A"/>
    <w:rsid w:val="00880133"/>
    <w:rsid w:val="00887428"/>
    <w:rsid w:val="008E71AC"/>
    <w:rsid w:val="00AF74EA"/>
    <w:rsid w:val="00BF7B8B"/>
    <w:rsid w:val="00C92928"/>
    <w:rsid w:val="00D87D4B"/>
    <w:rsid w:val="00E15F2D"/>
    <w:rsid w:val="00F4375A"/>
    <w:rsid w:val="00F579C6"/>
    <w:rsid w:val="00FB6982"/>
    <w:rsid w:val="00FE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7BE5"/>
  <w15:chartTrackingRefBased/>
  <w15:docId w15:val="{420406AC-BC1A-419E-A3DF-2E9A39D2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1AC"/>
    <w:rPr>
      <w:rFonts w:eastAsiaTheme="majorEastAsia" w:cstheme="majorBidi"/>
      <w:color w:val="272727" w:themeColor="text1" w:themeTint="D8"/>
    </w:rPr>
  </w:style>
  <w:style w:type="paragraph" w:styleId="Title">
    <w:name w:val="Title"/>
    <w:basedOn w:val="Normal"/>
    <w:next w:val="Normal"/>
    <w:link w:val="TitleChar"/>
    <w:uiPriority w:val="10"/>
    <w:qFormat/>
    <w:rsid w:val="008E7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1AC"/>
    <w:pPr>
      <w:spacing w:before="160"/>
      <w:jc w:val="center"/>
    </w:pPr>
    <w:rPr>
      <w:i/>
      <w:iCs/>
      <w:color w:val="404040" w:themeColor="text1" w:themeTint="BF"/>
    </w:rPr>
  </w:style>
  <w:style w:type="character" w:customStyle="1" w:styleId="QuoteChar">
    <w:name w:val="Quote Char"/>
    <w:basedOn w:val="DefaultParagraphFont"/>
    <w:link w:val="Quote"/>
    <w:uiPriority w:val="29"/>
    <w:rsid w:val="008E71AC"/>
    <w:rPr>
      <w:i/>
      <w:iCs/>
      <w:color w:val="404040" w:themeColor="text1" w:themeTint="BF"/>
    </w:rPr>
  </w:style>
  <w:style w:type="paragraph" w:styleId="ListParagraph">
    <w:name w:val="List Paragraph"/>
    <w:basedOn w:val="Normal"/>
    <w:uiPriority w:val="34"/>
    <w:qFormat/>
    <w:rsid w:val="008E71AC"/>
    <w:pPr>
      <w:ind w:left="720"/>
      <w:contextualSpacing/>
    </w:pPr>
  </w:style>
  <w:style w:type="character" w:styleId="IntenseEmphasis">
    <w:name w:val="Intense Emphasis"/>
    <w:basedOn w:val="DefaultParagraphFont"/>
    <w:uiPriority w:val="21"/>
    <w:qFormat/>
    <w:rsid w:val="008E71AC"/>
    <w:rPr>
      <w:i/>
      <w:iCs/>
      <w:color w:val="0F4761" w:themeColor="accent1" w:themeShade="BF"/>
    </w:rPr>
  </w:style>
  <w:style w:type="paragraph" w:styleId="IntenseQuote">
    <w:name w:val="Intense Quote"/>
    <w:basedOn w:val="Normal"/>
    <w:next w:val="Normal"/>
    <w:link w:val="IntenseQuoteChar"/>
    <w:uiPriority w:val="30"/>
    <w:qFormat/>
    <w:rsid w:val="008E7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1AC"/>
    <w:rPr>
      <w:i/>
      <w:iCs/>
      <w:color w:val="0F4761" w:themeColor="accent1" w:themeShade="BF"/>
    </w:rPr>
  </w:style>
  <w:style w:type="character" w:styleId="IntenseReference">
    <w:name w:val="Intense Reference"/>
    <w:basedOn w:val="DefaultParagraphFont"/>
    <w:uiPriority w:val="32"/>
    <w:qFormat/>
    <w:rsid w:val="008E71AC"/>
    <w:rPr>
      <w:b/>
      <w:bCs/>
      <w:smallCaps/>
      <w:color w:val="0F4761" w:themeColor="accent1" w:themeShade="BF"/>
      <w:spacing w:val="5"/>
    </w:rPr>
  </w:style>
  <w:style w:type="character" w:styleId="Hyperlink">
    <w:name w:val="Hyperlink"/>
    <w:basedOn w:val="DefaultParagraphFont"/>
    <w:uiPriority w:val="99"/>
    <w:unhideWhenUsed/>
    <w:rsid w:val="00AF74EA"/>
    <w:rPr>
      <w:color w:val="467886" w:themeColor="hyperlink"/>
      <w:u w:val="single"/>
    </w:rPr>
  </w:style>
  <w:style w:type="character" w:styleId="UnresolvedMention">
    <w:name w:val="Unresolved Mention"/>
    <w:basedOn w:val="DefaultParagraphFont"/>
    <w:uiPriority w:val="99"/>
    <w:semiHidden/>
    <w:unhideWhenUsed/>
    <w:rsid w:val="00AF7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14393">
      <w:bodyDiv w:val="1"/>
      <w:marLeft w:val="0"/>
      <w:marRight w:val="0"/>
      <w:marTop w:val="0"/>
      <w:marBottom w:val="0"/>
      <w:divBdr>
        <w:top w:val="none" w:sz="0" w:space="0" w:color="auto"/>
        <w:left w:val="none" w:sz="0" w:space="0" w:color="auto"/>
        <w:bottom w:val="none" w:sz="0" w:space="0" w:color="auto"/>
        <w:right w:val="none" w:sz="0" w:space="0" w:color="auto"/>
      </w:divBdr>
    </w:div>
    <w:div w:id="695735767">
      <w:bodyDiv w:val="1"/>
      <w:marLeft w:val="0"/>
      <w:marRight w:val="0"/>
      <w:marTop w:val="0"/>
      <w:marBottom w:val="0"/>
      <w:divBdr>
        <w:top w:val="none" w:sz="0" w:space="0" w:color="auto"/>
        <w:left w:val="none" w:sz="0" w:space="0" w:color="auto"/>
        <w:bottom w:val="none" w:sz="0" w:space="0" w:color="auto"/>
        <w:right w:val="none" w:sz="0" w:space="0" w:color="auto"/>
      </w:divBdr>
    </w:div>
    <w:div w:id="775714058">
      <w:bodyDiv w:val="1"/>
      <w:marLeft w:val="0"/>
      <w:marRight w:val="0"/>
      <w:marTop w:val="0"/>
      <w:marBottom w:val="0"/>
      <w:divBdr>
        <w:top w:val="none" w:sz="0" w:space="0" w:color="auto"/>
        <w:left w:val="none" w:sz="0" w:space="0" w:color="auto"/>
        <w:bottom w:val="none" w:sz="0" w:space="0" w:color="auto"/>
        <w:right w:val="none" w:sz="0" w:space="0" w:color="auto"/>
      </w:divBdr>
    </w:div>
    <w:div w:id="888685597">
      <w:bodyDiv w:val="1"/>
      <w:marLeft w:val="0"/>
      <w:marRight w:val="0"/>
      <w:marTop w:val="0"/>
      <w:marBottom w:val="0"/>
      <w:divBdr>
        <w:top w:val="none" w:sz="0" w:space="0" w:color="auto"/>
        <w:left w:val="none" w:sz="0" w:space="0" w:color="auto"/>
        <w:bottom w:val="none" w:sz="0" w:space="0" w:color="auto"/>
        <w:right w:val="none" w:sz="0" w:space="0" w:color="auto"/>
      </w:divBdr>
    </w:div>
    <w:div w:id="954676862">
      <w:bodyDiv w:val="1"/>
      <w:marLeft w:val="0"/>
      <w:marRight w:val="0"/>
      <w:marTop w:val="0"/>
      <w:marBottom w:val="0"/>
      <w:divBdr>
        <w:top w:val="none" w:sz="0" w:space="0" w:color="auto"/>
        <w:left w:val="none" w:sz="0" w:space="0" w:color="auto"/>
        <w:bottom w:val="none" w:sz="0" w:space="0" w:color="auto"/>
        <w:right w:val="none" w:sz="0" w:space="0" w:color="auto"/>
      </w:divBdr>
    </w:div>
    <w:div w:id="984772529">
      <w:bodyDiv w:val="1"/>
      <w:marLeft w:val="0"/>
      <w:marRight w:val="0"/>
      <w:marTop w:val="0"/>
      <w:marBottom w:val="0"/>
      <w:divBdr>
        <w:top w:val="none" w:sz="0" w:space="0" w:color="auto"/>
        <w:left w:val="none" w:sz="0" w:space="0" w:color="auto"/>
        <w:bottom w:val="none" w:sz="0" w:space="0" w:color="auto"/>
        <w:right w:val="none" w:sz="0" w:space="0" w:color="auto"/>
      </w:divBdr>
    </w:div>
    <w:div w:id="989946553">
      <w:bodyDiv w:val="1"/>
      <w:marLeft w:val="0"/>
      <w:marRight w:val="0"/>
      <w:marTop w:val="0"/>
      <w:marBottom w:val="0"/>
      <w:divBdr>
        <w:top w:val="none" w:sz="0" w:space="0" w:color="auto"/>
        <w:left w:val="none" w:sz="0" w:space="0" w:color="auto"/>
        <w:bottom w:val="none" w:sz="0" w:space="0" w:color="auto"/>
        <w:right w:val="none" w:sz="0" w:space="0" w:color="auto"/>
      </w:divBdr>
    </w:div>
    <w:div w:id="1069883690">
      <w:bodyDiv w:val="1"/>
      <w:marLeft w:val="0"/>
      <w:marRight w:val="0"/>
      <w:marTop w:val="0"/>
      <w:marBottom w:val="0"/>
      <w:divBdr>
        <w:top w:val="none" w:sz="0" w:space="0" w:color="auto"/>
        <w:left w:val="none" w:sz="0" w:space="0" w:color="auto"/>
        <w:bottom w:val="none" w:sz="0" w:space="0" w:color="auto"/>
        <w:right w:val="none" w:sz="0" w:space="0" w:color="auto"/>
      </w:divBdr>
    </w:div>
    <w:div w:id="1165976931">
      <w:bodyDiv w:val="1"/>
      <w:marLeft w:val="0"/>
      <w:marRight w:val="0"/>
      <w:marTop w:val="0"/>
      <w:marBottom w:val="0"/>
      <w:divBdr>
        <w:top w:val="none" w:sz="0" w:space="0" w:color="auto"/>
        <w:left w:val="none" w:sz="0" w:space="0" w:color="auto"/>
        <w:bottom w:val="none" w:sz="0" w:space="0" w:color="auto"/>
        <w:right w:val="none" w:sz="0" w:space="0" w:color="auto"/>
      </w:divBdr>
    </w:div>
    <w:div w:id="1179269034">
      <w:bodyDiv w:val="1"/>
      <w:marLeft w:val="0"/>
      <w:marRight w:val="0"/>
      <w:marTop w:val="0"/>
      <w:marBottom w:val="0"/>
      <w:divBdr>
        <w:top w:val="none" w:sz="0" w:space="0" w:color="auto"/>
        <w:left w:val="none" w:sz="0" w:space="0" w:color="auto"/>
        <w:bottom w:val="none" w:sz="0" w:space="0" w:color="auto"/>
        <w:right w:val="none" w:sz="0" w:space="0" w:color="auto"/>
      </w:divBdr>
    </w:div>
    <w:div w:id="1238979541">
      <w:bodyDiv w:val="1"/>
      <w:marLeft w:val="0"/>
      <w:marRight w:val="0"/>
      <w:marTop w:val="0"/>
      <w:marBottom w:val="0"/>
      <w:divBdr>
        <w:top w:val="none" w:sz="0" w:space="0" w:color="auto"/>
        <w:left w:val="none" w:sz="0" w:space="0" w:color="auto"/>
        <w:bottom w:val="none" w:sz="0" w:space="0" w:color="auto"/>
        <w:right w:val="none" w:sz="0" w:space="0" w:color="auto"/>
      </w:divBdr>
    </w:div>
    <w:div w:id="1244223138">
      <w:bodyDiv w:val="1"/>
      <w:marLeft w:val="0"/>
      <w:marRight w:val="0"/>
      <w:marTop w:val="0"/>
      <w:marBottom w:val="0"/>
      <w:divBdr>
        <w:top w:val="none" w:sz="0" w:space="0" w:color="auto"/>
        <w:left w:val="none" w:sz="0" w:space="0" w:color="auto"/>
        <w:bottom w:val="none" w:sz="0" w:space="0" w:color="auto"/>
        <w:right w:val="none" w:sz="0" w:space="0" w:color="auto"/>
      </w:divBdr>
    </w:div>
    <w:div w:id="1247766818">
      <w:bodyDiv w:val="1"/>
      <w:marLeft w:val="0"/>
      <w:marRight w:val="0"/>
      <w:marTop w:val="0"/>
      <w:marBottom w:val="0"/>
      <w:divBdr>
        <w:top w:val="none" w:sz="0" w:space="0" w:color="auto"/>
        <w:left w:val="none" w:sz="0" w:space="0" w:color="auto"/>
        <w:bottom w:val="none" w:sz="0" w:space="0" w:color="auto"/>
        <w:right w:val="none" w:sz="0" w:space="0" w:color="auto"/>
      </w:divBdr>
    </w:div>
    <w:div w:id="1411460142">
      <w:bodyDiv w:val="1"/>
      <w:marLeft w:val="0"/>
      <w:marRight w:val="0"/>
      <w:marTop w:val="0"/>
      <w:marBottom w:val="0"/>
      <w:divBdr>
        <w:top w:val="none" w:sz="0" w:space="0" w:color="auto"/>
        <w:left w:val="none" w:sz="0" w:space="0" w:color="auto"/>
        <w:bottom w:val="none" w:sz="0" w:space="0" w:color="auto"/>
        <w:right w:val="none" w:sz="0" w:space="0" w:color="auto"/>
      </w:divBdr>
    </w:div>
    <w:div w:id="1445803261">
      <w:bodyDiv w:val="1"/>
      <w:marLeft w:val="0"/>
      <w:marRight w:val="0"/>
      <w:marTop w:val="0"/>
      <w:marBottom w:val="0"/>
      <w:divBdr>
        <w:top w:val="none" w:sz="0" w:space="0" w:color="auto"/>
        <w:left w:val="none" w:sz="0" w:space="0" w:color="auto"/>
        <w:bottom w:val="none" w:sz="0" w:space="0" w:color="auto"/>
        <w:right w:val="none" w:sz="0" w:space="0" w:color="auto"/>
      </w:divBdr>
    </w:div>
    <w:div w:id="1655570550">
      <w:bodyDiv w:val="1"/>
      <w:marLeft w:val="0"/>
      <w:marRight w:val="0"/>
      <w:marTop w:val="0"/>
      <w:marBottom w:val="0"/>
      <w:divBdr>
        <w:top w:val="none" w:sz="0" w:space="0" w:color="auto"/>
        <w:left w:val="none" w:sz="0" w:space="0" w:color="auto"/>
        <w:bottom w:val="none" w:sz="0" w:space="0" w:color="auto"/>
        <w:right w:val="none" w:sz="0" w:space="0" w:color="auto"/>
      </w:divBdr>
    </w:div>
    <w:div w:id="1657414462">
      <w:bodyDiv w:val="1"/>
      <w:marLeft w:val="0"/>
      <w:marRight w:val="0"/>
      <w:marTop w:val="0"/>
      <w:marBottom w:val="0"/>
      <w:divBdr>
        <w:top w:val="none" w:sz="0" w:space="0" w:color="auto"/>
        <w:left w:val="none" w:sz="0" w:space="0" w:color="auto"/>
        <w:bottom w:val="none" w:sz="0" w:space="0" w:color="auto"/>
        <w:right w:val="none" w:sz="0" w:space="0" w:color="auto"/>
      </w:divBdr>
    </w:div>
    <w:div w:id="1666326356">
      <w:bodyDiv w:val="1"/>
      <w:marLeft w:val="0"/>
      <w:marRight w:val="0"/>
      <w:marTop w:val="0"/>
      <w:marBottom w:val="0"/>
      <w:divBdr>
        <w:top w:val="none" w:sz="0" w:space="0" w:color="auto"/>
        <w:left w:val="none" w:sz="0" w:space="0" w:color="auto"/>
        <w:bottom w:val="none" w:sz="0" w:space="0" w:color="auto"/>
        <w:right w:val="none" w:sz="0" w:space="0" w:color="auto"/>
      </w:divBdr>
    </w:div>
    <w:div w:id="1681657565">
      <w:bodyDiv w:val="1"/>
      <w:marLeft w:val="0"/>
      <w:marRight w:val="0"/>
      <w:marTop w:val="0"/>
      <w:marBottom w:val="0"/>
      <w:divBdr>
        <w:top w:val="none" w:sz="0" w:space="0" w:color="auto"/>
        <w:left w:val="none" w:sz="0" w:space="0" w:color="auto"/>
        <w:bottom w:val="none" w:sz="0" w:space="0" w:color="auto"/>
        <w:right w:val="none" w:sz="0" w:space="0" w:color="auto"/>
      </w:divBdr>
    </w:div>
    <w:div w:id="209250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ijms2402098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86/s13073-022-01074-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1/2025.02.13.25322249" TargetMode="External"/><Relationship Id="rId11" Type="http://schemas.openxmlformats.org/officeDocument/2006/relationships/hyperlink" Target="https://doi.org/10.1371/journal.pone.0278764" TargetMode="External"/><Relationship Id="rId5" Type="http://schemas.openxmlformats.org/officeDocument/2006/relationships/hyperlink" Target="https://doi.org/10.3390/s23094439" TargetMode="External"/><Relationship Id="rId10" Type="http://schemas.openxmlformats.org/officeDocument/2006/relationships/hyperlink" Target="https://doi.org/10.3390/genes12070991" TargetMode="External"/><Relationship Id="rId4" Type="http://schemas.openxmlformats.org/officeDocument/2006/relationships/webSettings" Target="webSettings.xml"/><Relationship Id="rId9" Type="http://schemas.openxmlformats.org/officeDocument/2006/relationships/hyperlink" Target="https://doi.org/10.3390/genes10110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18</Pages>
  <Words>4208</Words>
  <Characters>23991</Characters>
  <Application>Microsoft Office Word</Application>
  <DocSecurity>0</DocSecurity>
  <Lines>199</Lines>
  <Paragraphs>56</Paragraphs>
  <ScaleCrop>false</ScaleCrop>
  <Company/>
  <LinksUpToDate>false</LinksUpToDate>
  <CharactersWithSpaces>28143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Shiferaw, Maria</dc:creator>
  <cp:keywords/>
  <dc:description/>
  <cp:lastModifiedBy>Shiferaw, Maria</cp:lastModifiedBy>
  <cp:revision>18</cp:revision>
  <dcterms:created xsi:type="dcterms:W3CDTF">2025-04-12T12:35:00Z</dcterms:created>
  <dcterms:modified xsi:type="dcterms:W3CDTF">2025-04-26T21:51:00Z</dcterms:modified>
</cp:coreProperties>
</file>