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23C8" w14:textId="23C8EB2C"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Predicting Genetic Disease Risk: The Role of Machine Learning and Polygenic Risk Scores</w:t>
      </w:r>
    </w:p>
    <w:p w14:paraId="5A5EA4B1"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Introduction</w:t>
      </w:r>
      <w:r w:rsidRPr="009F186F">
        <w:rPr>
          <w:rFonts w:ascii="Times New Roman" w:hAnsi="Times New Roman" w:cs="Times New Roman"/>
        </w:rPr>
        <w:br/>
        <w:t>The prediction of genetic diseases has witnessed a transformative shift with the emergence of machine learning (ML) and polygenic risk scores (PRS). These innovations are becoming increasingly vital for early detection, prevention, and personalized interventions in healthcare. A genetic predisposition to diseases like Type 2 Diabetes (T2D), cardiovascular disorders, and preeclampsia can be estimated using an individual’s genomic profile. While traditional models have relied heavily on linear regression and clinical indicators, PRS and ML models offer the ability to capture complex patterns and nonlinear interactions that improve accuracy and scalability in large datasets.</w:t>
      </w:r>
    </w:p>
    <w:p w14:paraId="04302AA5" w14:textId="52F254A6"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The objective of this review is to explore the interdisciplinary domain where bioinformatics, genetics, and machine learning converge to produce models capable of predicting disease risk with increasing precision. Drawing from the recent literature and studies, the review investigates how these approaches are being applied, their potential, and their limitations, thereby contributing to the evolving narrative of precision medicine.</w:t>
      </w:r>
    </w:p>
    <w:p w14:paraId="46E0B09E"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1. Historical and Disciplinary Roots</w:t>
      </w:r>
      <w:r w:rsidRPr="009F186F">
        <w:rPr>
          <w:rFonts w:ascii="Times New Roman" w:hAnsi="Times New Roman" w:cs="Times New Roman"/>
        </w:rPr>
        <w:br/>
        <w:t xml:space="preserve">The foundational methodology for predicting genetic risk emerged from genome-wide association studies (GWAS), which seek correlations between specific genetic variants—primarily single nucleotide polymorphisms (SNPs)—and observable traits or disease phenotypes. Early statistical models relied primarily on additive linear frameworks, which, although effective </w:t>
      </w:r>
      <w:r w:rsidRPr="009F186F">
        <w:rPr>
          <w:rFonts w:ascii="Times New Roman" w:hAnsi="Times New Roman" w:cs="Times New Roman"/>
        </w:rPr>
        <w:lastRenderedPageBreak/>
        <w:t>for simple traits, fell short in accounting for the polygenic architecture of complex diseases. These models failed to capture interactions between SNPs, epistatic effects, and environmental contributions.</w:t>
      </w:r>
    </w:p>
    <w:p w14:paraId="34E46B7A"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PRS emerged to address these gaps, aggregating the effects of multiple SNPs across the genome into a single score that reflects genetic susceptibility. While early PRS models had modest predictive power, the integration of ML techniques has significantly improved performance. The use of artificial neural networks, support vector machines, and ensemble methods has enabled researchers to analyze high-dimensional genomic data more effectively, leading to better disease classification and risk stratification.</w:t>
      </w:r>
    </w:p>
    <w:p w14:paraId="0F9243F0" w14:textId="70766B55"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Notably, recent studies have emphasized the inclusion of population diversity in model training. Traditional GWAS studies, predominantly based on European populations, often fail to generalize across ethnic groups. Studies like the Singapore Chinese Health Study (Chang et al., 2025) and Roma population investigations (</w:t>
      </w:r>
      <w:proofErr w:type="spellStart"/>
      <w:r w:rsidRPr="009F186F">
        <w:rPr>
          <w:rFonts w:ascii="Times New Roman" w:hAnsi="Times New Roman" w:cs="Times New Roman"/>
        </w:rPr>
        <w:t>Werissa</w:t>
      </w:r>
      <w:proofErr w:type="spellEnd"/>
      <w:r w:rsidRPr="009F186F">
        <w:rPr>
          <w:rFonts w:ascii="Times New Roman" w:hAnsi="Times New Roman" w:cs="Times New Roman"/>
        </w:rPr>
        <w:t xml:space="preserve"> et al., 2019) represent a critical move toward inclusivity and more equitable health outcomes.</w:t>
      </w:r>
    </w:p>
    <w:p w14:paraId="794507F4"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2. Major Concepts and Modeling Approaches</w:t>
      </w:r>
    </w:p>
    <w:p w14:paraId="684F1D90"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2.1. Polygenic Risk Scores (PRS)</w:t>
      </w:r>
      <w:r w:rsidRPr="009F186F">
        <w:rPr>
          <w:rFonts w:ascii="Times New Roman" w:hAnsi="Times New Roman" w:cs="Times New Roman"/>
        </w:rPr>
        <w:br/>
        <w:t>A PRS is calculated by summing the number of risk alleles an individual carries, weighted by the effect size estimated from GWAS. This approach assumes additive effects and uses regression-based techniques to predict phenotypes. PRS are highly valuable in stratifying populations into different risk categories and serve as early indicators for disease surveillance and intervention.</w:t>
      </w:r>
    </w:p>
    <w:p w14:paraId="3E2E1C51"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lastRenderedPageBreak/>
        <w:t>2.2. Machine Learning (ML) in Genomics</w:t>
      </w:r>
      <w:r w:rsidRPr="009F186F">
        <w:rPr>
          <w:rFonts w:ascii="Times New Roman" w:hAnsi="Times New Roman" w:cs="Times New Roman"/>
        </w:rPr>
        <w:br/>
        <w:t>Machine learning introduces flexible, nonlinear modeling strategies that can accommodate vast genomic datasets. Algorithms such as gradient boosted regression trees (</w:t>
      </w:r>
      <w:proofErr w:type="spellStart"/>
      <w:r w:rsidRPr="009F186F">
        <w:rPr>
          <w:rFonts w:ascii="Times New Roman" w:hAnsi="Times New Roman" w:cs="Times New Roman"/>
        </w:rPr>
        <w:t>GraBLD</w:t>
      </w:r>
      <w:proofErr w:type="spellEnd"/>
      <w:r w:rsidRPr="009F186F">
        <w:rPr>
          <w:rFonts w:ascii="Times New Roman" w:hAnsi="Times New Roman" w:cs="Times New Roman"/>
        </w:rPr>
        <w:t xml:space="preserve">), random forests, multilayer </w:t>
      </w:r>
      <w:proofErr w:type="spellStart"/>
      <w:r w:rsidRPr="009F186F">
        <w:rPr>
          <w:rFonts w:ascii="Times New Roman" w:hAnsi="Times New Roman" w:cs="Times New Roman"/>
        </w:rPr>
        <w:t>perceptrons</w:t>
      </w:r>
      <w:proofErr w:type="spellEnd"/>
      <w:r w:rsidRPr="009F186F">
        <w:rPr>
          <w:rFonts w:ascii="Times New Roman" w:hAnsi="Times New Roman" w:cs="Times New Roman"/>
        </w:rPr>
        <w:t xml:space="preserve"> (MLP), and convolutional neural networks (CNNs) allow models to learn patterns from SNPs and clinical data. ML enhances predictive power by capturing feature interactions, adjusting for linkage disequilibrium, and incorporating epigenetic and environmental covariates.</w:t>
      </w:r>
    </w:p>
    <w:p w14:paraId="0A0124B3"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For instance, Alzoubi et al. (2023) developed an MLP-based model that achieved AUC scores of up to 0.94 for complex disease prediction. Similarly, Widen et al. (2021) successfully used SNP-derived PGS to predict lipoprotein levels and T2D risk in UK Biobank participants.</w:t>
      </w:r>
    </w:p>
    <w:p w14:paraId="6329EBEF" w14:textId="1A53FAE4"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2.3. Bayesian and Ensemble Approaches</w:t>
      </w:r>
      <w:r w:rsidRPr="009F186F">
        <w:rPr>
          <w:rFonts w:ascii="Times New Roman" w:hAnsi="Times New Roman" w:cs="Times New Roman"/>
        </w:rPr>
        <w:br/>
        <w:t xml:space="preserve">Bayesian mixture models, as described by Moser et al. (2015), estimate the distribution of SNP effect sizes by incorporating prior knowledge and uncertainty. This results in a more robust estimation of heritability and better generalization to new data. Ensemble models like </w:t>
      </w:r>
      <w:proofErr w:type="spellStart"/>
      <w:r w:rsidRPr="009F186F">
        <w:rPr>
          <w:rFonts w:ascii="Times New Roman" w:hAnsi="Times New Roman" w:cs="Times New Roman"/>
        </w:rPr>
        <w:t>GraBLD</w:t>
      </w:r>
      <w:proofErr w:type="spellEnd"/>
      <w:r w:rsidRPr="009F186F">
        <w:rPr>
          <w:rFonts w:ascii="Times New Roman" w:hAnsi="Times New Roman" w:cs="Times New Roman"/>
        </w:rPr>
        <w:t xml:space="preserve"> (Paré et al., 2017) improve upon simple PRS by optimizing SNP weights using gradient boosting and correcting for linkage disequilibrium.</w:t>
      </w:r>
    </w:p>
    <w:p w14:paraId="5A4D0D8F"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3. Application to Specific Diseases</w:t>
      </w:r>
    </w:p>
    <w:p w14:paraId="590E09B4"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3.1. Type 2 Diabetes (T2D)</w:t>
      </w:r>
      <w:r w:rsidRPr="009F186F">
        <w:rPr>
          <w:rFonts w:ascii="Times New Roman" w:hAnsi="Times New Roman" w:cs="Times New Roman"/>
        </w:rPr>
        <w:br/>
        <w:t xml:space="preserve">T2D has been a major focus for genetic risk prediction, given its polygenic nature and increasing global prevalence. Chang et al. (2025) evaluated over 2,000 PGSs in a Singaporean cohort, </w:t>
      </w:r>
      <w:r w:rsidRPr="009F186F">
        <w:rPr>
          <w:rFonts w:ascii="Times New Roman" w:hAnsi="Times New Roman" w:cs="Times New Roman"/>
        </w:rPr>
        <w:lastRenderedPageBreak/>
        <w:t>concluding that the predictive power of PRS for T2D was substantially enhanced by considering BMI and hypertension status. Notably, their best-performing PRS model had an AUC of 0.774 for non-overweight individuals without hypertension.</w:t>
      </w:r>
    </w:p>
    <w:p w14:paraId="0A9727AB"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 xml:space="preserve">Conversely, </w:t>
      </w:r>
      <w:proofErr w:type="spellStart"/>
      <w:r w:rsidRPr="009F186F">
        <w:rPr>
          <w:rFonts w:ascii="Times New Roman" w:hAnsi="Times New Roman" w:cs="Times New Roman"/>
        </w:rPr>
        <w:t>Werissa</w:t>
      </w:r>
      <w:proofErr w:type="spellEnd"/>
      <w:r w:rsidRPr="009F186F">
        <w:rPr>
          <w:rFonts w:ascii="Times New Roman" w:hAnsi="Times New Roman" w:cs="Times New Roman"/>
        </w:rPr>
        <w:t xml:space="preserve"> et al. (2019) found that genetic susceptibility among the Roma population was actually lower than in the Hungarian general population, suggesting that environmental and lifestyle factors had a stronger influence on T2D prevalence in that cohort.</w:t>
      </w:r>
    </w:p>
    <w:p w14:paraId="63D98676"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3.2. Cardiovascular Disease (CVD)</w:t>
      </w:r>
      <w:r w:rsidRPr="009F186F">
        <w:rPr>
          <w:rFonts w:ascii="Times New Roman" w:hAnsi="Times New Roman" w:cs="Times New Roman"/>
        </w:rPr>
        <w:br/>
        <w:t>Machine learning has significantly advanced cardiovascular risk prediction. In their UK Biobank analysis, Widen et al. (2021) achieved high predictive accuracy using only biomarkers derived from SNPs, outperforming traditional risk estimators like Framingham and QRISK. Their AUC values approached 0.75 for CVD, with higher values for diabetes and hypertension.</w:t>
      </w:r>
    </w:p>
    <w:p w14:paraId="2B0857AD"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3.3. Preeclampsia</w:t>
      </w:r>
      <w:r w:rsidRPr="009F186F">
        <w:rPr>
          <w:rFonts w:ascii="Times New Roman" w:hAnsi="Times New Roman" w:cs="Times New Roman"/>
        </w:rPr>
        <w:br/>
        <w:t>Khalil et al. (2024) used a neural network model to predict early-onset preeclampsia based on cell-free DNA and maternal characteristics. The model achieved an AUC of 0.797, outperforming logistic regression in sensitivity for early-onset preeclampsia. This illustrates the potential of integrating maternal biomarkers with AI in obstetric risk assessment.</w:t>
      </w:r>
    </w:p>
    <w:p w14:paraId="7A185685"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3.4. Genetic Traits and Phenotypes</w:t>
      </w:r>
      <w:r w:rsidRPr="009F186F">
        <w:rPr>
          <w:rFonts w:ascii="Times New Roman" w:hAnsi="Times New Roman" w:cs="Times New Roman"/>
        </w:rPr>
        <w:br/>
        <w:t>Muneeb &amp; Henschel (2021) applied deep learning to eye color and T2D prediction. Their stacked ensemble LSTM model achieved 96% accuracy and AUC &gt; 0.97, demonstrating the feasibility of using genotype data alone to predict phenotypes and disease status.</w:t>
      </w:r>
    </w:p>
    <w:p w14:paraId="12BC21E2" w14:textId="458F168A" w:rsidR="009F186F" w:rsidRPr="009F186F" w:rsidRDefault="009F186F" w:rsidP="009F186F">
      <w:pPr>
        <w:spacing w:line="480" w:lineRule="auto"/>
        <w:rPr>
          <w:rFonts w:ascii="Times New Roman" w:hAnsi="Times New Roman" w:cs="Times New Roman"/>
        </w:rPr>
      </w:pPr>
    </w:p>
    <w:p w14:paraId="566C8E6D"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4. Critical Assessment and Research Potential</w:t>
      </w:r>
    </w:p>
    <w:p w14:paraId="1DA0D5B3"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4.1. Strengths of ML and PRS Approaches</w:t>
      </w:r>
    </w:p>
    <w:p w14:paraId="3E32EF4C" w14:textId="77777777" w:rsidR="009F186F" w:rsidRPr="009F186F" w:rsidRDefault="009F186F" w:rsidP="009F186F">
      <w:pPr>
        <w:numPr>
          <w:ilvl w:val="0"/>
          <w:numId w:val="1"/>
        </w:numPr>
        <w:spacing w:line="480" w:lineRule="auto"/>
        <w:rPr>
          <w:rFonts w:ascii="Times New Roman" w:hAnsi="Times New Roman" w:cs="Times New Roman"/>
        </w:rPr>
      </w:pPr>
      <w:r w:rsidRPr="009F186F">
        <w:rPr>
          <w:rFonts w:ascii="Times New Roman" w:hAnsi="Times New Roman" w:cs="Times New Roman"/>
          <w:i/>
          <w:iCs/>
        </w:rPr>
        <w:t>Scalability</w:t>
      </w:r>
      <w:r w:rsidRPr="009F186F">
        <w:rPr>
          <w:rFonts w:ascii="Times New Roman" w:hAnsi="Times New Roman" w:cs="Times New Roman"/>
        </w:rPr>
        <w:t>: Capable of analyzing millions of SNPs from GWAS datasets.</w:t>
      </w:r>
    </w:p>
    <w:p w14:paraId="43130416" w14:textId="77777777" w:rsidR="009F186F" w:rsidRPr="009F186F" w:rsidRDefault="009F186F" w:rsidP="009F186F">
      <w:pPr>
        <w:numPr>
          <w:ilvl w:val="0"/>
          <w:numId w:val="1"/>
        </w:numPr>
        <w:spacing w:line="480" w:lineRule="auto"/>
        <w:rPr>
          <w:rFonts w:ascii="Times New Roman" w:hAnsi="Times New Roman" w:cs="Times New Roman"/>
        </w:rPr>
      </w:pPr>
      <w:r w:rsidRPr="009F186F">
        <w:rPr>
          <w:rFonts w:ascii="Times New Roman" w:hAnsi="Times New Roman" w:cs="Times New Roman"/>
          <w:i/>
          <w:iCs/>
        </w:rPr>
        <w:t>Flexibility</w:t>
      </w:r>
      <w:r w:rsidRPr="009F186F">
        <w:rPr>
          <w:rFonts w:ascii="Times New Roman" w:hAnsi="Times New Roman" w:cs="Times New Roman"/>
        </w:rPr>
        <w:t>: ML algorithms can model non-linear relationships and interactions.</w:t>
      </w:r>
    </w:p>
    <w:p w14:paraId="4B9092CA" w14:textId="77777777" w:rsidR="009F186F" w:rsidRPr="009F186F" w:rsidRDefault="009F186F" w:rsidP="009F186F">
      <w:pPr>
        <w:numPr>
          <w:ilvl w:val="0"/>
          <w:numId w:val="1"/>
        </w:numPr>
        <w:spacing w:line="480" w:lineRule="auto"/>
        <w:rPr>
          <w:rFonts w:ascii="Times New Roman" w:hAnsi="Times New Roman" w:cs="Times New Roman"/>
        </w:rPr>
      </w:pPr>
      <w:r w:rsidRPr="009F186F">
        <w:rPr>
          <w:rFonts w:ascii="Times New Roman" w:hAnsi="Times New Roman" w:cs="Times New Roman"/>
          <w:i/>
          <w:iCs/>
        </w:rPr>
        <w:t>Accuracy</w:t>
      </w:r>
      <w:r w:rsidRPr="009F186F">
        <w:rPr>
          <w:rFonts w:ascii="Times New Roman" w:hAnsi="Times New Roman" w:cs="Times New Roman"/>
        </w:rPr>
        <w:t>: PRS combined with ML improves prediction over clinical variables alone.</w:t>
      </w:r>
    </w:p>
    <w:p w14:paraId="045C1E36" w14:textId="77777777" w:rsidR="009F186F" w:rsidRPr="009F186F" w:rsidRDefault="009F186F" w:rsidP="009F186F">
      <w:pPr>
        <w:numPr>
          <w:ilvl w:val="0"/>
          <w:numId w:val="1"/>
        </w:numPr>
        <w:spacing w:line="480" w:lineRule="auto"/>
        <w:rPr>
          <w:rFonts w:ascii="Times New Roman" w:hAnsi="Times New Roman" w:cs="Times New Roman"/>
        </w:rPr>
      </w:pPr>
      <w:r w:rsidRPr="009F186F">
        <w:rPr>
          <w:rFonts w:ascii="Times New Roman" w:hAnsi="Times New Roman" w:cs="Times New Roman"/>
          <w:i/>
          <w:iCs/>
        </w:rPr>
        <w:t>Clinical Translation</w:t>
      </w:r>
      <w:r w:rsidRPr="009F186F">
        <w:rPr>
          <w:rFonts w:ascii="Times New Roman" w:hAnsi="Times New Roman" w:cs="Times New Roman"/>
        </w:rPr>
        <w:t>: Potential for integration into electronic health records for real-time decision support.</w:t>
      </w:r>
    </w:p>
    <w:p w14:paraId="5CFFB463"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4.2. Limitations and Challenges</w:t>
      </w:r>
    </w:p>
    <w:p w14:paraId="58B831B3" w14:textId="77777777" w:rsidR="009F186F" w:rsidRPr="009F186F" w:rsidRDefault="009F186F" w:rsidP="009F186F">
      <w:pPr>
        <w:numPr>
          <w:ilvl w:val="0"/>
          <w:numId w:val="2"/>
        </w:numPr>
        <w:spacing w:line="480" w:lineRule="auto"/>
        <w:rPr>
          <w:rFonts w:ascii="Times New Roman" w:hAnsi="Times New Roman" w:cs="Times New Roman"/>
        </w:rPr>
      </w:pPr>
      <w:r w:rsidRPr="009F186F">
        <w:rPr>
          <w:rFonts w:ascii="Times New Roman" w:hAnsi="Times New Roman" w:cs="Times New Roman"/>
          <w:i/>
          <w:iCs/>
        </w:rPr>
        <w:t>Population Bias</w:t>
      </w:r>
      <w:r w:rsidRPr="009F186F">
        <w:rPr>
          <w:rFonts w:ascii="Times New Roman" w:hAnsi="Times New Roman" w:cs="Times New Roman"/>
        </w:rPr>
        <w:t>: Most models are developed using European ancestry data, limiting generalizability.</w:t>
      </w:r>
    </w:p>
    <w:p w14:paraId="2D5783E9" w14:textId="77777777" w:rsidR="009F186F" w:rsidRPr="009F186F" w:rsidRDefault="009F186F" w:rsidP="009F186F">
      <w:pPr>
        <w:numPr>
          <w:ilvl w:val="0"/>
          <w:numId w:val="2"/>
        </w:numPr>
        <w:spacing w:line="480" w:lineRule="auto"/>
        <w:rPr>
          <w:rFonts w:ascii="Times New Roman" w:hAnsi="Times New Roman" w:cs="Times New Roman"/>
        </w:rPr>
      </w:pPr>
      <w:r w:rsidRPr="009F186F">
        <w:rPr>
          <w:rFonts w:ascii="Times New Roman" w:hAnsi="Times New Roman" w:cs="Times New Roman"/>
          <w:i/>
          <w:iCs/>
        </w:rPr>
        <w:t>Interpretability</w:t>
      </w:r>
      <w:r w:rsidRPr="009F186F">
        <w:rPr>
          <w:rFonts w:ascii="Times New Roman" w:hAnsi="Times New Roman" w:cs="Times New Roman"/>
        </w:rPr>
        <w:t>: Deep models like neural networks are often “black boxes.”</w:t>
      </w:r>
    </w:p>
    <w:p w14:paraId="116C39FE" w14:textId="77777777" w:rsidR="009F186F" w:rsidRPr="009F186F" w:rsidRDefault="009F186F" w:rsidP="009F186F">
      <w:pPr>
        <w:numPr>
          <w:ilvl w:val="0"/>
          <w:numId w:val="2"/>
        </w:numPr>
        <w:spacing w:line="480" w:lineRule="auto"/>
        <w:rPr>
          <w:rFonts w:ascii="Times New Roman" w:hAnsi="Times New Roman" w:cs="Times New Roman"/>
        </w:rPr>
      </w:pPr>
      <w:r w:rsidRPr="009F186F">
        <w:rPr>
          <w:rFonts w:ascii="Times New Roman" w:hAnsi="Times New Roman" w:cs="Times New Roman"/>
          <w:i/>
          <w:iCs/>
        </w:rPr>
        <w:t>Data Privacy</w:t>
      </w:r>
      <w:r w:rsidRPr="009F186F">
        <w:rPr>
          <w:rFonts w:ascii="Times New Roman" w:hAnsi="Times New Roman" w:cs="Times New Roman"/>
        </w:rPr>
        <w:t>: Genomic data raises ethical and security concerns.</w:t>
      </w:r>
    </w:p>
    <w:p w14:paraId="7FF98F86" w14:textId="77777777" w:rsidR="009F186F" w:rsidRPr="009F186F" w:rsidRDefault="009F186F" w:rsidP="009F186F">
      <w:pPr>
        <w:numPr>
          <w:ilvl w:val="0"/>
          <w:numId w:val="2"/>
        </w:numPr>
        <w:spacing w:line="480" w:lineRule="auto"/>
        <w:rPr>
          <w:rFonts w:ascii="Times New Roman" w:hAnsi="Times New Roman" w:cs="Times New Roman"/>
        </w:rPr>
      </w:pPr>
      <w:r w:rsidRPr="009F186F">
        <w:rPr>
          <w:rFonts w:ascii="Times New Roman" w:hAnsi="Times New Roman" w:cs="Times New Roman"/>
          <w:i/>
          <w:iCs/>
        </w:rPr>
        <w:t>Computational Resources</w:t>
      </w:r>
      <w:r w:rsidRPr="009F186F">
        <w:rPr>
          <w:rFonts w:ascii="Times New Roman" w:hAnsi="Times New Roman" w:cs="Times New Roman"/>
        </w:rPr>
        <w:t>: High-dimensional data require significant storage and processing power.</w:t>
      </w:r>
    </w:p>
    <w:p w14:paraId="2404081C"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4.3. Promising Research Areas</w:t>
      </w:r>
    </w:p>
    <w:p w14:paraId="49B7DA89" w14:textId="77777777" w:rsidR="009F186F" w:rsidRPr="009F186F" w:rsidRDefault="009F186F" w:rsidP="009F186F">
      <w:pPr>
        <w:numPr>
          <w:ilvl w:val="0"/>
          <w:numId w:val="3"/>
        </w:numPr>
        <w:spacing w:line="480" w:lineRule="auto"/>
        <w:rPr>
          <w:rFonts w:ascii="Times New Roman" w:hAnsi="Times New Roman" w:cs="Times New Roman"/>
        </w:rPr>
      </w:pPr>
      <w:r w:rsidRPr="009F186F">
        <w:rPr>
          <w:rFonts w:ascii="Times New Roman" w:hAnsi="Times New Roman" w:cs="Times New Roman"/>
        </w:rPr>
        <w:t>Integration of PRS with environmental and lifestyle data.</w:t>
      </w:r>
    </w:p>
    <w:p w14:paraId="2D4794BC" w14:textId="77777777" w:rsidR="009F186F" w:rsidRPr="009F186F" w:rsidRDefault="009F186F" w:rsidP="009F186F">
      <w:pPr>
        <w:numPr>
          <w:ilvl w:val="0"/>
          <w:numId w:val="3"/>
        </w:numPr>
        <w:spacing w:line="480" w:lineRule="auto"/>
        <w:rPr>
          <w:rFonts w:ascii="Times New Roman" w:hAnsi="Times New Roman" w:cs="Times New Roman"/>
        </w:rPr>
      </w:pPr>
      <w:r w:rsidRPr="009F186F">
        <w:rPr>
          <w:rFonts w:ascii="Times New Roman" w:hAnsi="Times New Roman" w:cs="Times New Roman"/>
        </w:rPr>
        <w:lastRenderedPageBreak/>
        <w:t>Cross-population validation and development of ancestry-specific models.</w:t>
      </w:r>
    </w:p>
    <w:p w14:paraId="2E21B768" w14:textId="77777777" w:rsidR="009F186F" w:rsidRPr="009F186F" w:rsidRDefault="009F186F" w:rsidP="009F186F">
      <w:pPr>
        <w:numPr>
          <w:ilvl w:val="0"/>
          <w:numId w:val="3"/>
        </w:numPr>
        <w:spacing w:line="480" w:lineRule="auto"/>
        <w:rPr>
          <w:rFonts w:ascii="Times New Roman" w:hAnsi="Times New Roman" w:cs="Times New Roman"/>
        </w:rPr>
      </w:pPr>
      <w:r w:rsidRPr="009F186F">
        <w:rPr>
          <w:rFonts w:ascii="Times New Roman" w:hAnsi="Times New Roman" w:cs="Times New Roman"/>
        </w:rPr>
        <w:t>Use of federated learning for privacy-preserving model training.</w:t>
      </w:r>
    </w:p>
    <w:p w14:paraId="4EF1B0B0" w14:textId="7410DA2E" w:rsidR="009F186F" w:rsidRPr="009F186F" w:rsidRDefault="009F186F" w:rsidP="009F186F">
      <w:pPr>
        <w:numPr>
          <w:ilvl w:val="0"/>
          <w:numId w:val="3"/>
        </w:numPr>
        <w:spacing w:line="480" w:lineRule="auto"/>
        <w:rPr>
          <w:rFonts w:ascii="Times New Roman" w:hAnsi="Times New Roman" w:cs="Times New Roman"/>
        </w:rPr>
      </w:pPr>
      <w:r w:rsidRPr="009F186F">
        <w:rPr>
          <w:rFonts w:ascii="Times New Roman" w:hAnsi="Times New Roman" w:cs="Times New Roman"/>
        </w:rPr>
        <w:t>Applications in rare diseases and drug response prediction.</w:t>
      </w:r>
    </w:p>
    <w:p w14:paraId="29143398"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t>Conclusion</w:t>
      </w:r>
      <w:r w:rsidRPr="009F186F">
        <w:rPr>
          <w:rFonts w:ascii="Times New Roman" w:hAnsi="Times New Roman" w:cs="Times New Roman"/>
        </w:rPr>
        <w:br/>
        <w:t>As ML and PRS evolve, their convergence promises to reshape predictive healthcare. The literature suggests that models incorporating diverse data types—genomic, clinical, environmental—are poised to deliver personalized insights with unprecedented accuracy. Yet, equitable implementation requires addressing disparities in data representation and interpretability. Future studies should prioritize inclusive datasets, explainable AI models, and ethical frameworks to translate technological advancements into health equity and better patient outcomes.</w:t>
      </w:r>
    </w:p>
    <w:p w14:paraId="070C1807" w14:textId="7777777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rPr>
        <w:t>As a student of information science and aspiring professional in biomedical data analytics, I find this domain intellectually exciting and practically urgent. Understanding these models will be essential for future roles in developing intelligent health information systems that serve diverse populations effectively.</w:t>
      </w:r>
    </w:p>
    <w:p w14:paraId="760274CB" w14:textId="574E9359" w:rsidR="009F186F" w:rsidRPr="009F186F" w:rsidRDefault="009F186F" w:rsidP="009F186F">
      <w:pPr>
        <w:spacing w:line="480" w:lineRule="auto"/>
        <w:rPr>
          <w:rFonts w:ascii="Times New Roman" w:hAnsi="Times New Roman" w:cs="Times New Roman"/>
        </w:rPr>
      </w:pPr>
    </w:p>
    <w:p w14:paraId="77501BFC" w14:textId="77777777" w:rsidR="009F186F" w:rsidRDefault="009F186F" w:rsidP="009F186F">
      <w:pPr>
        <w:spacing w:line="480" w:lineRule="auto"/>
        <w:rPr>
          <w:rFonts w:ascii="Times New Roman" w:hAnsi="Times New Roman" w:cs="Times New Roman"/>
          <w:b/>
          <w:bCs/>
        </w:rPr>
      </w:pPr>
      <w:r>
        <w:rPr>
          <w:rFonts w:ascii="Times New Roman" w:hAnsi="Times New Roman" w:cs="Times New Roman"/>
          <w:b/>
          <w:bCs/>
        </w:rPr>
        <w:br w:type="page"/>
      </w:r>
    </w:p>
    <w:p w14:paraId="57478F0C" w14:textId="65DF40D7" w:rsidR="009F186F" w:rsidRPr="009F186F" w:rsidRDefault="009F186F" w:rsidP="009F186F">
      <w:pPr>
        <w:spacing w:line="480" w:lineRule="auto"/>
        <w:rPr>
          <w:rFonts w:ascii="Times New Roman" w:hAnsi="Times New Roman" w:cs="Times New Roman"/>
        </w:rPr>
      </w:pPr>
      <w:r w:rsidRPr="009F186F">
        <w:rPr>
          <w:rFonts w:ascii="Times New Roman" w:hAnsi="Times New Roman" w:cs="Times New Roman"/>
          <w:b/>
          <w:bCs/>
        </w:rPr>
        <w:lastRenderedPageBreak/>
        <w:t>References</w:t>
      </w:r>
      <w:r w:rsidRPr="009F186F">
        <w:rPr>
          <w:rFonts w:ascii="Times New Roman" w:hAnsi="Times New Roman" w:cs="Times New Roman"/>
        </w:rPr>
        <w:br/>
        <w:t xml:space="preserve">Alzoubi, H., Alzubi, R., &amp; Ramzan, N. (2023). Deep learning framework for complex disease risk prediction using genomic variations. </w:t>
      </w:r>
      <w:r w:rsidRPr="009F186F">
        <w:rPr>
          <w:rFonts w:ascii="Times New Roman" w:hAnsi="Times New Roman" w:cs="Times New Roman"/>
          <w:i/>
          <w:iCs/>
        </w:rPr>
        <w:t>Sensors</w:t>
      </w:r>
      <w:r w:rsidRPr="009F186F">
        <w:rPr>
          <w:rFonts w:ascii="Times New Roman" w:hAnsi="Times New Roman" w:cs="Times New Roman"/>
        </w:rPr>
        <w:t xml:space="preserve">, 23, 4439. </w:t>
      </w:r>
      <w:hyperlink r:id="rId7" w:history="1">
        <w:r w:rsidRPr="009F186F">
          <w:rPr>
            <w:rStyle w:val="Hyperlink"/>
            <w:rFonts w:ascii="Times New Roman" w:hAnsi="Times New Roman" w:cs="Times New Roman"/>
          </w:rPr>
          <w:t>https://doi.org/10.3390/s23094439</w:t>
        </w:r>
      </w:hyperlink>
      <w:r>
        <w:rPr>
          <w:rFonts w:ascii="Times New Roman" w:hAnsi="Times New Roman" w:cs="Times New Roman"/>
        </w:rPr>
        <w:t xml:space="preserve"> </w:t>
      </w:r>
      <w:r w:rsidRPr="009F186F">
        <w:rPr>
          <w:rFonts w:ascii="Times New Roman" w:hAnsi="Times New Roman" w:cs="Times New Roman"/>
        </w:rPr>
        <w:br/>
        <w:t xml:space="preserve">Chang, X., et al. (2025). Predictive capabilities of polygenic scores in an East-Asian cohort. </w:t>
      </w:r>
      <w:proofErr w:type="spellStart"/>
      <w:r w:rsidRPr="009F186F">
        <w:rPr>
          <w:rFonts w:ascii="Times New Roman" w:hAnsi="Times New Roman" w:cs="Times New Roman"/>
          <w:i/>
          <w:iCs/>
        </w:rPr>
        <w:t>medRxiv</w:t>
      </w:r>
      <w:proofErr w:type="spellEnd"/>
      <w:r w:rsidRPr="009F186F">
        <w:rPr>
          <w:rFonts w:ascii="Times New Roman" w:hAnsi="Times New Roman" w:cs="Times New Roman"/>
        </w:rPr>
        <w:t xml:space="preserve">. </w:t>
      </w:r>
      <w:hyperlink r:id="rId8" w:history="1">
        <w:r w:rsidRPr="009F186F">
          <w:rPr>
            <w:rStyle w:val="Hyperlink"/>
            <w:rFonts w:ascii="Times New Roman" w:hAnsi="Times New Roman" w:cs="Times New Roman"/>
          </w:rPr>
          <w:t>https://doi.org/10.1101/2025.02.13.25322249</w:t>
        </w:r>
      </w:hyperlink>
      <w:r>
        <w:rPr>
          <w:rFonts w:ascii="Times New Roman" w:hAnsi="Times New Roman" w:cs="Times New Roman"/>
        </w:rPr>
        <w:t xml:space="preserve"> </w:t>
      </w:r>
      <w:r w:rsidRPr="009F186F">
        <w:rPr>
          <w:rFonts w:ascii="Times New Roman" w:hAnsi="Times New Roman" w:cs="Times New Roman"/>
        </w:rPr>
        <w:br/>
        <w:t xml:space="preserve">Khalil, A., et al. (2024). The role of cfDNA biomarkers in predicting preeclampsia using AI. </w:t>
      </w:r>
      <w:r w:rsidRPr="009F186F">
        <w:rPr>
          <w:rFonts w:ascii="Times New Roman" w:hAnsi="Times New Roman" w:cs="Times New Roman"/>
          <w:i/>
          <w:iCs/>
        </w:rPr>
        <w:t>AJOG</w:t>
      </w:r>
      <w:r w:rsidRPr="009F186F">
        <w:rPr>
          <w:rFonts w:ascii="Times New Roman" w:hAnsi="Times New Roman" w:cs="Times New Roman"/>
        </w:rPr>
        <w:t xml:space="preserve">, 231, 554.e1–554.e18. </w:t>
      </w:r>
      <w:hyperlink r:id="rId9" w:history="1">
        <w:r w:rsidRPr="009F186F">
          <w:rPr>
            <w:rStyle w:val="Hyperlink"/>
            <w:rFonts w:ascii="Times New Roman" w:hAnsi="Times New Roman" w:cs="Times New Roman"/>
          </w:rPr>
          <w:t>https://doi.org/10.1016/j.ajog.2024.02.299</w:t>
        </w:r>
      </w:hyperlink>
      <w:r>
        <w:rPr>
          <w:rFonts w:ascii="Times New Roman" w:hAnsi="Times New Roman" w:cs="Times New Roman"/>
        </w:rPr>
        <w:t xml:space="preserve"> </w:t>
      </w:r>
      <w:r w:rsidRPr="009F186F">
        <w:rPr>
          <w:rFonts w:ascii="Times New Roman" w:hAnsi="Times New Roman" w:cs="Times New Roman"/>
        </w:rPr>
        <w:br/>
        <w:t xml:space="preserve">Mena Mamani, N. (2020). Machine learning and PRS in predicting genetic diseases. </w:t>
      </w:r>
      <w:r w:rsidRPr="009F186F">
        <w:rPr>
          <w:rFonts w:ascii="Times New Roman" w:hAnsi="Times New Roman" w:cs="Times New Roman"/>
          <w:i/>
          <w:iCs/>
        </w:rPr>
        <w:t>ADCAIJ</w:t>
      </w:r>
      <w:r w:rsidRPr="009F186F">
        <w:rPr>
          <w:rFonts w:ascii="Times New Roman" w:hAnsi="Times New Roman" w:cs="Times New Roman"/>
        </w:rPr>
        <w:t xml:space="preserve">, 9(1), 5–14. </w:t>
      </w:r>
      <w:hyperlink r:id="rId10" w:history="1">
        <w:r w:rsidRPr="009F186F">
          <w:rPr>
            <w:rStyle w:val="Hyperlink"/>
            <w:rFonts w:ascii="Times New Roman" w:hAnsi="Times New Roman" w:cs="Times New Roman"/>
          </w:rPr>
          <w:t>https://dx.doi.org/10.14201/ADCAIJ202091514</w:t>
        </w:r>
      </w:hyperlink>
      <w:r>
        <w:rPr>
          <w:rFonts w:ascii="Times New Roman" w:hAnsi="Times New Roman" w:cs="Times New Roman"/>
        </w:rPr>
        <w:t xml:space="preserve"> </w:t>
      </w:r>
      <w:r w:rsidRPr="009F186F">
        <w:rPr>
          <w:rFonts w:ascii="Times New Roman" w:hAnsi="Times New Roman" w:cs="Times New Roman"/>
        </w:rPr>
        <w:br/>
        <w:t xml:space="preserve">Moser, G., et al. (2015). Bayesian mixture model for complex traits. </w:t>
      </w:r>
      <w:proofErr w:type="spellStart"/>
      <w:r w:rsidRPr="009F186F">
        <w:rPr>
          <w:rFonts w:ascii="Times New Roman" w:hAnsi="Times New Roman" w:cs="Times New Roman"/>
          <w:i/>
          <w:iCs/>
        </w:rPr>
        <w:t>PLoS</w:t>
      </w:r>
      <w:proofErr w:type="spellEnd"/>
      <w:r w:rsidRPr="009F186F">
        <w:rPr>
          <w:rFonts w:ascii="Times New Roman" w:hAnsi="Times New Roman" w:cs="Times New Roman"/>
          <w:i/>
          <w:iCs/>
        </w:rPr>
        <w:t xml:space="preserve"> Genet</w:t>
      </w:r>
      <w:r w:rsidRPr="009F186F">
        <w:rPr>
          <w:rFonts w:ascii="Times New Roman" w:hAnsi="Times New Roman" w:cs="Times New Roman"/>
        </w:rPr>
        <w:t xml:space="preserve">, 11(4), e1004969. </w:t>
      </w:r>
      <w:hyperlink r:id="rId11" w:history="1">
        <w:r w:rsidRPr="009F186F">
          <w:rPr>
            <w:rStyle w:val="Hyperlink"/>
            <w:rFonts w:ascii="Times New Roman" w:hAnsi="Times New Roman" w:cs="Times New Roman"/>
          </w:rPr>
          <w:t>https://doi.org/10.1371/journal.pgen.1004969</w:t>
        </w:r>
      </w:hyperlink>
      <w:r>
        <w:rPr>
          <w:rFonts w:ascii="Times New Roman" w:hAnsi="Times New Roman" w:cs="Times New Roman"/>
        </w:rPr>
        <w:t xml:space="preserve"> </w:t>
      </w:r>
      <w:r w:rsidRPr="009F186F">
        <w:rPr>
          <w:rFonts w:ascii="Times New Roman" w:hAnsi="Times New Roman" w:cs="Times New Roman"/>
        </w:rPr>
        <w:br/>
        <w:t xml:space="preserve">Muneeb, M., &amp; Henschel, A. (2021). Phenotype prediction using DL. </w:t>
      </w:r>
      <w:r w:rsidRPr="009F186F">
        <w:rPr>
          <w:rFonts w:ascii="Times New Roman" w:hAnsi="Times New Roman" w:cs="Times New Roman"/>
          <w:i/>
          <w:iCs/>
        </w:rPr>
        <w:t>BMC Bioinformatics</w:t>
      </w:r>
      <w:r w:rsidRPr="009F186F">
        <w:rPr>
          <w:rFonts w:ascii="Times New Roman" w:hAnsi="Times New Roman" w:cs="Times New Roman"/>
        </w:rPr>
        <w:t xml:space="preserve">, 22:198. </w:t>
      </w:r>
      <w:hyperlink r:id="rId12" w:history="1">
        <w:r w:rsidRPr="009F186F">
          <w:rPr>
            <w:rStyle w:val="Hyperlink"/>
            <w:rFonts w:ascii="Times New Roman" w:hAnsi="Times New Roman" w:cs="Times New Roman"/>
          </w:rPr>
          <w:t>https://doi.org/10.1186/s12859-021-04077-9</w:t>
        </w:r>
      </w:hyperlink>
      <w:r>
        <w:rPr>
          <w:rFonts w:ascii="Times New Roman" w:hAnsi="Times New Roman" w:cs="Times New Roman"/>
        </w:rPr>
        <w:t xml:space="preserve"> </w:t>
      </w:r>
      <w:r w:rsidRPr="009F186F">
        <w:rPr>
          <w:rFonts w:ascii="Times New Roman" w:hAnsi="Times New Roman" w:cs="Times New Roman"/>
        </w:rPr>
        <w:br/>
        <w:t xml:space="preserve">Paré, G., Mao, S., &amp; Deng, W.Q. (2017). </w:t>
      </w:r>
      <w:proofErr w:type="spellStart"/>
      <w:r w:rsidRPr="009F186F">
        <w:rPr>
          <w:rFonts w:ascii="Times New Roman" w:hAnsi="Times New Roman" w:cs="Times New Roman"/>
        </w:rPr>
        <w:t>GraBLD</w:t>
      </w:r>
      <w:proofErr w:type="spellEnd"/>
      <w:r w:rsidRPr="009F186F">
        <w:rPr>
          <w:rFonts w:ascii="Times New Roman" w:hAnsi="Times New Roman" w:cs="Times New Roman"/>
        </w:rPr>
        <w:t xml:space="preserve">: Gradient Boosted LD-adjusted PRS. </w:t>
      </w:r>
      <w:r w:rsidRPr="009F186F">
        <w:rPr>
          <w:rFonts w:ascii="Times New Roman" w:hAnsi="Times New Roman" w:cs="Times New Roman"/>
          <w:i/>
          <w:iCs/>
        </w:rPr>
        <w:t>Scientific Reports</w:t>
      </w:r>
      <w:r w:rsidRPr="009F186F">
        <w:rPr>
          <w:rFonts w:ascii="Times New Roman" w:hAnsi="Times New Roman" w:cs="Times New Roman"/>
        </w:rPr>
        <w:t xml:space="preserve">, 7, 12665. </w:t>
      </w:r>
      <w:hyperlink r:id="rId13" w:history="1">
        <w:r w:rsidRPr="009F186F">
          <w:rPr>
            <w:rStyle w:val="Hyperlink"/>
            <w:rFonts w:ascii="Times New Roman" w:hAnsi="Times New Roman" w:cs="Times New Roman"/>
          </w:rPr>
          <w:t>https://doi.org/10.1038/s41598-017-13056-1</w:t>
        </w:r>
      </w:hyperlink>
      <w:r>
        <w:rPr>
          <w:rFonts w:ascii="Times New Roman" w:hAnsi="Times New Roman" w:cs="Times New Roman"/>
        </w:rPr>
        <w:t xml:space="preserve"> </w:t>
      </w:r>
      <w:r w:rsidRPr="009F186F">
        <w:rPr>
          <w:rFonts w:ascii="Times New Roman" w:hAnsi="Times New Roman" w:cs="Times New Roman"/>
        </w:rPr>
        <w:br/>
      </w:r>
      <w:proofErr w:type="spellStart"/>
      <w:r w:rsidRPr="009F186F">
        <w:rPr>
          <w:rFonts w:ascii="Times New Roman" w:hAnsi="Times New Roman" w:cs="Times New Roman"/>
        </w:rPr>
        <w:t>Werissa</w:t>
      </w:r>
      <w:proofErr w:type="spellEnd"/>
      <w:r w:rsidRPr="009F186F">
        <w:rPr>
          <w:rFonts w:ascii="Times New Roman" w:hAnsi="Times New Roman" w:cs="Times New Roman"/>
        </w:rPr>
        <w:t xml:space="preserve">, N. A., et al. (2019). Genetic risk score modeling in Roma and general populations. </w:t>
      </w:r>
      <w:r w:rsidRPr="009F186F">
        <w:rPr>
          <w:rFonts w:ascii="Times New Roman" w:hAnsi="Times New Roman" w:cs="Times New Roman"/>
          <w:i/>
          <w:iCs/>
        </w:rPr>
        <w:t>Genes</w:t>
      </w:r>
      <w:r w:rsidRPr="009F186F">
        <w:rPr>
          <w:rFonts w:ascii="Times New Roman" w:hAnsi="Times New Roman" w:cs="Times New Roman"/>
        </w:rPr>
        <w:t xml:space="preserve">, 10(11), 942. </w:t>
      </w:r>
      <w:hyperlink r:id="rId14" w:history="1">
        <w:r w:rsidRPr="009F186F">
          <w:rPr>
            <w:rStyle w:val="Hyperlink"/>
            <w:rFonts w:ascii="Times New Roman" w:hAnsi="Times New Roman" w:cs="Times New Roman"/>
          </w:rPr>
          <w:t>https://doi.org/10.3390/genes10110942</w:t>
        </w:r>
      </w:hyperlink>
      <w:r>
        <w:rPr>
          <w:rFonts w:ascii="Times New Roman" w:hAnsi="Times New Roman" w:cs="Times New Roman"/>
        </w:rPr>
        <w:t xml:space="preserve"> </w:t>
      </w:r>
      <w:r w:rsidRPr="009F186F">
        <w:rPr>
          <w:rFonts w:ascii="Times New Roman" w:hAnsi="Times New Roman" w:cs="Times New Roman"/>
        </w:rPr>
        <w:br/>
        <w:t xml:space="preserve">Widen, E., et al. (2021). ML prediction of biomarkers and disease risk from SNPs. </w:t>
      </w:r>
      <w:r w:rsidRPr="009F186F">
        <w:rPr>
          <w:rFonts w:ascii="Times New Roman" w:hAnsi="Times New Roman" w:cs="Times New Roman"/>
          <w:i/>
          <w:iCs/>
        </w:rPr>
        <w:t>Genes</w:t>
      </w:r>
      <w:r w:rsidRPr="009F186F">
        <w:rPr>
          <w:rFonts w:ascii="Times New Roman" w:hAnsi="Times New Roman" w:cs="Times New Roman"/>
        </w:rPr>
        <w:t xml:space="preserve">, 12(7), 991. </w:t>
      </w:r>
      <w:hyperlink r:id="rId15" w:history="1">
        <w:r w:rsidRPr="009F186F">
          <w:rPr>
            <w:rStyle w:val="Hyperlink"/>
            <w:rFonts w:ascii="Times New Roman" w:hAnsi="Times New Roman" w:cs="Times New Roman"/>
          </w:rPr>
          <w:t>https://doi.org/10.3390/genes12070991</w:t>
        </w:r>
      </w:hyperlink>
      <w:r>
        <w:rPr>
          <w:rFonts w:ascii="Times New Roman" w:hAnsi="Times New Roman" w:cs="Times New Roman"/>
        </w:rPr>
        <w:t xml:space="preserve"> </w:t>
      </w:r>
    </w:p>
    <w:p w14:paraId="7A9BE010" w14:textId="77777777" w:rsidR="009F186F" w:rsidRPr="009F186F" w:rsidRDefault="009F186F" w:rsidP="009F186F">
      <w:pPr>
        <w:spacing w:line="480" w:lineRule="auto"/>
        <w:rPr>
          <w:rFonts w:ascii="Times New Roman" w:hAnsi="Times New Roman" w:cs="Times New Roman"/>
        </w:rPr>
      </w:pPr>
    </w:p>
    <w:sectPr w:rsidR="009F186F" w:rsidRPr="009F186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7AD9" w14:textId="77777777" w:rsidR="00E12BDC" w:rsidRDefault="00E12BDC" w:rsidP="009F186F">
      <w:pPr>
        <w:spacing w:after="0" w:line="240" w:lineRule="auto"/>
      </w:pPr>
      <w:r>
        <w:separator/>
      </w:r>
    </w:p>
  </w:endnote>
  <w:endnote w:type="continuationSeparator" w:id="0">
    <w:p w14:paraId="1A35470E" w14:textId="77777777" w:rsidR="00E12BDC" w:rsidRDefault="00E12BDC" w:rsidP="009F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7008" w14:textId="77777777" w:rsidR="00E12BDC" w:rsidRDefault="00E12BDC" w:rsidP="009F186F">
      <w:pPr>
        <w:spacing w:after="0" w:line="240" w:lineRule="auto"/>
      </w:pPr>
      <w:r>
        <w:separator/>
      </w:r>
    </w:p>
  </w:footnote>
  <w:footnote w:type="continuationSeparator" w:id="0">
    <w:p w14:paraId="0C292E0F" w14:textId="77777777" w:rsidR="00E12BDC" w:rsidRDefault="00E12BDC" w:rsidP="009F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3834" w14:textId="56D10A2D" w:rsidR="009F186F" w:rsidRPr="009F186F" w:rsidRDefault="009F186F" w:rsidP="009F186F">
    <w:pPr>
      <w:spacing w:line="480" w:lineRule="auto"/>
      <w:jc w:val="right"/>
      <w:rPr>
        <w:rFonts w:ascii="Times New Roman" w:hAnsi="Times New Roman" w:cs="Times New Roman"/>
      </w:rPr>
    </w:pPr>
    <w:r w:rsidRPr="009F186F">
      <w:rPr>
        <w:rFonts w:ascii="Times New Roman" w:hAnsi="Times New Roman" w:cs="Times New Roman"/>
        <w:b/>
        <w:bCs/>
      </w:rPr>
      <w:t>Maria Shiferaw</w:t>
    </w:r>
    <w:r w:rsidRPr="009F186F">
      <w:rPr>
        <w:rFonts w:ascii="Times New Roman" w:hAnsi="Times New Roman" w:cs="Times New Roman"/>
        <w:b/>
        <w:bCs/>
      </w:rPr>
      <w:br/>
    </w:r>
    <w:r>
      <w:rPr>
        <w:rFonts w:ascii="Times New Roman" w:hAnsi="Times New Roman" w:cs="Times New Roman"/>
        <w:b/>
        <w:bCs/>
      </w:rPr>
      <w:t>INFO 6700</w:t>
    </w:r>
    <w:r w:rsidRPr="009F186F">
      <w:rPr>
        <w:rFonts w:ascii="Times New Roman" w:hAnsi="Times New Roman" w:cs="Times New Roman"/>
        <w:b/>
        <w:bCs/>
      </w:rPr>
      <w:br/>
    </w:r>
    <w:r>
      <w:rPr>
        <w:rFonts w:ascii="Times New Roman" w:hAnsi="Times New Roman" w:cs="Times New Roman"/>
        <w:b/>
        <w:bCs/>
      </w:rPr>
      <w:t>03/29/2025</w:t>
    </w:r>
  </w:p>
  <w:p w14:paraId="03CD6F9A" w14:textId="77777777" w:rsidR="009F186F" w:rsidRDefault="009F186F" w:rsidP="009F18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24B16"/>
    <w:multiLevelType w:val="multilevel"/>
    <w:tmpl w:val="AC7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E2D82"/>
    <w:multiLevelType w:val="multilevel"/>
    <w:tmpl w:val="059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817D6"/>
    <w:multiLevelType w:val="multilevel"/>
    <w:tmpl w:val="579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338662">
    <w:abstractNumId w:val="2"/>
  </w:num>
  <w:num w:numId="2" w16cid:durableId="467405293">
    <w:abstractNumId w:val="0"/>
  </w:num>
  <w:num w:numId="3" w16cid:durableId="852189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6F"/>
    <w:rsid w:val="006E1CBB"/>
    <w:rsid w:val="009F186F"/>
    <w:rsid w:val="00E12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ACFC"/>
  <w15:chartTrackingRefBased/>
  <w15:docId w15:val="{A47DCFF8-AD60-471B-B8C8-061312CC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86F"/>
    <w:rPr>
      <w:rFonts w:eastAsiaTheme="majorEastAsia" w:cstheme="majorBidi"/>
      <w:color w:val="272727" w:themeColor="text1" w:themeTint="D8"/>
    </w:rPr>
  </w:style>
  <w:style w:type="paragraph" w:styleId="Title">
    <w:name w:val="Title"/>
    <w:basedOn w:val="Normal"/>
    <w:next w:val="Normal"/>
    <w:link w:val="TitleChar"/>
    <w:uiPriority w:val="10"/>
    <w:qFormat/>
    <w:rsid w:val="009F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86F"/>
    <w:pPr>
      <w:spacing w:before="160"/>
      <w:jc w:val="center"/>
    </w:pPr>
    <w:rPr>
      <w:i/>
      <w:iCs/>
      <w:color w:val="404040" w:themeColor="text1" w:themeTint="BF"/>
    </w:rPr>
  </w:style>
  <w:style w:type="character" w:customStyle="1" w:styleId="QuoteChar">
    <w:name w:val="Quote Char"/>
    <w:basedOn w:val="DefaultParagraphFont"/>
    <w:link w:val="Quote"/>
    <w:uiPriority w:val="29"/>
    <w:rsid w:val="009F186F"/>
    <w:rPr>
      <w:i/>
      <w:iCs/>
      <w:color w:val="404040" w:themeColor="text1" w:themeTint="BF"/>
    </w:rPr>
  </w:style>
  <w:style w:type="paragraph" w:styleId="ListParagraph">
    <w:name w:val="List Paragraph"/>
    <w:basedOn w:val="Normal"/>
    <w:uiPriority w:val="34"/>
    <w:qFormat/>
    <w:rsid w:val="009F186F"/>
    <w:pPr>
      <w:ind w:left="720"/>
      <w:contextualSpacing/>
    </w:pPr>
  </w:style>
  <w:style w:type="character" w:styleId="IntenseEmphasis">
    <w:name w:val="Intense Emphasis"/>
    <w:basedOn w:val="DefaultParagraphFont"/>
    <w:uiPriority w:val="21"/>
    <w:qFormat/>
    <w:rsid w:val="009F186F"/>
    <w:rPr>
      <w:i/>
      <w:iCs/>
      <w:color w:val="0F4761" w:themeColor="accent1" w:themeShade="BF"/>
    </w:rPr>
  </w:style>
  <w:style w:type="paragraph" w:styleId="IntenseQuote">
    <w:name w:val="Intense Quote"/>
    <w:basedOn w:val="Normal"/>
    <w:next w:val="Normal"/>
    <w:link w:val="IntenseQuoteChar"/>
    <w:uiPriority w:val="30"/>
    <w:qFormat/>
    <w:rsid w:val="009F1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86F"/>
    <w:rPr>
      <w:i/>
      <w:iCs/>
      <w:color w:val="0F4761" w:themeColor="accent1" w:themeShade="BF"/>
    </w:rPr>
  </w:style>
  <w:style w:type="character" w:styleId="IntenseReference">
    <w:name w:val="Intense Reference"/>
    <w:basedOn w:val="DefaultParagraphFont"/>
    <w:uiPriority w:val="32"/>
    <w:qFormat/>
    <w:rsid w:val="009F186F"/>
    <w:rPr>
      <w:b/>
      <w:bCs/>
      <w:smallCaps/>
      <w:color w:val="0F4761" w:themeColor="accent1" w:themeShade="BF"/>
      <w:spacing w:val="5"/>
    </w:rPr>
  </w:style>
  <w:style w:type="paragraph" w:styleId="Header">
    <w:name w:val="header"/>
    <w:basedOn w:val="Normal"/>
    <w:link w:val="HeaderChar"/>
    <w:uiPriority w:val="99"/>
    <w:unhideWhenUsed/>
    <w:rsid w:val="009F1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86F"/>
  </w:style>
  <w:style w:type="paragraph" w:styleId="Footer">
    <w:name w:val="footer"/>
    <w:basedOn w:val="Normal"/>
    <w:link w:val="FooterChar"/>
    <w:uiPriority w:val="99"/>
    <w:unhideWhenUsed/>
    <w:rsid w:val="009F1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86F"/>
  </w:style>
  <w:style w:type="character" w:styleId="Hyperlink">
    <w:name w:val="Hyperlink"/>
    <w:basedOn w:val="DefaultParagraphFont"/>
    <w:uiPriority w:val="99"/>
    <w:unhideWhenUsed/>
    <w:rsid w:val="009F186F"/>
    <w:rPr>
      <w:color w:val="467886" w:themeColor="hyperlink"/>
      <w:u w:val="single"/>
    </w:rPr>
  </w:style>
  <w:style w:type="character" w:styleId="UnresolvedMention">
    <w:name w:val="Unresolved Mention"/>
    <w:basedOn w:val="DefaultParagraphFont"/>
    <w:uiPriority w:val="99"/>
    <w:semiHidden/>
    <w:unhideWhenUsed/>
    <w:rsid w:val="009F1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16733">
      <w:bodyDiv w:val="1"/>
      <w:marLeft w:val="0"/>
      <w:marRight w:val="0"/>
      <w:marTop w:val="0"/>
      <w:marBottom w:val="0"/>
      <w:divBdr>
        <w:top w:val="none" w:sz="0" w:space="0" w:color="auto"/>
        <w:left w:val="none" w:sz="0" w:space="0" w:color="auto"/>
        <w:bottom w:val="none" w:sz="0" w:space="0" w:color="auto"/>
        <w:right w:val="none" w:sz="0" w:space="0" w:color="auto"/>
      </w:divBdr>
    </w:div>
    <w:div w:id="1448546155">
      <w:bodyDiv w:val="1"/>
      <w:marLeft w:val="0"/>
      <w:marRight w:val="0"/>
      <w:marTop w:val="0"/>
      <w:marBottom w:val="0"/>
      <w:divBdr>
        <w:top w:val="none" w:sz="0" w:space="0" w:color="auto"/>
        <w:left w:val="none" w:sz="0" w:space="0" w:color="auto"/>
        <w:bottom w:val="none" w:sz="0" w:space="0" w:color="auto"/>
        <w:right w:val="none" w:sz="0" w:space="0" w:color="auto"/>
      </w:divBdr>
    </w:div>
    <w:div w:id="1456096747">
      <w:bodyDiv w:val="1"/>
      <w:marLeft w:val="0"/>
      <w:marRight w:val="0"/>
      <w:marTop w:val="0"/>
      <w:marBottom w:val="0"/>
      <w:divBdr>
        <w:top w:val="none" w:sz="0" w:space="0" w:color="auto"/>
        <w:left w:val="none" w:sz="0" w:space="0" w:color="auto"/>
        <w:bottom w:val="none" w:sz="0" w:space="0" w:color="auto"/>
        <w:right w:val="none" w:sz="0" w:space="0" w:color="auto"/>
      </w:divBdr>
      <w:divsChild>
        <w:div w:id="1602570541">
          <w:marLeft w:val="0"/>
          <w:marRight w:val="0"/>
          <w:marTop w:val="0"/>
          <w:marBottom w:val="0"/>
          <w:divBdr>
            <w:top w:val="none" w:sz="0" w:space="0" w:color="auto"/>
            <w:left w:val="none" w:sz="0" w:space="0" w:color="auto"/>
            <w:bottom w:val="none" w:sz="0" w:space="0" w:color="auto"/>
            <w:right w:val="none" w:sz="0" w:space="0" w:color="auto"/>
          </w:divBdr>
        </w:div>
        <w:div w:id="1475371116">
          <w:marLeft w:val="0"/>
          <w:marRight w:val="0"/>
          <w:marTop w:val="0"/>
          <w:marBottom w:val="0"/>
          <w:divBdr>
            <w:top w:val="none" w:sz="0" w:space="0" w:color="auto"/>
            <w:left w:val="none" w:sz="0" w:space="0" w:color="auto"/>
            <w:bottom w:val="none" w:sz="0" w:space="0" w:color="auto"/>
            <w:right w:val="none" w:sz="0" w:space="0" w:color="auto"/>
          </w:divBdr>
        </w:div>
        <w:div w:id="1180007175">
          <w:marLeft w:val="0"/>
          <w:marRight w:val="0"/>
          <w:marTop w:val="0"/>
          <w:marBottom w:val="0"/>
          <w:divBdr>
            <w:top w:val="none" w:sz="0" w:space="0" w:color="auto"/>
            <w:left w:val="none" w:sz="0" w:space="0" w:color="auto"/>
            <w:bottom w:val="none" w:sz="0" w:space="0" w:color="auto"/>
            <w:right w:val="none" w:sz="0" w:space="0" w:color="auto"/>
          </w:divBdr>
        </w:div>
        <w:div w:id="2065785590">
          <w:marLeft w:val="0"/>
          <w:marRight w:val="0"/>
          <w:marTop w:val="0"/>
          <w:marBottom w:val="0"/>
          <w:divBdr>
            <w:top w:val="none" w:sz="0" w:space="0" w:color="auto"/>
            <w:left w:val="none" w:sz="0" w:space="0" w:color="auto"/>
            <w:bottom w:val="none" w:sz="0" w:space="0" w:color="auto"/>
            <w:right w:val="none" w:sz="0" w:space="0" w:color="auto"/>
          </w:divBdr>
        </w:div>
        <w:div w:id="793669995">
          <w:marLeft w:val="0"/>
          <w:marRight w:val="0"/>
          <w:marTop w:val="0"/>
          <w:marBottom w:val="0"/>
          <w:divBdr>
            <w:top w:val="none" w:sz="0" w:space="0" w:color="auto"/>
            <w:left w:val="none" w:sz="0" w:space="0" w:color="auto"/>
            <w:bottom w:val="none" w:sz="0" w:space="0" w:color="auto"/>
            <w:right w:val="none" w:sz="0" w:space="0" w:color="auto"/>
          </w:divBdr>
        </w:div>
        <w:div w:id="1589773297">
          <w:marLeft w:val="0"/>
          <w:marRight w:val="0"/>
          <w:marTop w:val="0"/>
          <w:marBottom w:val="0"/>
          <w:divBdr>
            <w:top w:val="none" w:sz="0" w:space="0" w:color="auto"/>
            <w:left w:val="none" w:sz="0" w:space="0" w:color="auto"/>
            <w:bottom w:val="none" w:sz="0" w:space="0" w:color="auto"/>
            <w:right w:val="none" w:sz="0" w:space="0" w:color="auto"/>
          </w:divBdr>
        </w:div>
        <w:div w:id="894656935">
          <w:marLeft w:val="0"/>
          <w:marRight w:val="0"/>
          <w:marTop w:val="0"/>
          <w:marBottom w:val="0"/>
          <w:divBdr>
            <w:top w:val="none" w:sz="0" w:space="0" w:color="auto"/>
            <w:left w:val="none" w:sz="0" w:space="0" w:color="auto"/>
            <w:bottom w:val="none" w:sz="0" w:space="0" w:color="auto"/>
            <w:right w:val="none" w:sz="0" w:space="0" w:color="auto"/>
          </w:divBdr>
        </w:div>
      </w:divsChild>
    </w:div>
    <w:div w:id="1467117504">
      <w:bodyDiv w:val="1"/>
      <w:marLeft w:val="0"/>
      <w:marRight w:val="0"/>
      <w:marTop w:val="0"/>
      <w:marBottom w:val="0"/>
      <w:divBdr>
        <w:top w:val="none" w:sz="0" w:space="0" w:color="auto"/>
        <w:left w:val="none" w:sz="0" w:space="0" w:color="auto"/>
        <w:bottom w:val="none" w:sz="0" w:space="0" w:color="auto"/>
        <w:right w:val="none" w:sz="0" w:space="0" w:color="auto"/>
      </w:divBdr>
    </w:div>
    <w:div w:id="1557161170">
      <w:bodyDiv w:val="1"/>
      <w:marLeft w:val="0"/>
      <w:marRight w:val="0"/>
      <w:marTop w:val="0"/>
      <w:marBottom w:val="0"/>
      <w:divBdr>
        <w:top w:val="none" w:sz="0" w:space="0" w:color="auto"/>
        <w:left w:val="none" w:sz="0" w:space="0" w:color="auto"/>
        <w:bottom w:val="none" w:sz="0" w:space="0" w:color="auto"/>
        <w:right w:val="none" w:sz="0" w:space="0" w:color="auto"/>
      </w:divBdr>
    </w:div>
    <w:div w:id="1781802874">
      <w:bodyDiv w:val="1"/>
      <w:marLeft w:val="0"/>
      <w:marRight w:val="0"/>
      <w:marTop w:val="0"/>
      <w:marBottom w:val="0"/>
      <w:divBdr>
        <w:top w:val="none" w:sz="0" w:space="0" w:color="auto"/>
        <w:left w:val="none" w:sz="0" w:space="0" w:color="auto"/>
        <w:bottom w:val="none" w:sz="0" w:space="0" w:color="auto"/>
        <w:right w:val="none" w:sz="0" w:space="0" w:color="auto"/>
      </w:divBdr>
    </w:div>
    <w:div w:id="1823306438">
      <w:bodyDiv w:val="1"/>
      <w:marLeft w:val="0"/>
      <w:marRight w:val="0"/>
      <w:marTop w:val="0"/>
      <w:marBottom w:val="0"/>
      <w:divBdr>
        <w:top w:val="none" w:sz="0" w:space="0" w:color="auto"/>
        <w:left w:val="none" w:sz="0" w:space="0" w:color="auto"/>
        <w:bottom w:val="none" w:sz="0" w:space="0" w:color="auto"/>
        <w:right w:val="none" w:sz="0" w:space="0" w:color="auto"/>
      </w:divBdr>
      <w:divsChild>
        <w:div w:id="437724369">
          <w:marLeft w:val="0"/>
          <w:marRight w:val="0"/>
          <w:marTop w:val="0"/>
          <w:marBottom w:val="0"/>
          <w:divBdr>
            <w:top w:val="none" w:sz="0" w:space="0" w:color="auto"/>
            <w:left w:val="none" w:sz="0" w:space="0" w:color="auto"/>
            <w:bottom w:val="none" w:sz="0" w:space="0" w:color="auto"/>
            <w:right w:val="none" w:sz="0" w:space="0" w:color="auto"/>
          </w:divBdr>
        </w:div>
        <w:div w:id="1714696384">
          <w:marLeft w:val="0"/>
          <w:marRight w:val="0"/>
          <w:marTop w:val="0"/>
          <w:marBottom w:val="0"/>
          <w:divBdr>
            <w:top w:val="none" w:sz="0" w:space="0" w:color="auto"/>
            <w:left w:val="none" w:sz="0" w:space="0" w:color="auto"/>
            <w:bottom w:val="none" w:sz="0" w:space="0" w:color="auto"/>
            <w:right w:val="none" w:sz="0" w:space="0" w:color="auto"/>
          </w:divBdr>
        </w:div>
        <w:div w:id="1097483565">
          <w:marLeft w:val="0"/>
          <w:marRight w:val="0"/>
          <w:marTop w:val="0"/>
          <w:marBottom w:val="0"/>
          <w:divBdr>
            <w:top w:val="none" w:sz="0" w:space="0" w:color="auto"/>
            <w:left w:val="none" w:sz="0" w:space="0" w:color="auto"/>
            <w:bottom w:val="none" w:sz="0" w:space="0" w:color="auto"/>
            <w:right w:val="none" w:sz="0" w:space="0" w:color="auto"/>
          </w:divBdr>
        </w:div>
        <w:div w:id="1714887054">
          <w:marLeft w:val="0"/>
          <w:marRight w:val="0"/>
          <w:marTop w:val="0"/>
          <w:marBottom w:val="0"/>
          <w:divBdr>
            <w:top w:val="none" w:sz="0" w:space="0" w:color="auto"/>
            <w:left w:val="none" w:sz="0" w:space="0" w:color="auto"/>
            <w:bottom w:val="none" w:sz="0" w:space="0" w:color="auto"/>
            <w:right w:val="none" w:sz="0" w:space="0" w:color="auto"/>
          </w:divBdr>
        </w:div>
        <w:div w:id="2091267809">
          <w:marLeft w:val="0"/>
          <w:marRight w:val="0"/>
          <w:marTop w:val="0"/>
          <w:marBottom w:val="0"/>
          <w:divBdr>
            <w:top w:val="none" w:sz="0" w:space="0" w:color="auto"/>
            <w:left w:val="none" w:sz="0" w:space="0" w:color="auto"/>
            <w:bottom w:val="none" w:sz="0" w:space="0" w:color="auto"/>
            <w:right w:val="none" w:sz="0" w:space="0" w:color="auto"/>
          </w:divBdr>
        </w:div>
        <w:div w:id="60638563">
          <w:marLeft w:val="0"/>
          <w:marRight w:val="0"/>
          <w:marTop w:val="0"/>
          <w:marBottom w:val="0"/>
          <w:divBdr>
            <w:top w:val="none" w:sz="0" w:space="0" w:color="auto"/>
            <w:left w:val="none" w:sz="0" w:space="0" w:color="auto"/>
            <w:bottom w:val="none" w:sz="0" w:space="0" w:color="auto"/>
            <w:right w:val="none" w:sz="0" w:space="0" w:color="auto"/>
          </w:divBdr>
        </w:div>
        <w:div w:id="2056925791">
          <w:marLeft w:val="0"/>
          <w:marRight w:val="0"/>
          <w:marTop w:val="0"/>
          <w:marBottom w:val="0"/>
          <w:divBdr>
            <w:top w:val="none" w:sz="0" w:space="0" w:color="auto"/>
            <w:left w:val="none" w:sz="0" w:space="0" w:color="auto"/>
            <w:bottom w:val="none" w:sz="0" w:space="0" w:color="auto"/>
            <w:right w:val="none" w:sz="0" w:space="0" w:color="auto"/>
          </w:divBdr>
        </w:div>
      </w:divsChild>
    </w:div>
    <w:div w:id="197066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1/2025.02.13.25322249" TargetMode="External"/><Relationship Id="rId13" Type="http://schemas.openxmlformats.org/officeDocument/2006/relationships/hyperlink" Target="https://doi.org/10.1038/s41598-017-13056-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s23094439" TargetMode="External"/><Relationship Id="rId12" Type="http://schemas.openxmlformats.org/officeDocument/2006/relationships/hyperlink" Target="https://doi.org/10.1186/s12859-021-04077-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gen.1004969" TargetMode="External"/><Relationship Id="rId5" Type="http://schemas.openxmlformats.org/officeDocument/2006/relationships/footnotes" Target="footnotes.xml"/><Relationship Id="rId15" Type="http://schemas.openxmlformats.org/officeDocument/2006/relationships/hyperlink" Target="https://doi.org/10.3390/genes12070991" TargetMode="External"/><Relationship Id="rId10" Type="http://schemas.openxmlformats.org/officeDocument/2006/relationships/hyperlink" Target="https://dx.doi.org/10.14201/ADCAIJ202091514" TargetMode="External"/><Relationship Id="rId4" Type="http://schemas.openxmlformats.org/officeDocument/2006/relationships/webSettings" Target="webSettings.xml"/><Relationship Id="rId9" Type="http://schemas.openxmlformats.org/officeDocument/2006/relationships/hyperlink" Target="https://doi.org/10.1016/j.ajog.2024.02.299" TargetMode="External"/><Relationship Id="rId14" Type="http://schemas.openxmlformats.org/officeDocument/2006/relationships/hyperlink" Target="https://doi.org/10.3390/genes10110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7</Pages>
  <Words>1512</Words>
  <Characters>8622</Characters>
  <Application>Microsoft Office Word</Application>
  <DocSecurity>0</DocSecurity>
  <Lines>71</Lines>
  <Paragraphs>20</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Shiferaw, Maria</dc:creator>
  <cp:keywords/>
  <dc:description/>
  <cp:lastModifiedBy>Shiferaw, Maria</cp:lastModifiedBy>
  <cp:revision>1</cp:revision>
  <dcterms:created xsi:type="dcterms:W3CDTF">2025-03-29T02:15:00Z</dcterms:created>
  <dcterms:modified xsi:type="dcterms:W3CDTF">2025-03-29T02:24:00Z</dcterms:modified>
</cp:coreProperties>
</file>