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272" w:rsidRDefault="005A1B51">
      <w:pPr>
        <w:jc w:val="center"/>
      </w:pPr>
      <w:r>
        <w:rPr>
          <w:b/>
          <w:color w:val="0F172A"/>
          <w:sz w:val="36"/>
        </w:rPr>
        <w:t>CodeAlpha Task 02</w:t>
      </w:r>
      <w:r>
        <w:rPr>
          <w:b/>
          <w:color w:val="0F172A"/>
          <w:sz w:val="36"/>
        </w:rPr>
        <w:br/>
        <w:t>Cryptocurrency Portfolio Analysis</w:t>
      </w:r>
    </w:p>
    <w:p w:rsidR="00F21272" w:rsidRDefault="005A1B51">
      <w:pPr>
        <w:jc w:val="center"/>
        <w:rPr>
          <w:i/>
        </w:rPr>
      </w:pPr>
      <w:r>
        <w:rPr>
          <w:i/>
        </w:rPr>
        <w:t>Assets: Bitcoin (BTC), Ethereum (ETH), Solana (SOL) | Period: June 2025 to June 2026 | Currency: USD</w:t>
      </w:r>
    </w:p>
    <w:p w:rsidR="004823EA" w:rsidRDefault="004823EA" w:rsidP="004823EA">
      <w:pPr>
        <w:spacing w:after="60" w:line="252" w:lineRule="auto"/>
        <w:jc w:val="center"/>
      </w:pPr>
      <w:r>
        <w:rPr>
          <w:sz w:val="18"/>
        </w:rPr>
        <w:t>Intern Name: Maria Imran      Intern ID: CA/DF1/114610</w:t>
      </w:r>
    </w:p>
    <w:p w:rsidR="004823EA" w:rsidRDefault="004823EA">
      <w:pPr>
        <w:jc w:val="center"/>
      </w:pPr>
      <w:bookmarkStart w:id="0" w:name="_GoBack"/>
      <w:bookmarkEnd w:id="0"/>
    </w:p>
    <w:p w:rsidR="00F21272" w:rsidRDefault="005A1B51">
      <w:pPr>
        <w:pStyle w:val="Heading1"/>
      </w:pPr>
      <w:r>
        <w:t>1. Executive Summary</w:t>
      </w:r>
    </w:p>
    <w:p w:rsidR="00F21272" w:rsidRDefault="005A1B51">
      <w:r>
        <w:t xml:space="preserve">This report analyzes the 12-month performance and risk profile of three major </w:t>
      </w:r>
      <w:r>
        <w:t xml:space="preserve">cryptocurrencies: Bitcoin (BTC), Ethereum (ETH), and Solana (SOL). The analysis is based on monthly price history from June 2025 to June 2026, supported by current market data snapshots from CoinGecko/CoinMarketCap and recent market news. All three assets </w:t>
      </w:r>
      <w:r>
        <w:t>produced negative 12-month returns during the period. BTC declined by 41.0%, ETH declined by 32.4%, and SOL declined by 58.3%. Among the three, ETH had the highest annualized monthly volatility, while SOL had the deepest drawdown. Therefore, a conservative</w:t>
      </w:r>
      <w:r>
        <w:t xml:space="preserve"> educational crypto allocation is suggested: 60% BTC, 30% ETH, and 10% SOL.</w:t>
      </w:r>
    </w:p>
    <w:p w:rsidR="00F21272" w:rsidRDefault="005A1B51">
      <w:pPr>
        <w:pStyle w:val="Heading1"/>
      </w:pPr>
      <w:r>
        <w:t>2. Data and Methodology</w:t>
      </w:r>
    </w:p>
    <w:p w:rsidR="00F21272" w:rsidRDefault="005A1B51">
      <w:r>
        <w:t>Monthly price data was used to calculate return, annualized volatility, maximum drawdown, best month, and worst month. The 12-month return was calculated as</w:t>
      </w:r>
      <w:r>
        <w:t xml:space="preserve"> ending price divided by starting price minus one. Annualized volatility was calculated from monthly returns using the formula: monthly standard deviation x square root of 12. Maximum drawdown measures the largest fall from a previous monthly high to a lat</w:t>
      </w:r>
      <w:r>
        <w:t>er monthly low. Live market prices may change after this report date, so the Excel/Google Sheet should be refreshed before final presentation.</w:t>
      </w:r>
    </w:p>
    <w:p w:rsidR="00F21272" w:rsidRDefault="005A1B51">
      <w:pPr>
        <w:pStyle w:val="Heading1"/>
      </w:pPr>
      <w:r>
        <w:t>3. Current Market Snapshot</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F21272">
        <w:trPr>
          <w:jc w:val="center"/>
        </w:trPr>
        <w:tc>
          <w:tcPr>
            <w:tcW w:w="2074" w:type="dxa"/>
            <w:shd w:val="clear" w:color="auto" w:fill="1D4ED8"/>
            <w:vAlign w:val="center"/>
          </w:tcPr>
          <w:p w:rsidR="00F21272" w:rsidRDefault="005A1B51">
            <w:r>
              <w:rPr>
                <w:b/>
                <w:color w:val="FFFFFF"/>
                <w:sz w:val="17"/>
              </w:rPr>
              <w:t>Asset</w:t>
            </w:r>
          </w:p>
        </w:tc>
        <w:tc>
          <w:tcPr>
            <w:tcW w:w="2074" w:type="dxa"/>
            <w:shd w:val="clear" w:color="auto" w:fill="1D4ED8"/>
            <w:vAlign w:val="center"/>
          </w:tcPr>
          <w:p w:rsidR="00F21272" w:rsidRDefault="005A1B51">
            <w:r>
              <w:rPr>
                <w:b/>
                <w:color w:val="FFFFFF"/>
                <w:sz w:val="17"/>
              </w:rPr>
              <w:t>Live Price</w:t>
            </w:r>
          </w:p>
        </w:tc>
        <w:tc>
          <w:tcPr>
            <w:tcW w:w="2074" w:type="dxa"/>
            <w:shd w:val="clear" w:color="auto" w:fill="1D4ED8"/>
            <w:vAlign w:val="center"/>
          </w:tcPr>
          <w:p w:rsidR="00F21272" w:rsidRDefault="005A1B51">
            <w:r>
              <w:rPr>
                <w:b/>
                <w:color w:val="FFFFFF"/>
                <w:sz w:val="17"/>
              </w:rPr>
              <w:t>Market Cap</w:t>
            </w:r>
          </w:p>
        </w:tc>
        <w:tc>
          <w:tcPr>
            <w:tcW w:w="2074" w:type="dxa"/>
            <w:shd w:val="clear" w:color="auto" w:fill="1D4ED8"/>
            <w:vAlign w:val="center"/>
          </w:tcPr>
          <w:p w:rsidR="00F21272" w:rsidRDefault="005A1B51">
            <w:r>
              <w:rPr>
                <w:b/>
                <w:color w:val="FFFFFF"/>
                <w:sz w:val="17"/>
              </w:rPr>
              <w:t>24h Volume</w:t>
            </w:r>
          </w:p>
        </w:tc>
        <w:tc>
          <w:tcPr>
            <w:tcW w:w="2074" w:type="dxa"/>
            <w:shd w:val="clear" w:color="auto" w:fill="1D4ED8"/>
            <w:vAlign w:val="center"/>
          </w:tcPr>
          <w:p w:rsidR="00F21272" w:rsidRDefault="005A1B51">
            <w:r>
              <w:rPr>
                <w:b/>
                <w:color w:val="FFFFFF"/>
                <w:sz w:val="17"/>
              </w:rPr>
              <w:t>Current Context</w:t>
            </w:r>
          </w:p>
        </w:tc>
      </w:tr>
      <w:tr w:rsidR="00F21272">
        <w:trPr>
          <w:jc w:val="center"/>
        </w:trPr>
        <w:tc>
          <w:tcPr>
            <w:tcW w:w="2074" w:type="dxa"/>
            <w:shd w:val="clear" w:color="auto" w:fill="F8FAFC"/>
            <w:vAlign w:val="center"/>
          </w:tcPr>
          <w:p w:rsidR="00F21272" w:rsidRDefault="005A1B51">
            <w:r>
              <w:rPr>
                <w:sz w:val="17"/>
              </w:rPr>
              <w:t>BTC</w:t>
            </w:r>
          </w:p>
        </w:tc>
        <w:tc>
          <w:tcPr>
            <w:tcW w:w="2074" w:type="dxa"/>
            <w:shd w:val="clear" w:color="auto" w:fill="F8FAFC"/>
            <w:vAlign w:val="center"/>
          </w:tcPr>
          <w:p w:rsidR="00F21272" w:rsidRDefault="005A1B51">
            <w:r>
              <w:rPr>
                <w:sz w:val="17"/>
              </w:rPr>
              <w:t>$63,255.50</w:t>
            </w:r>
          </w:p>
        </w:tc>
        <w:tc>
          <w:tcPr>
            <w:tcW w:w="2074" w:type="dxa"/>
            <w:shd w:val="clear" w:color="auto" w:fill="F8FAFC"/>
            <w:vAlign w:val="center"/>
          </w:tcPr>
          <w:p w:rsidR="00F21272" w:rsidRDefault="005A1B51">
            <w:r>
              <w:rPr>
                <w:sz w:val="17"/>
              </w:rPr>
              <w:t>$1.27T</w:t>
            </w:r>
          </w:p>
        </w:tc>
        <w:tc>
          <w:tcPr>
            <w:tcW w:w="2074" w:type="dxa"/>
            <w:shd w:val="clear" w:color="auto" w:fill="F8FAFC"/>
            <w:vAlign w:val="center"/>
          </w:tcPr>
          <w:p w:rsidR="00F21272" w:rsidRDefault="005A1B51">
            <w:r>
              <w:rPr>
                <w:sz w:val="17"/>
              </w:rPr>
              <w:t>$37.02B</w:t>
            </w:r>
          </w:p>
        </w:tc>
        <w:tc>
          <w:tcPr>
            <w:tcW w:w="2074" w:type="dxa"/>
            <w:shd w:val="clear" w:color="auto" w:fill="F8FAFC"/>
            <w:vAlign w:val="center"/>
          </w:tcPr>
          <w:p w:rsidR="00F21272" w:rsidRDefault="005A1B51">
            <w:r>
              <w:rPr>
                <w:sz w:val="17"/>
              </w:rPr>
              <w:t>Largest cryptocurrency by market value; high liquidity.</w:t>
            </w:r>
          </w:p>
        </w:tc>
      </w:tr>
      <w:tr w:rsidR="00F21272">
        <w:trPr>
          <w:jc w:val="center"/>
        </w:trPr>
        <w:tc>
          <w:tcPr>
            <w:tcW w:w="2074" w:type="dxa"/>
            <w:vAlign w:val="center"/>
          </w:tcPr>
          <w:p w:rsidR="00F21272" w:rsidRDefault="005A1B51">
            <w:r>
              <w:rPr>
                <w:sz w:val="17"/>
              </w:rPr>
              <w:t>ETH</w:t>
            </w:r>
          </w:p>
        </w:tc>
        <w:tc>
          <w:tcPr>
            <w:tcW w:w="2074" w:type="dxa"/>
            <w:vAlign w:val="center"/>
          </w:tcPr>
          <w:p w:rsidR="00F21272" w:rsidRDefault="005A1B51">
            <w:r>
              <w:rPr>
                <w:sz w:val="17"/>
              </w:rPr>
              <w:t>$1,673.79</w:t>
            </w:r>
          </w:p>
        </w:tc>
        <w:tc>
          <w:tcPr>
            <w:tcW w:w="2074" w:type="dxa"/>
            <w:vAlign w:val="center"/>
          </w:tcPr>
          <w:p w:rsidR="00F21272" w:rsidRDefault="005A1B51">
            <w:r>
              <w:rPr>
                <w:sz w:val="17"/>
              </w:rPr>
              <w:t>$202.08B</w:t>
            </w:r>
          </w:p>
        </w:tc>
        <w:tc>
          <w:tcPr>
            <w:tcW w:w="2074" w:type="dxa"/>
            <w:vAlign w:val="center"/>
          </w:tcPr>
          <w:p w:rsidR="00F21272" w:rsidRDefault="005A1B51">
            <w:r>
              <w:rPr>
                <w:sz w:val="17"/>
              </w:rPr>
              <w:t>$17.02B</w:t>
            </w:r>
          </w:p>
        </w:tc>
        <w:tc>
          <w:tcPr>
            <w:tcW w:w="2074" w:type="dxa"/>
            <w:vAlign w:val="center"/>
          </w:tcPr>
          <w:p w:rsidR="00F21272" w:rsidRDefault="005A1B51">
            <w:r>
              <w:rPr>
                <w:sz w:val="17"/>
              </w:rPr>
              <w:t>Second-largest crypto; smart-contract and DeFi ecosystem exposure.</w:t>
            </w:r>
          </w:p>
        </w:tc>
      </w:tr>
      <w:tr w:rsidR="00F21272">
        <w:trPr>
          <w:jc w:val="center"/>
        </w:trPr>
        <w:tc>
          <w:tcPr>
            <w:tcW w:w="2074" w:type="dxa"/>
            <w:shd w:val="clear" w:color="auto" w:fill="F8FAFC"/>
            <w:vAlign w:val="center"/>
          </w:tcPr>
          <w:p w:rsidR="00F21272" w:rsidRDefault="005A1B51">
            <w:r>
              <w:rPr>
                <w:sz w:val="17"/>
              </w:rPr>
              <w:t>SOL</w:t>
            </w:r>
          </w:p>
        </w:tc>
        <w:tc>
          <w:tcPr>
            <w:tcW w:w="2074" w:type="dxa"/>
            <w:shd w:val="clear" w:color="auto" w:fill="F8FAFC"/>
            <w:vAlign w:val="center"/>
          </w:tcPr>
          <w:p w:rsidR="00F21272" w:rsidRDefault="005A1B51">
            <w:r>
              <w:rPr>
                <w:sz w:val="17"/>
              </w:rPr>
              <w:t>$65.85</w:t>
            </w:r>
          </w:p>
        </w:tc>
        <w:tc>
          <w:tcPr>
            <w:tcW w:w="2074" w:type="dxa"/>
            <w:shd w:val="clear" w:color="auto" w:fill="F8FAFC"/>
            <w:vAlign w:val="center"/>
          </w:tcPr>
          <w:p w:rsidR="00F21272" w:rsidRDefault="005A1B51">
            <w:r>
              <w:rPr>
                <w:sz w:val="17"/>
              </w:rPr>
              <w:t>$38.15B</w:t>
            </w:r>
          </w:p>
        </w:tc>
        <w:tc>
          <w:tcPr>
            <w:tcW w:w="2074" w:type="dxa"/>
            <w:shd w:val="clear" w:color="auto" w:fill="F8FAFC"/>
            <w:vAlign w:val="center"/>
          </w:tcPr>
          <w:p w:rsidR="00F21272" w:rsidRDefault="005A1B51">
            <w:r>
              <w:rPr>
                <w:sz w:val="17"/>
              </w:rPr>
              <w:t>$3.10B</w:t>
            </w:r>
          </w:p>
        </w:tc>
        <w:tc>
          <w:tcPr>
            <w:tcW w:w="2074" w:type="dxa"/>
            <w:shd w:val="clear" w:color="auto" w:fill="F8FAFC"/>
            <w:vAlign w:val="center"/>
          </w:tcPr>
          <w:p w:rsidR="00F21272" w:rsidRDefault="005A1B51">
            <w:r>
              <w:rPr>
                <w:sz w:val="17"/>
              </w:rPr>
              <w:t>Layer-1 network; higher-risk growth exposure in this sample.</w:t>
            </w:r>
          </w:p>
        </w:tc>
      </w:tr>
    </w:tbl>
    <w:p w:rsidR="00F21272" w:rsidRDefault="005A1B51">
      <w:r>
        <w:t xml:space="preserve">Note: </w:t>
      </w:r>
      <w:r>
        <w:t>Current market figures are live-source snapshots and can change throughout the trading day.</w:t>
      </w:r>
    </w:p>
    <w:p w:rsidR="00F21272" w:rsidRDefault="005A1B51">
      <w:pPr>
        <w:pStyle w:val="Heading1"/>
      </w:pPr>
      <w:r>
        <w:t>4. Performance and Risk Analysis</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gridCol w:w="1296"/>
      </w:tblGrid>
      <w:tr w:rsidR="00F21272">
        <w:trPr>
          <w:jc w:val="center"/>
        </w:trPr>
        <w:tc>
          <w:tcPr>
            <w:tcW w:w="1296" w:type="dxa"/>
            <w:shd w:val="clear" w:color="auto" w:fill="1D4ED8"/>
            <w:vAlign w:val="center"/>
          </w:tcPr>
          <w:p w:rsidR="00F21272" w:rsidRDefault="005A1B51">
            <w:r>
              <w:rPr>
                <w:b/>
                <w:color w:val="FFFFFF"/>
                <w:sz w:val="16"/>
              </w:rPr>
              <w:t>Asset</w:t>
            </w:r>
          </w:p>
        </w:tc>
        <w:tc>
          <w:tcPr>
            <w:tcW w:w="1296" w:type="dxa"/>
            <w:shd w:val="clear" w:color="auto" w:fill="1D4ED8"/>
            <w:vAlign w:val="center"/>
          </w:tcPr>
          <w:p w:rsidR="00F21272" w:rsidRDefault="005A1B51">
            <w:r>
              <w:rPr>
                <w:b/>
                <w:color w:val="FFFFFF"/>
                <w:sz w:val="16"/>
              </w:rPr>
              <w:t>Start Price</w:t>
            </w:r>
          </w:p>
        </w:tc>
        <w:tc>
          <w:tcPr>
            <w:tcW w:w="1296" w:type="dxa"/>
            <w:shd w:val="clear" w:color="auto" w:fill="1D4ED8"/>
            <w:vAlign w:val="center"/>
          </w:tcPr>
          <w:p w:rsidR="00F21272" w:rsidRDefault="005A1B51">
            <w:r>
              <w:rPr>
                <w:b/>
                <w:color w:val="FFFFFF"/>
                <w:sz w:val="16"/>
              </w:rPr>
              <w:t>End Price</w:t>
            </w:r>
          </w:p>
        </w:tc>
        <w:tc>
          <w:tcPr>
            <w:tcW w:w="1296" w:type="dxa"/>
            <w:shd w:val="clear" w:color="auto" w:fill="1D4ED8"/>
            <w:vAlign w:val="center"/>
          </w:tcPr>
          <w:p w:rsidR="00F21272" w:rsidRDefault="005A1B51">
            <w:r>
              <w:rPr>
                <w:b/>
                <w:color w:val="FFFFFF"/>
                <w:sz w:val="16"/>
              </w:rPr>
              <w:t>12M Return</w:t>
            </w:r>
          </w:p>
        </w:tc>
        <w:tc>
          <w:tcPr>
            <w:tcW w:w="1296" w:type="dxa"/>
            <w:shd w:val="clear" w:color="auto" w:fill="1D4ED8"/>
            <w:vAlign w:val="center"/>
          </w:tcPr>
          <w:p w:rsidR="00F21272" w:rsidRDefault="005A1B51">
            <w:r>
              <w:rPr>
                <w:b/>
                <w:color w:val="FFFFFF"/>
                <w:sz w:val="16"/>
              </w:rPr>
              <w:t>Ann. Volatility</w:t>
            </w:r>
          </w:p>
        </w:tc>
        <w:tc>
          <w:tcPr>
            <w:tcW w:w="1296" w:type="dxa"/>
            <w:shd w:val="clear" w:color="auto" w:fill="1D4ED8"/>
            <w:vAlign w:val="center"/>
          </w:tcPr>
          <w:p w:rsidR="00F21272" w:rsidRDefault="005A1B51">
            <w:r>
              <w:rPr>
                <w:b/>
                <w:color w:val="FFFFFF"/>
                <w:sz w:val="16"/>
              </w:rPr>
              <w:t>Max Drawdown</w:t>
            </w:r>
          </w:p>
        </w:tc>
        <w:tc>
          <w:tcPr>
            <w:tcW w:w="1296" w:type="dxa"/>
            <w:shd w:val="clear" w:color="auto" w:fill="1D4ED8"/>
            <w:vAlign w:val="center"/>
          </w:tcPr>
          <w:p w:rsidR="00F21272" w:rsidRDefault="005A1B51">
            <w:r>
              <w:rPr>
                <w:b/>
                <w:color w:val="FFFFFF"/>
                <w:sz w:val="16"/>
              </w:rPr>
              <w:t>Worst Month</w:t>
            </w:r>
          </w:p>
        </w:tc>
        <w:tc>
          <w:tcPr>
            <w:tcW w:w="1296" w:type="dxa"/>
            <w:shd w:val="clear" w:color="auto" w:fill="1D4ED8"/>
            <w:vAlign w:val="center"/>
          </w:tcPr>
          <w:p w:rsidR="00F21272" w:rsidRDefault="005A1B51">
            <w:r>
              <w:rPr>
                <w:b/>
                <w:color w:val="FFFFFF"/>
                <w:sz w:val="16"/>
              </w:rPr>
              <w:t>Risk Rating</w:t>
            </w:r>
          </w:p>
        </w:tc>
      </w:tr>
      <w:tr w:rsidR="00F21272">
        <w:trPr>
          <w:jc w:val="center"/>
        </w:trPr>
        <w:tc>
          <w:tcPr>
            <w:tcW w:w="1296" w:type="dxa"/>
            <w:shd w:val="clear" w:color="auto" w:fill="F8FAFC"/>
            <w:vAlign w:val="center"/>
          </w:tcPr>
          <w:p w:rsidR="00F21272" w:rsidRDefault="005A1B51">
            <w:r>
              <w:rPr>
                <w:b/>
                <w:sz w:val="16"/>
              </w:rPr>
              <w:t>BTC</w:t>
            </w:r>
          </w:p>
        </w:tc>
        <w:tc>
          <w:tcPr>
            <w:tcW w:w="1296" w:type="dxa"/>
            <w:shd w:val="clear" w:color="auto" w:fill="F8FAFC"/>
            <w:vAlign w:val="center"/>
          </w:tcPr>
          <w:p w:rsidR="00F21272" w:rsidRDefault="005A1B51">
            <w:r>
              <w:rPr>
                <w:sz w:val="16"/>
              </w:rPr>
              <w:t>$107,135.34</w:t>
            </w:r>
          </w:p>
        </w:tc>
        <w:tc>
          <w:tcPr>
            <w:tcW w:w="1296" w:type="dxa"/>
            <w:shd w:val="clear" w:color="auto" w:fill="F8FAFC"/>
            <w:vAlign w:val="center"/>
          </w:tcPr>
          <w:p w:rsidR="00F21272" w:rsidRDefault="005A1B51">
            <w:r>
              <w:rPr>
                <w:sz w:val="16"/>
              </w:rPr>
              <w:t>$63,156.45</w:t>
            </w:r>
          </w:p>
        </w:tc>
        <w:tc>
          <w:tcPr>
            <w:tcW w:w="1296" w:type="dxa"/>
            <w:shd w:val="clear" w:color="auto" w:fill="F8FAFC"/>
            <w:vAlign w:val="center"/>
          </w:tcPr>
          <w:p w:rsidR="00F21272" w:rsidRDefault="005A1B51">
            <w:r>
              <w:rPr>
                <w:sz w:val="16"/>
              </w:rPr>
              <w:t>-41.0%</w:t>
            </w:r>
          </w:p>
        </w:tc>
        <w:tc>
          <w:tcPr>
            <w:tcW w:w="1296" w:type="dxa"/>
            <w:shd w:val="clear" w:color="auto" w:fill="F8FAFC"/>
            <w:vAlign w:val="center"/>
          </w:tcPr>
          <w:p w:rsidR="00F21272" w:rsidRDefault="005A1B51">
            <w:r>
              <w:rPr>
                <w:sz w:val="16"/>
              </w:rPr>
              <w:t>32.4%</w:t>
            </w:r>
          </w:p>
        </w:tc>
        <w:tc>
          <w:tcPr>
            <w:tcW w:w="1296" w:type="dxa"/>
            <w:shd w:val="clear" w:color="auto" w:fill="F8FAFC"/>
            <w:vAlign w:val="center"/>
          </w:tcPr>
          <w:p w:rsidR="00F21272" w:rsidRDefault="005A1B51">
            <w:r>
              <w:rPr>
                <w:sz w:val="16"/>
              </w:rPr>
              <w:t>-45.4%</w:t>
            </w:r>
          </w:p>
        </w:tc>
        <w:tc>
          <w:tcPr>
            <w:tcW w:w="1296" w:type="dxa"/>
            <w:shd w:val="clear" w:color="auto" w:fill="F8FAFC"/>
            <w:vAlign w:val="center"/>
          </w:tcPr>
          <w:p w:rsidR="00F21272" w:rsidRDefault="005A1B51">
            <w:r>
              <w:rPr>
                <w:sz w:val="16"/>
              </w:rPr>
              <w:t>-17.5%</w:t>
            </w:r>
          </w:p>
        </w:tc>
        <w:tc>
          <w:tcPr>
            <w:tcW w:w="1296" w:type="dxa"/>
            <w:shd w:val="clear" w:color="auto" w:fill="F8FAFC"/>
            <w:vAlign w:val="center"/>
          </w:tcPr>
          <w:p w:rsidR="00F21272" w:rsidRDefault="005A1B51">
            <w:r>
              <w:rPr>
                <w:sz w:val="16"/>
              </w:rPr>
              <w:t>High</w:t>
            </w:r>
          </w:p>
        </w:tc>
      </w:tr>
      <w:tr w:rsidR="00F21272">
        <w:trPr>
          <w:jc w:val="center"/>
        </w:trPr>
        <w:tc>
          <w:tcPr>
            <w:tcW w:w="1296" w:type="dxa"/>
            <w:vAlign w:val="center"/>
          </w:tcPr>
          <w:p w:rsidR="00F21272" w:rsidRDefault="005A1B51">
            <w:r>
              <w:rPr>
                <w:b/>
                <w:sz w:val="16"/>
              </w:rPr>
              <w:t>ETH</w:t>
            </w:r>
          </w:p>
        </w:tc>
        <w:tc>
          <w:tcPr>
            <w:tcW w:w="1296" w:type="dxa"/>
            <w:vAlign w:val="center"/>
          </w:tcPr>
          <w:p w:rsidR="00F21272" w:rsidRDefault="005A1B51">
            <w:r>
              <w:rPr>
                <w:sz w:val="16"/>
              </w:rPr>
              <w:t>$2,486.46</w:t>
            </w:r>
          </w:p>
        </w:tc>
        <w:tc>
          <w:tcPr>
            <w:tcW w:w="1296" w:type="dxa"/>
            <w:vAlign w:val="center"/>
          </w:tcPr>
          <w:p w:rsidR="00F21272" w:rsidRDefault="005A1B51">
            <w:r>
              <w:rPr>
                <w:sz w:val="16"/>
              </w:rPr>
              <w:t>$1,680.79</w:t>
            </w:r>
          </w:p>
        </w:tc>
        <w:tc>
          <w:tcPr>
            <w:tcW w:w="1296" w:type="dxa"/>
            <w:vAlign w:val="center"/>
          </w:tcPr>
          <w:p w:rsidR="00F21272" w:rsidRDefault="005A1B51">
            <w:r>
              <w:rPr>
                <w:sz w:val="16"/>
              </w:rPr>
              <w:t>-32.4%</w:t>
            </w:r>
          </w:p>
        </w:tc>
        <w:tc>
          <w:tcPr>
            <w:tcW w:w="1296" w:type="dxa"/>
            <w:vAlign w:val="center"/>
          </w:tcPr>
          <w:p w:rsidR="00F21272" w:rsidRDefault="005A1B51">
            <w:r>
              <w:rPr>
                <w:sz w:val="16"/>
              </w:rPr>
              <w:t>69.7%</w:t>
            </w:r>
          </w:p>
        </w:tc>
        <w:tc>
          <w:tcPr>
            <w:tcW w:w="1296" w:type="dxa"/>
            <w:vAlign w:val="center"/>
          </w:tcPr>
          <w:p w:rsidR="00F21272" w:rsidRDefault="005A1B51">
            <w:r>
              <w:rPr>
                <w:sz w:val="16"/>
              </w:rPr>
              <w:t>-61.7%</w:t>
            </w:r>
          </w:p>
        </w:tc>
        <w:tc>
          <w:tcPr>
            <w:tcW w:w="1296" w:type="dxa"/>
            <w:vAlign w:val="center"/>
          </w:tcPr>
          <w:p w:rsidR="00F21272" w:rsidRDefault="005A1B51">
            <w:r>
              <w:rPr>
                <w:sz w:val="16"/>
              </w:rPr>
              <w:t>-22.2%</w:t>
            </w:r>
          </w:p>
        </w:tc>
        <w:tc>
          <w:tcPr>
            <w:tcW w:w="1296" w:type="dxa"/>
            <w:vAlign w:val="center"/>
          </w:tcPr>
          <w:p w:rsidR="00F21272" w:rsidRDefault="005A1B51">
            <w:r>
              <w:rPr>
                <w:sz w:val="16"/>
              </w:rPr>
              <w:t>High</w:t>
            </w:r>
          </w:p>
        </w:tc>
      </w:tr>
      <w:tr w:rsidR="00F21272">
        <w:trPr>
          <w:jc w:val="center"/>
        </w:trPr>
        <w:tc>
          <w:tcPr>
            <w:tcW w:w="1296" w:type="dxa"/>
            <w:shd w:val="clear" w:color="auto" w:fill="F8FAFC"/>
            <w:vAlign w:val="center"/>
          </w:tcPr>
          <w:p w:rsidR="00F21272" w:rsidRDefault="005A1B51">
            <w:r>
              <w:rPr>
                <w:b/>
                <w:sz w:val="16"/>
              </w:rPr>
              <w:t>SOL</w:t>
            </w:r>
          </w:p>
        </w:tc>
        <w:tc>
          <w:tcPr>
            <w:tcW w:w="1296" w:type="dxa"/>
            <w:shd w:val="clear" w:color="auto" w:fill="F8FAFC"/>
            <w:vAlign w:val="center"/>
          </w:tcPr>
          <w:p w:rsidR="00F21272" w:rsidRDefault="005A1B51">
            <w:r>
              <w:rPr>
                <w:sz w:val="16"/>
              </w:rPr>
              <w:t>$154.74</w:t>
            </w:r>
          </w:p>
        </w:tc>
        <w:tc>
          <w:tcPr>
            <w:tcW w:w="1296" w:type="dxa"/>
            <w:shd w:val="clear" w:color="auto" w:fill="F8FAFC"/>
            <w:vAlign w:val="center"/>
          </w:tcPr>
          <w:p w:rsidR="00F21272" w:rsidRDefault="005A1B51">
            <w:r>
              <w:rPr>
                <w:sz w:val="16"/>
              </w:rPr>
              <w:t>$64.54</w:t>
            </w:r>
          </w:p>
        </w:tc>
        <w:tc>
          <w:tcPr>
            <w:tcW w:w="1296" w:type="dxa"/>
            <w:shd w:val="clear" w:color="auto" w:fill="F8FAFC"/>
            <w:vAlign w:val="center"/>
          </w:tcPr>
          <w:p w:rsidR="00F21272" w:rsidRDefault="005A1B51">
            <w:r>
              <w:rPr>
                <w:sz w:val="16"/>
              </w:rPr>
              <w:t>-58.3%</w:t>
            </w:r>
          </w:p>
        </w:tc>
        <w:tc>
          <w:tcPr>
            <w:tcW w:w="1296" w:type="dxa"/>
            <w:shd w:val="clear" w:color="auto" w:fill="F8FAFC"/>
            <w:vAlign w:val="center"/>
          </w:tcPr>
          <w:p w:rsidR="00F21272" w:rsidRDefault="005A1B51">
            <w:r>
              <w:rPr>
                <w:sz w:val="16"/>
              </w:rPr>
              <w:t>46.8%</w:t>
            </w:r>
          </w:p>
        </w:tc>
        <w:tc>
          <w:tcPr>
            <w:tcW w:w="1296" w:type="dxa"/>
            <w:shd w:val="clear" w:color="auto" w:fill="F8FAFC"/>
            <w:vAlign w:val="center"/>
          </w:tcPr>
          <w:p w:rsidR="00F21272" w:rsidRDefault="005A1B51">
            <w:r>
              <w:rPr>
                <w:sz w:val="16"/>
              </w:rPr>
              <w:t>-69.1%</w:t>
            </w:r>
          </w:p>
        </w:tc>
        <w:tc>
          <w:tcPr>
            <w:tcW w:w="1296" w:type="dxa"/>
            <w:shd w:val="clear" w:color="auto" w:fill="F8FAFC"/>
            <w:vAlign w:val="center"/>
          </w:tcPr>
          <w:p w:rsidR="00F21272" w:rsidRDefault="005A1B51">
            <w:r>
              <w:rPr>
                <w:sz w:val="16"/>
              </w:rPr>
              <w:t>-28.7%</w:t>
            </w:r>
          </w:p>
        </w:tc>
        <w:tc>
          <w:tcPr>
            <w:tcW w:w="1296" w:type="dxa"/>
            <w:shd w:val="clear" w:color="auto" w:fill="F8FAFC"/>
            <w:vAlign w:val="center"/>
          </w:tcPr>
          <w:p w:rsidR="00F21272" w:rsidRDefault="005A1B51">
            <w:r>
              <w:rPr>
                <w:sz w:val="16"/>
              </w:rPr>
              <w:t>Very High</w:t>
            </w:r>
          </w:p>
        </w:tc>
      </w:tr>
    </w:tbl>
    <w:p w:rsidR="00F21272" w:rsidRDefault="005A1B51">
      <w:pPr>
        <w:jc w:val="center"/>
      </w:pPr>
      <w:r>
        <w:rPr>
          <w:noProof/>
        </w:rPr>
        <w:lastRenderedPageBreak/>
        <w:drawing>
          <wp:inline distT="0" distB="0" distL="0" distR="0">
            <wp:extent cx="621792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ed_trend.png"/>
                    <pic:cNvPicPr/>
                  </pic:nvPicPr>
                  <pic:blipFill>
                    <a:blip r:embed="rId8"/>
                    <a:stretch>
                      <a:fillRect/>
                    </a:stretch>
                  </pic:blipFill>
                  <pic:spPr>
                    <a:xfrm>
                      <a:off x="0" y="0"/>
                      <a:ext cx="6217920" cy="3072384"/>
                    </a:xfrm>
                    <a:prstGeom prst="rect">
                      <a:avLst/>
                    </a:prstGeom>
                  </pic:spPr>
                </pic:pic>
              </a:graphicData>
            </a:graphic>
          </wp:inline>
        </w:drawing>
      </w:r>
    </w:p>
    <w:p w:rsidR="00F21272" w:rsidRDefault="005A1B51">
      <w:pPr>
        <w:pStyle w:val="Heading1"/>
      </w:pPr>
      <w:r>
        <w:t>5. Asset-wise Interpretation</w:t>
      </w:r>
    </w:p>
    <w:p w:rsidR="00F21272" w:rsidRDefault="005A1B51">
      <w:r>
        <w:rPr>
          <w:b/>
        </w:rPr>
        <w:t xml:space="preserve">Bitcoin (BTC): </w:t>
      </w:r>
      <w:r>
        <w:t xml:space="preserve">BTC remained the core asset in the sample because it has the largest </w:t>
      </w:r>
      <w:r>
        <w:t xml:space="preserve">market capitalization and strongest liquidity profile. However, its 12-month return was negative, showing that even the largest cryptocurrency can suffer a major correction. BTC is suitable as the main crypto allocation in an educational portfolio, but it </w:t>
      </w:r>
      <w:r>
        <w:t>still carries high risk.</w:t>
      </w:r>
    </w:p>
    <w:p w:rsidR="00F21272" w:rsidRDefault="005A1B51">
      <w:r>
        <w:rPr>
          <w:b/>
        </w:rPr>
        <w:t xml:space="preserve">Ethereum (ETH): </w:t>
      </w:r>
      <w:r>
        <w:t>ETH showed strong upside during mid-2025 but later fell sharply. Its annualized volatility was the highest in this sample, which means price swings were larger relative to BTC and SOL over the monthly dataset. ETH r</w:t>
      </w:r>
      <w:r>
        <w:t>emains important because of smart contracts, decentralized applications, and DeFi activity, but its price is sensitive to network demand and broader crypto risk sentiment.</w:t>
      </w:r>
    </w:p>
    <w:p w:rsidR="00F21272" w:rsidRDefault="005A1B51">
      <w:r>
        <w:rPr>
          <w:b/>
        </w:rPr>
        <w:t xml:space="preserve">Solana (SOL): </w:t>
      </w:r>
      <w:r>
        <w:t>SOL had the weakest 12-month performance and the largest drawdown amon</w:t>
      </w:r>
      <w:r>
        <w:t>g the three assets. The asset can provide growth exposure, but its risk is very high. For this reason, SOL should receive the smallest allocation in the recommended sample crypto portfolio.</w:t>
      </w:r>
    </w:p>
    <w:p w:rsidR="00F21272" w:rsidRDefault="005A1B51">
      <w:pPr>
        <w:jc w:val="center"/>
      </w:pPr>
      <w:r>
        <w:rPr>
          <w:noProof/>
        </w:rPr>
        <w:drawing>
          <wp:inline distT="0" distB="0" distL="0" distR="0">
            <wp:extent cx="5303520" cy="3100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s_bar.png"/>
                    <pic:cNvPicPr/>
                  </pic:nvPicPr>
                  <pic:blipFill>
                    <a:blip r:embed="rId9"/>
                    <a:stretch>
                      <a:fillRect/>
                    </a:stretch>
                  </pic:blipFill>
                  <pic:spPr>
                    <a:xfrm>
                      <a:off x="0" y="0"/>
                      <a:ext cx="5303520" cy="3100519"/>
                    </a:xfrm>
                    <a:prstGeom prst="rect">
                      <a:avLst/>
                    </a:prstGeom>
                  </pic:spPr>
                </pic:pic>
              </a:graphicData>
            </a:graphic>
          </wp:inline>
        </w:drawing>
      </w:r>
    </w:p>
    <w:p w:rsidR="00F21272" w:rsidRDefault="005A1B51">
      <w:pPr>
        <w:jc w:val="center"/>
      </w:pPr>
      <w:r>
        <w:rPr>
          <w:noProof/>
        </w:rPr>
        <w:lastRenderedPageBreak/>
        <w:drawing>
          <wp:inline distT="0" distB="0" distL="0" distR="0">
            <wp:extent cx="5303520" cy="3030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etrics.png"/>
                    <pic:cNvPicPr/>
                  </pic:nvPicPr>
                  <pic:blipFill>
                    <a:blip r:embed="rId10"/>
                    <a:stretch>
                      <a:fillRect/>
                    </a:stretch>
                  </pic:blipFill>
                  <pic:spPr>
                    <a:xfrm>
                      <a:off x="0" y="0"/>
                      <a:ext cx="5303520" cy="3030583"/>
                    </a:xfrm>
                    <a:prstGeom prst="rect">
                      <a:avLst/>
                    </a:prstGeom>
                  </pic:spPr>
                </pic:pic>
              </a:graphicData>
            </a:graphic>
          </wp:inline>
        </w:drawing>
      </w:r>
    </w:p>
    <w:p w:rsidR="00F21272" w:rsidRDefault="005A1B51">
      <w:pPr>
        <w:pStyle w:val="Heading1"/>
      </w:pPr>
      <w:r>
        <w:t>6. Portfolio Insights and Recommendations</w:t>
      </w:r>
    </w:p>
    <w:tbl>
      <w:tblPr>
        <w:tblStyle w:val="TableGrid"/>
        <w:tblW w:w="0" w:type="auto"/>
        <w:jc w:val="center"/>
        <w:tblLook w:val="04A0" w:firstRow="1" w:lastRow="0" w:firstColumn="1" w:lastColumn="0" w:noHBand="0" w:noVBand="1"/>
      </w:tblPr>
      <w:tblGrid>
        <w:gridCol w:w="3456"/>
        <w:gridCol w:w="3456"/>
        <w:gridCol w:w="3456"/>
      </w:tblGrid>
      <w:tr w:rsidR="00F21272">
        <w:trPr>
          <w:jc w:val="center"/>
        </w:trPr>
        <w:tc>
          <w:tcPr>
            <w:tcW w:w="3456" w:type="dxa"/>
            <w:shd w:val="clear" w:color="auto" w:fill="1D4ED8"/>
            <w:vAlign w:val="center"/>
          </w:tcPr>
          <w:p w:rsidR="00F21272" w:rsidRDefault="005A1B51">
            <w:r>
              <w:rPr>
                <w:b/>
                <w:color w:val="FFFFFF"/>
                <w:sz w:val="17"/>
              </w:rPr>
              <w:t>Asset</w:t>
            </w:r>
          </w:p>
        </w:tc>
        <w:tc>
          <w:tcPr>
            <w:tcW w:w="3456" w:type="dxa"/>
            <w:shd w:val="clear" w:color="auto" w:fill="1D4ED8"/>
            <w:vAlign w:val="center"/>
          </w:tcPr>
          <w:p w:rsidR="00F21272" w:rsidRDefault="005A1B51">
            <w:r>
              <w:rPr>
                <w:b/>
                <w:color w:val="FFFFFF"/>
                <w:sz w:val="17"/>
              </w:rPr>
              <w:t>Suggested Allo</w:t>
            </w:r>
            <w:r>
              <w:rPr>
                <w:b/>
                <w:color w:val="FFFFFF"/>
                <w:sz w:val="17"/>
              </w:rPr>
              <w:t>cation</w:t>
            </w:r>
          </w:p>
        </w:tc>
        <w:tc>
          <w:tcPr>
            <w:tcW w:w="3456" w:type="dxa"/>
            <w:shd w:val="clear" w:color="auto" w:fill="1D4ED8"/>
            <w:vAlign w:val="center"/>
          </w:tcPr>
          <w:p w:rsidR="00F21272" w:rsidRDefault="005A1B51">
            <w:r>
              <w:rPr>
                <w:b/>
                <w:color w:val="FFFFFF"/>
                <w:sz w:val="17"/>
              </w:rPr>
              <w:t>Reason</w:t>
            </w:r>
          </w:p>
        </w:tc>
      </w:tr>
      <w:tr w:rsidR="00F21272">
        <w:trPr>
          <w:jc w:val="center"/>
        </w:trPr>
        <w:tc>
          <w:tcPr>
            <w:tcW w:w="3456" w:type="dxa"/>
            <w:shd w:val="clear" w:color="auto" w:fill="F8FAFC"/>
            <w:vAlign w:val="center"/>
          </w:tcPr>
          <w:p w:rsidR="00F21272" w:rsidRDefault="005A1B51">
            <w:r>
              <w:rPr>
                <w:b/>
                <w:sz w:val="17"/>
              </w:rPr>
              <w:t>BTC</w:t>
            </w:r>
          </w:p>
        </w:tc>
        <w:tc>
          <w:tcPr>
            <w:tcW w:w="3456" w:type="dxa"/>
            <w:shd w:val="clear" w:color="auto" w:fill="F8FAFC"/>
            <w:vAlign w:val="center"/>
          </w:tcPr>
          <w:p w:rsidR="00F21272" w:rsidRDefault="005A1B51">
            <w:r>
              <w:rPr>
                <w:sz w:val="17"/>
              </w:rPr>
              <w:t>60%</w:t>
            </w:r>
          </w:p>
        </w:tc>
        <w:tc>
          <w:tcPr>
            <w:tcW w:w="3456" w:type="dxa"/>
            <w:shd w:val="clear" w:color="auto" w:fill="F8FAFC"/>
            <w:vAlign w:val="center"/>
          </w:tcPr>
          <w:p w:rsidR="00F21272" w:rsidRDefault="005A1B51">
            <w:r>
              <w:rPr>
                <w:sz w:val="17"/>
              </w:rPr>
              <w:t>Core holding because of relative liquidity and market leadership.</w:t>
            </w:r>
          </w:p>
        </w:tc>
      </w:tr>
      <w:tr w:rsidR="00F21272">
        <w:trPr>
          <w:jc w:val="center"/>
        </w:trPr>
        <w:tc>
          <w:tcPr>
            <w:tcW w:w="3456" w:type="dxa"/>
            <w:vAlign w:val="center"/>
          </w:tcPr>
          <w:p w:rsidR="00F21272" w:rsidRDefault="005A1B51">
            <w:r>
              <w:rPr>
                <w:b/>
                <w:sz w:val="17"/>
              </w:rPr>
              <w:t>ETH</w:t>
            </w:r>
          </w:p>
        </w:tc>
        <w:tc>
          <w:tcPr>
            <w:tcW w:w="3456" w:type="dxa"/>
            <w:vAlign w:val="center"/>
          </w:tcPr>
          <w:p w:rsidR="00F21272" w:rsidRDefault="005A1B51">
            <w:r>
              <w:rPr>
                <w:sz w:val="17"/>
              </w:rPr>
              <w:t>30%</w:t>
            </w:r>
          </w:p>
        </w:tc>
        <w:tc>
          <w:tcPr>
            <w:tcW w:w="3456" w:type="dxa"/>
            <w:vAlign w:val="center"/>
          </w:tcPr>
          <w:p w:rsidR="00F21272" w:rsidRDefault="005A1B51">
            <w:r>
              <w:rPr>
                <w:sz w:val="17"/>
              </w:rPr>
              <w:t>Diversification through smart-contract and application ecosystem exposure.</w:t>
            </w:r>
          </w:p>
        </w:tc>
      </w:tr>
      <w:tr w:rsidR="00F21272">
        <w:trPr>
          <w:jc w:val="center"/>
        </w:trPr>
        <w:tc>
          <w:tcPr>
            <w:tcW w:w="3456" w:type="dxa"/>
            <w:shd w:val="clear" w:color="auto" w:fill="F8FAFC"/>
            <w:vAlign w:val="center"/>
          </w:tcPr>
          <w:p w:rsidR="00F21272" w:rsidRDefault="005A1B51">
            <w:r>
              <w:rPr>
                <w:b/>
                <w:sz w:val="17"/>
              </w:rPr>
              <w:t>SOL</w:t>
            </w:r>
          </w:p>
        </w:tc>
        <w:tc>
          <w:tcPr>
            <w:tcW w:w="3456" w:type="dxa"/>
            <w:shd w:val="clear" w:color="auto" w:fill="F8FAFC"/>
            <w:vAlign w:val="center"/>
          </w:tcPr>
          <w:p w:rsidR="00F21272" w:rsidRDefault="005A1B51">
            <w:r>
              <w:rPr>
                <w:sz w:val="17"/>
              </w:rPr>
              <w:t>10%</w:t>
            </w:r>
          </w:p>
        </w:tc>
        <w:tc>
          <w:tcPr>
            <w:tcW w:w="3456" w:type="dxa"/>
            <w:shd w:val="clear" w:color="auto" w:fill="F8FAFC"/>
            <w:vAlign w:val="center"/>
          </w:tcPr>
          <w:p w:rsidR="00F21272" w:rsidRDefault="005A1B51">
            <w:r>
              <w:rPr>
                <w:sz w:val="17"/>
              </w:rPr>
              <w:t>Small satellite exposure because drawdown and downside risk were higher.</w:t>
            </w:r>
          </w:p>
        </w:tc>
      </w:tr>
    </w:tbl>
    <w:p w:rsidR="00F21272" w:rsidRDefault="005A1B51">
      <w:pPr>
        <w:spacing w:after="40"/>
      </w:pPr>
      <w:r>
        <w:t>Risk management should be the first priority. A student investor or intern should not treat this analysis as a direct buying recommendation. Crypto assets can move sharply because of liquidity, regulation, ETF flows, macroeconomic sentiment, security issue</w:t>
      </w:r>
      <w:r>
        <w:t>s, exchange activity, and leverage. A practical risk rule is to keep crypto as a limited part of a broader investment portfolio, diversify across assets, avoid over-leverage, and review positions regularly.</w:t>
      </w:r>
    </w:p>
    <w:p w:rsidR="00F21272" w:rsidRDefault="005A1B51">
      <w:pPr>
        <w:pStyle w:val="Heading1"/>
      </w:pPr>
      <w:r>
        <w:t>7. Conclusion</w:t>
      </w:r>
    </w:p>
    <w:p w:rsidR="00F21272" w:rsidRDefault="005A1B51">
      <w:pPr>
        <w:spacing w:after="40"/>
      </w:pPr>
      <w:r>
        <w:t>The 12-month analysis shows that BT</w:t>
      </w:r>
      <w:r>
        <w:t>C, ETH, and SOL all faced meaningful losses from June 2025 to June 2026. ETH had the highest annualized volatility, while SOL had the deepest drawdown and weakest total return. BTC performed better than SOL but still declined materially. The recommended sa</w:t>
      </w:r>
      <w:r>
        <w:t>mple allocation of 60% BTC, 30% ETH, and 10% SOL is therefore designed to keep the strongest/liquid asset as the core holding while limiting exposure to the highest-risk coin. This report meets the CodeAlpha Task 02 requirement by analyzing three cryptocur</w:t>
      </w:r>
      <w:r>
        <w:t>rencies, reviewing their 12-month performance, assessing risk, and giving portfolio-level recommendations.</w:t>
      </w:r>
    </w:p>
    <w:p w:rsidR="00F21272" w:rsidRDefault="005A1B51">
      <w:pPr>
        <w:pStyle w:val="Heading1"/>
        <w:spacing w:after="40"/>
      </w:pPr>
      <w:r>
        <w:t>References</w:t>
      </w:r>
    </w:p>
    <w:p w:rsidR="00F21272" w:rsidRDefault="005A1B51">
      <w:pPr>
        <w:spacing w:after="0" w:line="240" w:lineRule="auto"/>
      </w:pPr>
      <w:r>
        <w:rPr>
          <w:sz w:val="16"/>
        </w:rPr>
        <w:t>Digrin BTC-USD monthly price history: https://www.digrin.com/stocks/detail/BTC-USD/price</w:t>
      </w:r>
    </w:p>
    <w:p w:rsidR="00F21272" w:rsidRDefault="005A1B51">
      <w:pPr>
        <w:spacing w:after="0" w:line="240" w:lineRule="auto"/>
      </w:pPr>
      <w:r>
        <w:rPr>
          <w:sz w:val="16"/>
        </w:rPr>
        <w:t>Digrin ETH-USD monthly price history: https://www</w:t>
      </w:r>
      <w:r>
        <w:rPr>
          <w:sz w:val="16"/>
        </w:rPr>
        <w:t>.digrin.com/stocks/detail/ETH-USD/price</w:t>
      </w:r>
    </w:p>
    <w:p w:rsidR="00F21272" w:rsidRDefault="005A1B51">
      <w:pPr>
        <w:spacing w:after="0" w:line="240" w:lineRule="auto"/>
      </w:pPr>
      <w:r>
        <w:rPr>
          <w:sz w:val="16"/>
        </w:rPr>
        <w:t>Digrin SOL-USD monthly price history: https://www.digrin.com/stocks/detail/SOL-USD/price</w:t>
      </w:r>
    </w:p>
    <w:p w:rsidR="00F21272" w:rsidRDefault="005A1B51">
      <w:pPr>
        <w:spacing w:after="0" w:line="240" w:lineRule="auto"/>
      </w:pPr>
      <w:r>
        <w:rPr>
          <w:sz w:val="16"/>
        </w:rPr>
        <w:t>CoinGecko Bitcoin market data: https://www.coingecko.com/en/coins/bitcoin</w:t>
      </w:r>
    </w:p>
    <w:p w:rsidR="00F21272" w:rsidRDefault="005A1B51">
      <w:pPr>
        <w:spacing w:after="0" w:line="240" w:lineRule="auto"/>
      </w:pPr>
      <w:r>
        <w:rPr>
          <w:sz w:val="16"/>
        </w:rPr>
        <w:t>CoinGecko Ethereum market data: https://www.coingecko</w:t>
      </w:r>
      <w:r>
        <w:rPr>
          <w:sz w:val="16"/>
        </w:rPr>
        <w:t>.com/en/coins/ethereum</w:t>
      </w:r>
    </w:p>
    <w:p w:rsidR="00F21272" w:rsidRDefault="005A1B51">
      <w:pPr>
        <w:spacing w:after="0" w:line="240" w:lineRule="auto"/>
      </w:pPr>
      <w:r>
        <w:rPr>
          <w:sz w:val="16"/>
        </w:rPr>
        <w:t>CoinGecko Solana market data: https://www.coingecko.com/en/coins/solana</w:t>
      </w:r>
    </w:p>
    <w:p w:rsidR="00F21272" w:rsidRDefault="005A1B51">
      <w:pPr>
        <w:spacing w:after="0" w:line="240" w:lineRule="auto"/>
      </w:pPr>
      <w:r>
        <w:rPr>
          <w:sz w:val="16"/>
        </w:rPr>
        <w:t>CoinMarketCap Solana market data: https://coinmarketcap.com/currencies/solana/</w:t>
      </w:r>
    </w:p>
    <w:p w:rsidR="00F21272" w:rsidRDefault="005A1B51">
      <w:pPr>
        <w:spacing w:after="0" w:line="240" w:lineRule="auto"/>
      </w:pPr>
      <w:r>
        <w:rPr>
          <w:sz w:val="16"/>
        </w:rPr>
        <w:t>Reuters market context: https://www.reuters.com/business/finance/bitcoins-star-fad</w:t>
      </w:r>
      <w:r>
        <w:rPr>
          <w:sz w:val="16"/>
        </w:rPr>
        <w:t>es-investors-flock-lustre-ai-megacap-ipos-2026-06-05/</w:t>
      </w:r>
    </w:p>
    <w:sectPr w:rsidR="00F21272"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B51" w:rsidRDefault="005A1B51">
      <w:pPr>
        <w:spacing w:after="0" w:line="240" w:lineRule="auto"/>
      </w:pPr>
      <w:r>
        <w:separator/>
      </w:r>
    </w:p>
  </w:endnote>
  <w:endnote w:type="continuationSeparator" w:id="0">
    <w:p w:rsidR="005A1B51" w:rsidRDefault="005A1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1272" w:rsidRDefault="005A1B51">
    <w:pPr>
      <w:pStyle w:val="Footer"/>
      <w:jc w:val="center"/>
    </w:pPr>
    <w:r>
      <w:rPr>
        <w:sz w:val="16"/>
      </w:rPr>
      <w:t>Prepared for CodeAlpha Finance &amp; Investment Analysis Internship - Task 02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B51" w:rsidRDefault="005A1B51">
      <w:pPr>
        <w:spacing w:after="0" w:line="240" w:lineRule="auto"/>
      </w:pPr>
      <w:r>
        <w:separator/>
      </w:r>
    </w:p>
  </w:footnote>
  <w:footnote w:type="continuationSeparator" w:id="0">
    <w:p w:rsidR="005A1B51" w:rsidRDefault="005A1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23EA"/>
    <w:rsid w:val="005A1B51"/>
    <w:rsid w:val="00AA1D8D"/>
    <w:rsid w:val="00B47730"/>
    <w:rsid w:val="00CB0664"/>
    <w:rsid w:val="00F212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91442"/>
  <w14:defaultImageDpi w14:val="300"/>
  <w15:docId w15:val="{CD2313DF-B65A-47FB-BD5B-FC074A43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1BB0E-0AB7-4880-A101-20AEE299B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Al-Saif Entarprises</cp:lastModifiedBy>
  <cp:revision>2</cp:revision>
  <dcterms:created xsi:type="dcterms:W3CDTF">2013-12-23T23:15:00Z</dcterms:created>
  <dcterms:modified xsi:type="dcterms:W3CDTF">2026-06-14T17:17:00Z</dcterms:modified>
  <cp:category/>
</cp:coreProperties>
</file>