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LABORATORIO CLÍNICO CENTRAL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Av. Santa María 1640, Madrid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Tel: +34 91 234 5678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INFORME DE ANÁLISIS DE SANGRE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 del informe: 10/01/2025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Hora: 09:15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DATOS DEL PACIENTE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Nombre: Miguel Ángel Rodríguez Sánchez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Fecha de nacimiento: 15/03/1975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DNI: 45678912X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Número de historia clínica: HC-2025-4567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Género: Masculino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Edad: 49 años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MÉDICO SOLICITANTE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Dr. Juan Carlos Martínez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Número de colegiado: 28456789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Especialidad: Medicina Interna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RESULTADOS ACTUALES (10/01/2025)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Glucosa: 0.1366092604942588 mg/dL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Colesterol total: 0.0156053585175475 mg/dL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Hemoglobina: 0.4199566009008788 g/dL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Plaquetas: 0.1914868753253029 /µL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Leucocitos: 0.0811681371113117 /µL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Eritrocitos: 0.1662138582964729 M/µL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Hematocrito: 0.0732927385332327 %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VCM: 0.6687191646353101 fL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HCM: 0.1254473944642402 pg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CHCM: 0.5010514098782632 g/dL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Insulina: 0.6202581835247164 µU/mL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IMC: 0.1690594406421817 kg/m²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Presión arterial sistólica: 0.1392885101394871 mmHg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Presión arterial diastólica: 0.1604955883025169 mmHg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Triglicéridos: 0.4065277157979211 mg/dL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HbA1c: 0.0162556404081311 %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Colesterol LDL: 0.0401365775551834 mg/dL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Colesterol HDL: 0.8267206949030763 mg/dL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ALT: 0.2654152891870243 U/L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AST: 0.5941478511970212 U/L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Frecuencia cardíaca: 0.2257555303008798 lpm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Creatinina: 0.4903486074806524 mg/dL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Troponina: 0.63706125751649 ng/mL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Proteína C reactiva: 0.3540940048655882 mg/L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ANTECEDENTES MÉDICOS RELEVANTES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Hipertensión arterial diagnosticada en 2020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Dislipidemia en tratamiento desde 2021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Sobrepeso grado 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Antecedentes familiares de diabetes tipo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MEDICACIÓN ACTUAL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Enalapril 10mg/día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Atorvastatina 20mg/día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Metformina 850mg/día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paciente acude en ayunas de 12 horas. No se reportaron incidencias durante la extracción. Muestra procesada según protocolos estándar del laboratorio.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COMENTARIOS TÉCNICOS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observan variaciones significativas en los valores respecto al control anterior. Se recomienda evaluación clínica para valorar la relevancia de estos cambios.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Dra. María Elena Vázquez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Jefa de Laboratorio Clínico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Nº Colegiado: 28123456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