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LABORATORIO CLÍNICO CENTRAL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Av. Medicina Real 123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Madrid, España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Tel: +34 91 234 5678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INFORME DE ANÁLISIS DE SANGRE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del informe: 19/01/2025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Hora de emisión: 10:30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DATOS DEL PACIENTE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Miguel Ángel Ramírez Soto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Número de Historia Clínica: 2025-4873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de nacimiento: 03/05/1978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Género: Masculino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Médico solicitante: Dra. Carmen Vázquez Ruiz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Número de colegiado: 28/45692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ANTECEDENTES MÉDICOS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Hipertensión arterial diagnosticada en 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Antecedentes familiares de diabetes tipo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Sobrepeso grado 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No fumador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No alergias conocidas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MEDICACIÓN ACTUAL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Enalapril 10mg/día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Simvastatina 20mg/día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RESULTADOS ACTUALES DEL ANÁLISIS (19/01/2025)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Parámetros Bioquímicos: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Glucosa: 0.15935895699916203 mmol/L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Colesterol total: 0.2502029769811531 mmol/L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Insulina: 0.4476099837977954 µUI/mL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Triglicéridos: 0.6360157531267807 mmol/L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Colesterol LDL: 0.6032571955749224 mmol/L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Colesterol HDL: 0.2544137583686408 mmol/L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HbA1c: 0.7853593250858899 %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Parámetros Hematológicos: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Hemoglobina: 0.018282366144092954 g/dL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Plaquetas: 0.9957664190913094 x10⁹/L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Leucocitos: 0.7605794576852788 x10⁹/L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Eritrocitos: 0.15630938116713633 x10¹²/L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Hematocrito: 0.9011162896396825 %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VCM: 0.7441661673821072 fL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HCM: 0.7513342160826646 pg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CHCM: 0.9771937457839002 g/dL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Función Hepática: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ALT: 0.7011826393055822 U/L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AST: 0.152670942731642 U/L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Función Renal y Marcadores Cardíacos: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Creatinina: 0.722597106214778 mg/dL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Troponina: 0.3741065191944994 ng/mL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Proteína C reactiva: 0.8160664068780586 mg/L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Signos Vitales: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Presión arterial sistólica: 0.125999483217079 mmHg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Presión arterial diastólica: 0.799368995910513 mmHg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Frecuencia cardíaca: 0.08039786772578261 lpm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IMC: 0.3640035117595892 kg/m²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RESULTADOS PREVIOS (15/07/2024)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Destacan los siguientes valores históricos para comparación: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Glucosa: 0.182 mmol/L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Colesterol total: 0.273 mmol/L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HbA1c: 0.802 %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Creatinina: 0.698 mg/dL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Presión arterial: 0.134/0.785 mmHg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INTERPRETACIÓN Y RECOMENDACIONES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paciente presenta valores que requieren seguimiento, especialmente en los parámetros relacionados con el perfil lipídico y la glucemia. Se observa una ligera mejoría en comparación con los valores previos de julio 2024, posiblemente relacionada con el tratamiento actual.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RECOMENDACIONES: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Mantener el tratamiento farmacológico actual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2. Incrementar la actividad física aeróbica moderada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Seguir una dieta baja en grasas saturadas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 Control de peso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Nuevo control analítico en 3 meses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VALIDACIÓN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Dr. Alberto Sánchez Martín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Especialista en Análisis Clínicos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Nº Colegiado: 28/56789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Firma electrónica: AS-2025/0119-4873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Este informe ha sido validado electrónicamente y no requiere firma manuscrita.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Los resultados corresponden exclusivamente a las muestras recibidas y analizadas.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