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INFORME DE ANÁLISIS DE SANGRE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Hospital Clínico San Carlos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Avenida Profesor Martín Lagos s/n, Madrid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Tel: +34 913 303 001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DATOS DEL PACIENTE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Nombre: María Victoria Sánchez Ortiz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Fecha de nacimiento: 07/11/1995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DNI: 89012345-H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Número de historia clínica: HC-2025-23456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Médico solicitante: Dra. Patricia González Ruiz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Fecha de extracción: 14/01/2025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Hora de extracción: 08:15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ANTECEDENTES MÉDICOS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Endometriosis diagnosticada en 2020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Síndrome de ovario poliquístico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Migraña ocasional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Anemia ferropénica previa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Antecedentes familiares de osteoporosis (abuela materna)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MEDICACIÓN ACTUAL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Anticonceptivos orales combinados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Suplemento de hierro 80mg/día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Calcio 1000mg + Vitamina D 800UI/día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Ibuprofeno 600mg según necesidad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ANÁLISIS PREVIO (20/10/2024)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Glucosa: 82 mg/dL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Colesterol total: 165 mg/dL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Triglicéridos: 95 mg/dL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HbA1c: 5.1%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Creatinina: 0.7 mg/dL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RESULTADOS ACTUALES (14/01/2025)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Química Sanguínea: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Glucosa: 0.0327255336276093 mmol/L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Colesterol total: 0.0535962681551887 mmol/L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Triglicéridos: 0.0602299594138895 mmol/L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HbA1c: 0.1887500703106055 %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Creatinina: 0.4372846727120143 mg/dL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Insulina: 0.288485468872641 µUI/mL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Perfil Lipídico: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LDL Colesterol: 0.3318867797286451 mmol/L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HDL Colesterol: 0.562621686838527 mmol/L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Hemograma Completo: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Hemoglobina: 0.1026326287264942 g/dL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Plaquetas: 0.2213555551209707 x10³/µL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Leucocitos: 0.1539561864900899 x10³/µL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Eritrocitos: 0.2165730961708485 x10⁶/µL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Hematocrito: 0.3125768513649443 %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Volumen Corpuscular Medio: 0.6089402936208215 fL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Hemoglobina Corpuscular Media: 0.4861735695887832 pg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Concentración de Hemoglobina Corpuscular Media: 0.4506995463128547 g/dL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Función Hepática: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ALT: 0.6804620474048206 U/L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AST: 0.0995381000639189 U/L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Marcadores Cardíacos: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Troponina: 0.2889606268944468 ng/mL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Proteína C Reactiva: 0.7092622847819147 mg/L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Signos Vitales: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Presión Arterial Sistólica: 0.7107439682436874 mmHg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Presión Arterial Diastólica: 0.4073231518000049 mmHg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Frecuencia Cardíaca: 0.9828931133627414 lpm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IMC: 0.5814663103840183 kg/m²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INTERPRETACIÓN Y RECOMENDACIONES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Los resultados muestran una evolución favorable de los parámetros hematológicos respecto al control previo. Se mantiene la terapia actual con suplementación de hierro y calcio.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PLAN DE SEGUIMIENTO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 Control ginecológico en 3 meses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Mantener suplementación actual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Próxima analítica en 4 meses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Densitometría ósea anual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 Valoración por Reumatología según evolución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RECOMENDACIONES ESPECÍFICAS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Mantener dieta rica en hierro y calcio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Ejercicio moderado regular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Registro de ciclos menstruales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Evitar factores desencadenantes de migraña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Control de peso mensual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OBSERVACIONES ADICIONALES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 recomienda continuar con el control ecográfico semestral por endometriosis.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Dra. Carmen López Jiménez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Especialista en Ginecología y Obstetricia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Nº Colegiado: 28/89012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Firma digital: CLJ-2025-01-14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