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Hospital Universitario Ramón y Cajal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Calle Medicina 456, Madrid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+34 915 678 234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Nombre: Pedro José Ramírez Alonso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 de nacimiento: 21/06/1978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DNI: 67891234-R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Número de historia clínica: HC-2025-56789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Médico solicitante: Dr. Luis Alberto Díaz Moreno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Fecha de extracción: 14/01/2025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Hora de extracción: 08:45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ANTECEDENTES MÉDICOS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Asma bronquial desde la infancia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Rinitis alérgica estacional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Fractura de radio izquierdo en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Antecedentes familiares de asma (madre)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Herniorrafia inguinal en 2018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Salbutamol inhalador de rescate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Fluticasona/Salmeterol 250/50 mcg/12h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Montelukast 10mg/24h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Desloratadina 5mg (según necesidad)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ANÁLISIS PREVIO (15/11/2024)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Glucosa: 92 mg/dL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Colesterol total: 185 mg/dL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Triglicéridos: 150 mg/dL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HbA1c: 5.4%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Creatinina: 0.9 mg/dL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RESULTADOS ACTUALES (14/01/2025)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Química Sanguínea: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Glucosa: 0.1855530851619002 mmol/L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Colesterol total: 0.2298019958374353 mmol/L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Triglicéridos: 0.532121600536698 mmol/L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HbA1c: 0.1511726567074864 %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Creatinina: 0.6784901537330832 mg/dL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Insulina: 0.1960632440501471 µUI/mL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Perfil Lipídico: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LDL Colesterol: 0.2657025195470315 mmol/L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HDL Colesterol: 0.9163823990536146 mmol/L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Hemograma Completo: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Hemoglobina: 0.6098359888650795 g/dL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Plaquetas: 0.4764484440681769 x10³/µL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Leucocitos: 0.5665255797426579 x10³/µL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Eritrocitos: 0.8692732817216031 x10⁶/µL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Hematocrito: 0.3497868895212299 %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Volumen Corpuscular Medio: 0.2858973693805611 fL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Hemoglobina Corpuscular Media: 0.9190546637923368 pg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Concentración de Hemoglobina Corpuscular Media: 0.5834704426117909 g/dL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Función Hepática: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ALT: 0.5937760323640885 U/L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AST: 0.1631607070763215 U/L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Marcadores Cardíacos: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Troponina: 0.1596005631297046 ng/mL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Proteína C Reactiva: 0.5720917273910927 mg/L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Signos Vitales: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Presión Arterial Sistólica: 0.1823145426031112 mmHg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Presión Arterial Diastólica: 0.2162181471291759 mmHg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Frecuencia Cardíaca: 0.8006657778638611 lpm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IMC: 0.1414938982199256 kg/m²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INTERPRETACIÓN Y RECOMENDACIONES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 observa estabilidad en los parámetros analizados respecto al control previo. Los marcadores inflamatorios se mantienen controlados, sugiriendo buen control del asma.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PLAN DE SEGUIMIENTO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Mantener pauta actual de tratamiento inhalado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Control espirométrico en 3 meses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Análisis de control en 6 meses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Revisión por Neumología en 4 meses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RECOMENDACIONES ESPECÍFICAS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Continuar con el plan de ejercicio respiratorio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Mantener registro de peak-flow diario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Evitar exposición a alérgenos conocidos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Vacunación antigripal anual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Cumplimiento estricto de la medicación inhalada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Dr. Manuel Vega Torres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Especialista en Neumología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Nº Colegiado: 28/67890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Firma digital: MVT-2025-01-14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