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Informe de Análisis de Sangre</w:t>
      </w:r>
    </w:p>
    <w:p w:rsidR="00000000" w:rsidDel="00000000" w:rsidP="00000000" w:rsidRDefault="00000000" w:rsidRPr="00000000" w14:paraId="00000002">
      <w:pPr>
        <w:spacing w:after="240" w:before="240" w:lineRule="auto"/>
        <w:rPr/>
      </w:pPr>
      <w:r w:rsidDel="00000000" w:rsidR="00000000" w:rsidRPr="00000000">
        <w:rPr>
          <w:b w:val="1"/>
          <w:rtl w:val="0"/>
        </w:rPr>
        <w:t xml:space="preserve">Datos del Paciente:</w:t>
      </w:r>
      <w:r w:rsidDel="00000000" w:rsidR="00000000" w:rsidRPr="00000000">
        <w:rPr>
          <w:rtl w:val="0"/>
        </w:rPr>
        <w:t xml:space="preserve"> Nombre: Juan Pérez García</w:t>
        <w:br w:type="textWrapping"/>
        <w:t xml:space="preserve">Edad: 45 años</w:t>
        <w:br w:type="textWrapping"/>
        <w:t xml:space="preserve">Género: Masculino</w:t>
        <w:br w:type="textWrapping"/>
        <w:t xml:space="preserve">Dirección: Calle Ficticia 123, Madrid, España</w:t>
        <w:br w:type="textWrapping"/>
        <w:t xml:space="preserve">Teléfono: +34 600 123 456</w:t>
        <w:br w:type="textWrapping"/>
        <w:t xml:space="preserve">Fecha de Nacimiento: 12 de mayo de 1979</w:t>
        <w:br w:type="textWrapping"/>
        <w:t xml:space="preserve">Fecha de la prueba: 10 de enero de 2025</w:t>
      </w:r>
    </w:p>
    <w:p w:rsidR="00000000" w:rsidDel="00000000" w:rsidP="00000000" w:rsidRDefault="00000000" w:rsidRPr="00000000" w14:paraId="00000003">
      <w:pPr>
        <w:spacing w:after="240" w:before="240" w:lineRule="auto"/>
        <w:rPr/>
      </w:pPr>
      <w:r w:rsidDel="00000000" w:rsidR="00000000" w:rsidRPr="00000000">
        <w:rPr>
          <w:b w:val="1"/>
          <w:rtl w:val="0"/>
        </w:rPr>
        <w:t xml:space="preserve">Historial Médico:</w:t>
      </w:r>
      <w:r w:rsidDel="00000000" w:rsidR="00000000" w:rsidRPr="00000000">
        <w:rPr>
          <w:rtl w:val="0"/>
        </w:rPr>
        <w:t xml:space="preserve"> El paciente tiene antecedentes de hipertensión arterial diagnosticada hace 5 años, controlada con medicación antihipertensiva (Losartán 50 mg diarios). No presenta alergias conocidas. Antecedentes familiares de diabetes tipo 2 y enfermedad cardiovascular. No fumador, consumo ocasional de alcohol. Realiza actividad física moderada 2-3 veces por semana.</w:t>
      </w:r>
    </w:p>
    <w:p w:rsidR="00000000" w:rsidDel="00000000" w:rsidP="00000000" w:rsidRDefault="00000000" w:rsidRPr="00000000" w14:paraId="00000004">
      <w:pPr>
        <w:spacing w:after="240" w:before="240" w:lineRule="auto"/>
        <w:rPr/>
      </w:pPr>
      <w:r w:rsidDel="00000000" w:rsidR="00000000" w:rsidRPr="00000000">
        <w:rPr>
          <w:b w:val="1"/>
          <w:rtl w:val="0"/>
        </w:rPr>
        <w:t xml:space="preserve">Razón de la Consulta:</w:t>
      </w:r>
      <w:r w:rsidDel="00000000" w:rsidR="00000000" w:rsidRPr="00000000">
        <w:rPr>
          <w:rtl w:val="0"/>
        </w:rPr>
        <w:t xml:space="preserve"> Control rutinario de salud y seguimiento de factores de riesgo cardiovascular debido a antecedentes familiares y personales.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Resultados del Análisis de Sangre: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Glucosa: 0.3990167583554709 mmol/L</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Colesterol Total: 0.5082540359498127 mmol/L</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Hemoglobina: 0.7773942645756011 g/dL</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Plaquetas: 0.0963095663816296 x10^9/L</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Glóbulos Blancos: 0.9255195549297194 x10^9/L</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Glóbulos Rojos: 0.6525047929404568 x10^12/L</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Hematocrito: 0.6848957734034351 %</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Volumen Corpuscular Medio (VCM): 0.3806562449240767 fL</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Hemoglobina Corpuscular Media (HCM): 0.2481887002951834 pg</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Concentración de Hemoglobina Corpuscular Media (CHCM): 0.4902454767880044 g/dL</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Insulina: 0.1510127660090291 µU/mL</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Índice de Masa Corporal (IMC): 0.3060564185930516 kg/m²</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Presión Arterial Sistólica: 0.722350411443184 mmHg</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Presión Arterial Diastólica: 0.5359404653179629 mmHg</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Triglicéridos: 0.3914805860140971 mmol/L</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Hemoglobina Glicosilada (HbA1c): 0.673188046329098 %</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Colesterol LDL: 0.0330373137861301 mmol/L</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Colesterol HDL: 0.772045024073563 mmol/L</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ALT (Alanina Aminotransferasa): 0.2538919246740642 U/L</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AST (Aspartato Aminotransferasa): 0.3224858000716065 U/L</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Frecuencia Cardíaca: 0.659068538684189 latidos/minuto</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Creatinina: 0.7742193760144773 mg/dL</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Troponina: 0.7141765525057118 ng/mL</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Proteína C Reactiva (PCR): 0.609176782019424 mg/L</w:t>
      </w:r>
    </w:p>
    <w:p w:rsidR="00000000" w:rsidDel="00000000" w:rsidP="00000000" w:rsidRDefault="00000000" w:rsidRPr="00000000" w14:paraId="0000001E">
      <w:pPr>
        <w:spacing w:after="240" w:before="240" w:lineRule="auto"/>
        <w:rPr/>
      </w:pPr>
      <w:r w:rsidDel="00000000" w:rsidR="00000000" w:rsidRPr="00000000">
        <w:rPr>
          <w:b w:val="1"/>
          <w:rtl w:val="0"/>
        </w:rPr>
        <w:t xml:space="preserve">Diagnóstico:</w:t>
      </w:r>
      <w:r w:rsidDel="00000000" w:rsidR="00000000" w:rsidRPr="00000000">
        <w:rPr>
          <w:rtl w:val="0"/>
        </w:rPr>
        <w:t xml:space="preserve"> Se detecta un desajuste importante en los valores hematológicos, con niveles extremadamente bajos de plaquetas, hemoglobina y hematocrito. Estos resultados sugieren una posible trombocitopenia severa. Los niveles de troponina también se encuentran elevados, lo cual podría indicar daño miocárdico. La PCR elevada sugiere un proceso inflamatorio activo. Además, el colesterol LDL es extremadamente bajo, lo que podría requerir investigación adicional para descartar alteraciones metabólicas o malnutrición.</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Recomendaciones: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rtl w:val="0"/>
        </w:rPr>
        <w:t xml:space="preserve">Realizar un estudio hematológico completo para confirmar los resultados y descartar errores en la muestra.</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Evaluación urgente por un hematólogo para investigar la causa subyacente de la trombocitopenia.</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Electrocardiograma y ecocardiograma para evaluar la función cardiaca debido al aumento de troponina.</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Repetir los análisis en 1-2 semanas para monitorizar los cambios en los valores.</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rtl w:val="0"/>
        </w:rPr>
        <w:t xml:space="preserve">Mantener un control estricto de los factores de riesgo cardiovascular, incluyendo presión arterial y perfil lipídico.</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Plan de Seguimiento:</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Cita con el médico de atención primaria en una semana para revisión de resultados adicionales.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Derivación a cardiología y hematología según los hallazgos clínicos.</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Educación del paciente sobre signos de alerta como sangrado, fatiga extrema o dolor torácico.</w:t>
      </w:r>
    </w:p>
    <w:p w:rsidR="00000000" w:rsidDel="00000000" w:rsidP="00000000" w:rsidRDefault="00000000" w:rsidRPr="00000000" w14:paraId="00000029">
      <w:pPr>
        <w:spacing w:after="240" w:before="240" w:lineRule="auto"/>
        <w:rPr/>
      </w:pPr>
      <w:r w:rsidDel="00000000" w:rsidR="00000000" w:rsidRPr="00000000">
        <w:rPr>
          <w:b w:val="1"/>
          <w:rtl w:val="0"/>
        </w:rPr>
        <w:t xml:space="preserve">Conclusión:</w:t>
      </w:r>
      <w:r w:rsidDel="00000000" w:rsidR="00000000" w:rsidRPr="00000000">
        <w:rPr>
          <w:rtl w:val="0"/>
        </w:rPr>
        <w:t xml:space="preserve"> El paciente debe seguir un enfoque multidisciplinario para abordar las anomalías detectadas en este análisis, con un seguimiento riguroso para garantizar su bienestar.</w:t>
      </w:r>
    </w:p>
    <w:p w:rsidR="00000000" w:rsidDel="00000000" w:rsidP="00000000" w:rsidRDefault="00000000" w:rsidRPr="00000000" w14:paraId="0000002A">
      <w:pPr>
        <w:spacing w:after="240" w:before="240" w:lineRule="auto"/>
        <w:rPr/>
      </w:pPr>
      <w:r w:rsidDel="00000000" w:rsidR="00000000" w:rsidRPr="00000000">
        <w:rPr>
          <w:rtl w:val="0"/>
        </w:rPr>
        <w:t xml:space="preserve">Dr. Laura Martínez</w:t>
        <w:br w:type="textWrapping"/>
        <w:t xml:space="preserve">Número de Colegiado: 12345678</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