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4D2E5" w14:textId="3523CD61" w:rsidR="005527FB" w:rsidRDefault="005527FB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t xml:space="preserve">Para la estandarización se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trabajó con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la base de datos utilizada en análisis previos (archivo cpue09) que contiene información de la pesca comercial y de muestreos de reclutamiento, la actualización del año 2020</w:t>
      </w:r>
      <w:r w:rsidR="002A6A3A">
        <w:rPr>
          <w:rFonts w:ascii="Arial Narrow" w:hAnsi="Arial Narrow" w:cs="Times New Roman"/>
          <w:sz w:val="24"/>
          <w:szCs w:val="24"/>
          <w:lang w:val="es-CL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s-CL"/>
        </w:rPr>
        <w:t>solo contiene datos provenientes de pesca comercial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 xml:space="preserve"> según lo acordado en última reunión del mes de mayo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. </w:t>
      </w:r>
    </w:p>
    <w:p w14:paraId="392ECA5E" w14:textId="1ED94090" w:rsidR="007D4423" w:rsidRDefault="00873BAE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sz w:val="24"/>
          <w:szCs w:val="24"/>
          <w:lang w:val="es-CL"/>
        </w:rPr>
        <w:t xml:space="preserve">El archivo </w:t>
      </w:r>
      <w:r w:rsidR="002A6A3A">
        <w:rPr>
          <w:rFonts w:ascii="Arial Narrow" w:hAnsi="Arial Narrow" w:cs="Times New Roman"/>
          <w:sz w:val="24"/>
          <w:szCs w:val="24"/>
          <w:lang w:val="es-CL"/>
        </w:rPr>
        <w:t xml:space="preserve">utilizado para la estandarización contiene registros desde el año </w:t>
      </w:r>
      <w:r w:rsidR="00470719">
        <w:rPr>
          <w:rFonts w:ascii="Arial Narrow" w:hAnsi="Arial Narrow" w:cs="Times New Roman"/>
          <w:sz w:val="24"/>
          <w:szCs w:val="24"/>
          <w:lang w:val="es-CL"/>
        </w:rPr>
        <w:t>2005 al 2020, con un total de 7752 registros.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</w:t>
      </w:r>
      <w:r w:rsidR="00606480">
        <w:rPr>
          <w:rFonts w:ascii="Arial Narrow" w:hAnsi="Arial Narrow" w:cs="Times New Roman"/>
          <w:sz w:val="24"/>
          <w:szCs w:val="24"/>
          <w:lang w:val="es-CL"/>
        </w:rPr>
        <w:t xml:space="preserve">Si eliminamos los años 2005 y 2006 que contienen 6 y 5 registros respectivamente el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número</w:t>
      </w:r>
      <w:r w:rsidR="00606480">
        <w:rPr>
          <w:rFonts w:ascii="Arial Narrow" w:hAnsi="Arial Narrow" w:cs="Times New Roman"/>
          <w:sz w:val="24"/>
          <w:szCs w:val="24"/>
          <w:lang w:val="es-CL"/>
        </w:rPr>
        <w:t xml:space="preserve"> total de registros desciende a 7741 (</w:t>
      </w:r>
      <w:r w:rsidR="00606480" w:rsidRPr="00606480">
        <w:rPr>
          <w:rFonts w:ascii="Arial Narrow" w:hAnsi="Arial Narrow" w:cs="Times New Roman"/>
          <w:b/>
          <w:bCs/>
          <w:sz w:val="24"/>
          <w:szCs w:val="24"/>
          <w:lang w:val="es-CL"/>
        </w:rPr>
        <w:t>Tabla 1</w:t>
      </w:r>
      <w:r w:rsidR="00606480">
        <w:rPr>
          <w:rFonts w:ascii="Arial Narrow" w:hAnsi="Arial Narrow" w:cs="Times New Roman"/>
          <w:sz w:val="24"/>
          <w:szCs w:val="24"/>
          <w:lang w:val="es-CL"/>
        </w:rPr>
        <w:t xml:space="preserve">). </w:t>
      </w:r>
    </w:p>
    <w:p w14:paraId="189ABED6" w14:textId="77777777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F8F559E" w14:textId="5F877348" w:rsidR="00EC73DC" w:rsidRDefault="00EC73DC" w:rsidP="00EC73D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 w:rsidRPr="00EC73DC">
        <w:rPr>
          <w:rFonts w:ascii="Arial Narrow" w:hAnsi="Arial Narrow" w:cs="Times New Roman"/>
          <w:b/>
          <w:bCs/>
          <w:sz w:val="24"/>
          <w:szCs w:val="24"/>
          <w:lang w:val="es-CL"/>
        </w:rPr>
        <w:t>Tabla 1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Número de registros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provenientes de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 xml:space="preserve"> la bitácora </w:t>
      </w:r>
      <w:r>
        <w:rPr>
          <w:rFonts w:ascii="Arial Narrow" w:hAnsi="Arial Narrow" w:cs="Times New Roman"/>
          <w:sz w:val="24"/>
          <w:szCs w:val="24"/>
          <w:lang w:val="es-CL"/>
        </w:rPr>
        <w:t>por año y zona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,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norte (A, B, C)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;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centro (D, E, F)</w:t>
      </w:r>
      <w:r w:rsidR="00232F9D">
        <w:rPr>
          <w:rFonts w:ascii="Arial Narrow" w:hAnsi="Arial Narrow" w:cs="Times New Roman"/>
          <w:sz w:val="24"/>
          <w:szCs w:val="24"/>
          <w:lang w:val="es-CL"/>
        </w:rPr>
        <w:t>;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zona sur (G, H, I). </w:t>
      </w:r>
      <w:r w:rsidR="00C9221A">
        <w:rPr>
          <w:rFonts w:ascii="Arial Narrow" w:hAnsi="Arial Narrow" w:cs="Times New Roman"/>
          <w:sz w:val="24"/>
          <w:szCs w:val="24"/>
          <w:lang w:val="es-CL"/>
        </w:rPr>
        <w:t>* No se muestran los años 2005 y 2006.</w:t>
      </w:r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EE261D" w:rsidRPr="00EE261D" w14:paraId="6D388F04" w14:textId="77777777" w:rsidTr="00EE261D">
        <w:trPr>
          <w:trHeight w:val="300"/>
          <w:jc w:val="center"/>
        </w:trPr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19EDE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EE261D">
              <w:rPr>
                <w:rFonts w:ascii="Arial Narrow" w:eastAsia="Times New Roman" w:hAnsi="Arial Narrow" w:cs="Calibri"/>
                <w:color w:val="000000"/>
              </w:rPr>
              <w:t>Año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C92290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Norte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FF87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Centro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2C5E6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Sur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F4A0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</w:tr>
      <w:tr w:rsidR="00EE261D" w:rsidRPr="00EE261D" w14:paraId="034E7078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729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87C9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768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F2B3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9E3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186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47A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1626</w:t>
            </w:r>
          </w:p>
        </w:tc>
      </w:tr>
      <w:tr w:rsidR="00EE261D" w:rsidRPr="00EE261D" w14:paraId="350A1C8E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51C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3E1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1090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5C5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477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2B5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3E8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1589</w:t>
            </w:r>
          </w:p>
        </w:tc>
      </w:tr>
      <w:tr w:rsidR="00EE261D" w:rsidRPr="00EE261D" w14:paraId="6C7443E6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63BD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9EA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09C2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471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-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ABF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1924</w:t>
            </w:r>
          </w:p>
        </w:tc>
      </w:tr>
      <w:tr w:rsidR="00EE261D" w:rsidRPr="00EE261D" w14:paraId="2F306811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DC39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6D90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1141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3B3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FB1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2F3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1274</w:t>
            </w:r>
          </w:p>
        </w:tc>
      </w:tr>
      <w:tr w:rsidR="00EE261D" w:rsidRPr="00EE261D" w14:paraId="1EEB27A2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287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6AB3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576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0061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12A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3AA9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825</w:t>
            </w:r>
          </w:p>
        </w:tc>
      </w:tr>
      <w:tr w:rsidR="00EE261D" w:rsidRPr="00EE261D" w14:paraId="7A16EE57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C3B3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8336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A7E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442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118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C1BE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713</w:t>
            </w:r>
          </w:p>
        </w:tc>
      </w:tr>
      <w:tr w:rsidR="00EE261D" w:rsidRPr="00EE261D" w14:paraId="61FDEE93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281C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B69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5A6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701C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D1F7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91</w:t>
            </w:r>
          </w:p>
        </w:tc>
      </w:tr>
      <w:tr w:rsidR="00EE261D" w:rsidRPr="00EE261D" w14:paraId="1CB8D487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7A6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DA8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D14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E4EE9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60A6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164</w:t>
            </w:r>
          </w:p>
        </w:tc>
      </w:tr>
      <w:tr w:rsidR="00EE261D" w:rsidRPr="00EE261D" w14:paraId="47C4A964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F5B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95B6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69E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555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32B6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158</w:t>
            </w:r>
          </w:p>
        </w:tc>
      </w:tr>
      <w:tr w:rsidR="00EE261D" w:rsidRPr="00EE261D" w14:paraId="0C0B951B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34A27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0986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7AC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A3F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2B9A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68</w:t>
            </w:r>
          </w:p>
        </w:tc>
      </w:tr>
      <w:tr w:rsidR="00EE261D" w:rsidRPr="00EE261D" w14:paraId="69C928C2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3DE5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658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CA0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47FC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5E9DB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63</w:t>
            </w:r>
          </w:p>
        </w:tc>
      </w:tr>
      <w:tr w:rsidR="00EE261D" w:rsidRPr="00EE261D" w14:paraId="48EBB080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D8F23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2AC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BC25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AF1C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09E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125</w:t>
            </w:r>
          </w:p>
        </w:tc>
      </w:tr>
      <w:tr w:rsidR="00EE261D" w:rsidRPr="00EE261D" w14:paraId="2B94CDB7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EEB74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8985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9EF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2A6C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75B42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208</w:t>
            </w:r>
          </w:p>
        </w:tc>
      </w:tr>
      <w:tr w:rsidR="00EE261D" w:rsidRPr="00EE261D" w14:paraId="0D52DAAA" w14:textId="77777777" w:rsidTr="00EE261D">
        <w:trPr>
          <w:trHeight w:val="290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4BE0D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2020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A0A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461E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B4C0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315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182</w:t>
            </w:r>
          </w:p>
        </w:tc>
      </w:tr>
      <w:tr w:rsidR="00EE261D" w:rsidRPr="00EE261D" w14:paraId="620229FD" w14:textId="77777777" w:rsidTr="00EE261D">
        <w:trPr>
          <w:trHeight w:val="300"/>
          <w:jc w:val="center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9B545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008538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5750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03A4D6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2581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78A5F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679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43641" w14:textId="77777777" w:rsidR="00EE261D" w:rsidRPr="00EE261D" w:rsidRDefault="00EE261D" w:rsidP="00EE261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EE261D">
              <w:rPr>
                <w:rFonts w:ascii="Arial Narrow" w:eastAsia="Times New Roman" w:hAnsi="Arial Narrow" w:cs="Calibri"/>
                <w:color w:val="000000"/>
              </w:rPr>
              <w:t>9010</w:t>
            </w:r>
          </w:p>
        </w:tc>
      </w:tr>
    </w:tbl>
    <w:p w14:paraId="1D4DA055" w14:textId="460CAFC0" w:rsidR="002174D3" w:rsidRDefault="002174D3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577B035" w14:textId="3F203069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0EDFA98" w14:textId="0E97FC0C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77AD07DC" wp14:editId="75641B8C">
            <wp:extent cx="5234940" cy="3131820"/>
            <wp:effectExtent l="0" t="0" r="3810" b="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5CC127FB-C382-4ECE-9B88-3C40856FD7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21C34C7" w14:textId="6A5E6B25" w:rsidR="006C69FC" w:rsidRDefault="006C69FC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1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Captura promedio en toneladas para la zona norte (A, B, C), centro (D, E, F) y sur (G, H, I), período 2005-2020 sardina austral. </w:t>
      </w:r>
    </w:p>
    <w:p w14:paraId="36F8E88A" w14:textId="05FDD9DE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69BC40E" w14:textId="50BD45F2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8DC549B" w14:textId="3BCED3A2" w:rsidR="001638BE" w:rsidRDefault="001638BE" w:rsidP="001638BE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 w:rsidRPr="00494B5B">
        <w:rPr>
          <w:rFonts w:ascii="Arial Narrow" w:hAnsi="Arial Narrow" w:cs="Times New Roman"/>
          <w:b/>
          <w:bCs/>
          <w:sz w:val="24"/>
          <w:szCs w:val="24"/>
          <w:lang w:val="es-CL"/>
        </w:rPr>
        <w:t>Tabla 2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Captura promedio en toneladas por año para la zona norte, centro, sur y total, sumatoria captura por año, viajes con pesca (o número de registros) y </w:t>
      </w:r>
      <w:proofErr w:type="spellStart"/>
      <w:r>
        <w:rPr>
          <w:rFonts w:ascii="Arial Narrow" w:hAnsi="Arial Narrow" w:cs="Times New Roman"/>
          <w:sz w:val="24"/>
          <w:szCs w:val="24"/>
          <w:lang w:val="es-CL"/>
        </w:rPr>
        <w:t>cpue</w:t>
      </w:r>
      <w:proofErr w:type="spellEnd"/>
      <w:r>
        <w:rPr>
          <w:rFonts w:ascii="Arial Narrow" w:hAnsi="Arial Narrow" w:cs="Times New Roman"/>
          <w:sz w:val="24"/>
          <w:szCs w:val="24"/>
          <w:lang w:val="es-CL"/>
        </w:rPr>
        <w:t xml:space="preserve"> en toneladas por viajes con pesca.  </w:t>
      </w:r>
    </w:p>
    <w:p w14:paraId="0899C991" w14:textId="77777777" w:rsidR="00CE6076" w:rsidRDefault="00CE6076" w:rsidP="001638BE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tbl>
      <w:tblPr>
        <w:tblW w:w="7230" w:type="dxa"/>
        <w:jc w:val="center"/>
        <w:tblLook w:val="04A0" w:firstRow="1" w:lastRow="0" w:firstColumn="1" w:lastColumn="0" w:noHBand="0" w:noVBand="1"/>
      </w:tblPr>
      <w:tblGrid>
        <w:gridCol w:w="709"/>
        <w:gridCol w:w="709"/>
        <w:gridCol w:w="850"/>
        <w:gridCol w:w="568"/>
        <w:gridCol w:w="992"/>
        <w:gridCol w:w="1417"/>
        <w:gridCol w:w="618"/>
        <w:gridCol w:w="1367"/>
      </w:tblGrid>
      <w:tr w:rsidR="00CE6076" w:rsidRPr="00CE6076" w14:paraId="044124E7" w14:textId="77777777" w:rsidTr="00CE6076">
        <w:trPr>
          <w:trHeight w:val="300"/>
          <w:jc w:val="center"/>
        </w:trPr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006CF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Año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FFF7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Norte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84EA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Centro</w:t>
            </w:r>
          </w:p>
        </w:tc>
        <w:tc>
          <w:tcPr>
            <w:tcW w:w="5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D142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Sur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0B400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Total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47CA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 xml:space="preserve">Sum </w:t>
            </w: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Captura</w:t>
            </w:r>
            <w:proofErr w:type="spellEnd"/>
          </w:p>
        </w:tc>
        <w:tc>
          <w:tcPr>
            <w:tcW w:w="61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4DDA6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vcp</w:t>
            </w:r>
            <w:proofErr w:type="spellEnd"/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C121F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cpue</w:t>
            </w:r>
            <w:proofErr w:type="spellEnd"/>
            <w:r w:rsidRPr="00CE6076">
              <w:rPr>
                <w:rFonts w:ascii="Arial Narrow" w:eastAsia="Times New Roman" w:hAnsi="Arial Narrow" w:cs="Calibri"/>
                <w:color w:val="000000"/>
              </w:rPr>
              <w:t xml:space="preserve"> (ton/</w:t>
            </w:r>
            <w:proofErr w:type="spellStart"/>
            <w:r w:rsidRPr="00CE6076">
              <w:rPr>
                <w:rFonts w:ascii="Arial Narrow" w:eastAsia="Times New Roman" w:hAnsi="Arial Narrow" w:cs="Calibri"/>
                <w:color w:val="000000"/>
              </w:rPr>
              <w:t>vcp</w:t>
            </w:r>
            <w:proofErr w:type="spellEnd"/>
            <w:r w:rsidRPr="00CE6076">
              <w:rPr>
                <w:rFonts w:ascii="Arial Narrow" w:eastAsia="Times New Roman" w:hAnsi="Arial Narrow" w:cs="Calibri"/>
                <w:color w:val="000000"/>
              </w:rPr>
              <w:t>)</w:t>
            </w:r>
          </w:p>
        </w:tc>
      </w:tr>
      <w:tr w:rsidR="00CE6076" w:rsidRPr="00CE6076" w14:paraId="0B0E1593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1646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2007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470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0599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34.8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0BF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42.3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8C95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100.7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99B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44845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3D1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1626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E1B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27.6</w:t>
            </w:r>
          </w:p>
        </w:tc>
      </w:tr>
      <w:tr w:rsidR="00CE6076" w:rsidRPr="00CE6076" w14:paraId="7C68D1D8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E6CD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13B2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48D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37.5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9CD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43.4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2F9E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104.3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10E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38201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47E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1589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6EF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24.0</w:t>
            </w:r>
          </w:p>
        </w:tc>
      </w:tr>
      <w:tr w:rsidR="00CE6076" w:rsidRPr="00CE6076" w14:paraId="0402A0F5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73CA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F11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29.8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18A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32.5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D74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F588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62.2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E55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48597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500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1924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1E0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25.3</w:t>
            </w:r>
          </w:p>
        </w:tc>
      </w:tr>
      <w:tr w:rsidR="00CE6076" w:rsidRPr="00CE6076" w14:paraId="6660C995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58E6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DBA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19.5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98E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124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28.8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A6D3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63.4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742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20526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E144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1274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90E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16.1</w:t>
            </w:r>
          </w:p>
        </w:tc>
      </w:tr>
      <w:tr w:rsidR="00CE6076" w:rsidRPr="00CE6076" w14:paraId="129DC4A6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2522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EFF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17.4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BC1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23.5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4EC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33.2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FC3A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74.1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75F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14328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4BF2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825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120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17.4</w:t>
            </w:r>
          </w:p>
        </w:tc>
      </w:tr>
      <w:tr w:rsidR="00CE6076" w:rsidRPr="00CE6076" w14:paraId="546598AF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D9C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F64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13.9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56A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932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36.9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C98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66.4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82B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10666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2FD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713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665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15.0</w:t>
            </w:r>
          </w:p>
        </w:tc>
      </w:tr>
      <w:tr w:rsidR="00CE6076" w:rsidRPr="00CE6076" w14:paraId="1D92410E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F538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653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B14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28.4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AA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29.8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41F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83.0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41E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2558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E68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101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BE0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25.3</w:t>
            </w:r>
          </w:p>
        </w:tc>
      </w:tr>
      <w:tr w:rsidR="00CE6076" w:rsidRPr="00CE6076" w14:paraId="4EA381BE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66B2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E84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30.6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6EA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40.7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85FA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45.9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B180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117.2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C5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5860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1A8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167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759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35.1</w:t>
            </w:r>
          </w:p>
        </w:tc>
      </w:tr>
      <w:tr w:rsidR="00CE6076" w:rsidRPr="00CE6076" w14:paraId="1E785969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25F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940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B0FB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46.2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37E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27.5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0143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98.5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B15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5915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DF2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9A97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37.4</w:t>
            </w:r>
          </w:p>
        </w:tc>
      </w:tr>
      <w:tr w:rsidR="00CE6076" w:rsidRPr="00CE6076" w14:paraId="6071E9B2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AD6AE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9A4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27.8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005D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34.1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CB9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28.8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58D7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90.6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BCA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2031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510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69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29E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29.4</w:t>
            </w:r>
          </w:p>
        </w:tc>
      </w:tr>
      <w:tr w:rsidR="00CE6076" w:rsidRPr="00CE6076" w14:paraId="41458002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F3CE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FA78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12.6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E8C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24.6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8C2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38.9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AFEA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76.1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120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1385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381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63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4726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22.0</w:t>
            </w:r>
          </w:p>
        </w:tc>
      </w:tr>
      <w:tr w:rsidR="00CE6076" w:rsidRPr="00CE6076" w14:paraId="5868DF6D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952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3F85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10.0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B6B1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14.0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157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20.3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C5458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44.4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6CD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1958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848C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128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B78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15.3</w:t>
            </w:r>
          </w:p>
        </w:tc>
      </w:tr>
      <w:tr w:rsidR="00CE6076" w:rsidRPr="00CE6076" w14:paraId="0BCEA920" w14:textId="77777777" w:rsidTr="00CE6076">
        <w:trPr>
          <w:trHeight w:val="29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335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2019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42D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9.4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CD7F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22.1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7A39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26.4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2BB90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57.9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8205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4698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2B337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232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FDB4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20.3</w:t>
            </w:r>
          </w:p>
        </w:tc>
      </w:tr>
      <w:tr w:rsidR="00CE6076" w:rsidRPr="00CE6076" w14:paraId="165B2500" w14:textId="77777777" w:rsidTr="00CE6076">
        <w:trPr>
          <w:trHeight w:val="300"/>
          <w:jc w:val="center"/>
        </w:trPr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AF61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2020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F6C13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43.4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1D0C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50.4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8130D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47.4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3BC65A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141.2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55C82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8719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2AE421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182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7EBE66" w14:textId="77777777" w:rsidR="00CE6076" w:rsidRPr="00CE6076" w:rsidRDefault="00CE6076" w:rsidP="00CE607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CE6076">
              <w:rPr>
                <w:rFonts w:ascii="Arial Narrow" w:eastAsia="Times New Roman" w:hAnsi="Arial Narrow" w:cs="Calibri"/>
                <w:color w:val="000000"/>
              </w:rPr>
              <w:t>47.9</w:t>
            </w:r>
          </w:p>
        </w:tc>
      </w:tr>
    </w:tbl>
    <w:p w14:paraId="6BD3278F" w14:textId="77777777" w:rsidR="001638BE" w:rsidRDefault="001638BE" w:rsidP="001638BE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EA19CE6" w14:textId="43C5AFB1" w:rsidR="001638BE" w:rsidRDefault="00CE6076" w:rsidP="00CE6076">
      <w:pPr>
        <w:jc w:val="center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11F1E189" wp14:editId="0765FC25">
            <wp:extent cx="4572635" cy="3023870"/>
            <wp:effectExtent l="0" t="0" r="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02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97BA7" w14:textId="527D7FCB" w:rsidR="00CE6076" w:rsidRDefault="00CE6076" w:rsidP="00CE6076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2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CPUE nominal en toneladas por viaje para sardina austral periodo 2007-2020. </w:t>
      </w:r>
    </w:p>
    <w:p w14:paraId="390CF873" w14:textId="70BBF108" w:rsidR="001638BE" w:rsidRPr="00CE6076" w:rsidRDefault="001638BE" w:rsidP="00CE6076">
      <w:pPr>
        <w:jc w:val="center"/>
        <w:rPr>
          <w:noProof/>
          <w:lang w:val="es-CL"/>
        </w:rPr>
      </w:pPr>
    </w:p>
    <w:p w14:paraId="08312E4F" w14:textId="61CA348F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54F4411" w14:textId="6CF30C27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326150D" w14:textId="27026852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268C80A" w14:textId="28CEEE97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5A3F139" w14:textId="1D69CD6F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EFAD7DD" w14:textId="7838307E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EA951AE" w14:textId="60AF3615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CBAB479" w14:textId="61AA4E90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D94C486" w14:textId="2F443D32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7EC6BF2" w14:textId="73F6195F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3385862" w14:textId="63A37FA4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264A0D4" w14:textId="397AAE39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27A85F1" w14:textId="21714219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10180DE" w14:textId="01B97894" w:rsidR="00D3061A" w:rsidRDefault="00D3061A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74BC568" w14:textId="0071EFD2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lastRenderedPageBreak/>
        <w:drawing>
          <wp:anchor distT="0" distB="0" distL="114300" distR="114300" simplePos="0" relativeHeight="251658240" behindDoc="0" locked="0" layoutInCell="1" allowOverlap="1" wp14:anchorId="0C4B8E9C" wp14:editId="31C5E68E">
            <wp:simplePos x="0" y="0"/>
            <wp:positionH relativeFrom="column">
              <wp:posOffset>649605</wp:posOffset>
            </wp:positionH>
            <wp:positionV relativeFrom="paragraph">
              <wp:posOffset>0</wp:posOffset>
            </wp:positionV>
            <wp:extent cx="4229100" cy="300482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0DC70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0F9AC6FC" w14:textId="446C7DE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3BD1258C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747F6C12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09B3D04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9ECB8E7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42024665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543C76D5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583ECEE2" w14:textId="712FDE55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drawing>
          <wp:anchor distT="0" distB="0" distL="114300" distR="114300" simplePos="0" relativeHeight="251659264" behindDoc="0" locked="0" layoutInCell="1" allowOverlap="1" wp14:anchorId="44C99B46" wp14:editId="29510E1B">
            <wp:simplePos x="0" y="0"/>
            <wp:positionH relativeFrom="column">
              <wp:posOffset>649605</wp:posOffset>
            </wp:positionH>
            <wp:positionV relativeFrom="paragraph">
              <wp:posOffset>34925</wp:posOffset>
            </wp:positionV>
            <wp:extent cx="4274820" cy="2659380"/>
            <wp:effectExtent l="0" t="0" r="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8"/>
                    <a:stretch/>
                  </pic:blipFill>
                  <pic:spPr bwMode="auto">
                    <a:xfrm>
                      <a:off x="0" y="0"/>
                      <a:ext cx="427482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637CC" w14:textId="50D9C14A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7874F2ED" w14:textId="528A8315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2708DA84" w14:textId="204D3AEA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1FCBA735" w14:textId="1341259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7147B005" w14:textId="416A7189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1B5DA0B0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43A03A34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294FD040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4E245B7B" w14:textId="77777777" w:rsidR="00D3061A" w:rsidRDefault="00D3061A" w:rsidP="00D3061A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73A9F958" w14:textId="5F6840C9" w:rsidR="00D3061A" w:rsidRDefault="00D3061A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3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Distribución de frecuencia de la CPUE en escala real y logarítmica. </w:t>
      </w:r>
      <w:r w:rsidRPr="00D3061A">
        <w:rPr>
          <w:rFonts w:ascii="Arial Narrow" w:hAnsi="Arial Narrow" w:cs="Times New Roman"/>
          <w:b/>
          <w:bCs/>
          <w:sz w:val="24"/>
          <w:szCs w:val="24"/>
          <w:lang w:val="es-CL"/>
        </w:rPr>
        <w:t>a)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Total de viajes registrados, </w:t>
      </w:r>
      <w:r w:rsidRPr="00D3061A">
        <w:rPr>
          <w:rFonts w:ascii="Arial Narrow" w:hAnsi="Arial Narrow" w:cs="Times New Roman"/>
          <w:b/>
          <w:bCs/>
          <w:sz w:val="24"/>
          <w:szCs w:val="24"/>
          <w:lang w:val="es-CL"/>
        </w:rPr>
        <w:t>b)</w:t>
      </w: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solo viajes con pesca (registros positivos). </w:t>
      </w:r>
    </w:p>
    <w:p w14:paraId="5638F609" w14:textId="62439262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553A5A6" w14:textId="0506A84D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B734106" w14:textId="3F928614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32E93B1" w14:textId="5CE4D2C1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1760DDB" w14:textId="38FE58EF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0A6A284" w14:textId="63B565B0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10AF292" w14:textId="5C089883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0CFD2C0" w14:textId="4FD4DE93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46B8A8A" w14:textId="06D0D8C2" w:rsidR="001E1600" w:rsidRDefault="00BA6B4A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noProof/>
          <w:sz w:val="24"/>
          <w:szCs w:val="24"/>
          <w:lang w:val="es-CL"/>
        </w:rPr>
        <w:lastRenderedPageBreak/>
        <w:drawing>
          <wp:anchor distT="0" distB="0" distL="114300" distR="114300" simplePos="0" relativeHeight="251660288" behindDoc="0" locked="0" layoutInCell="1" allowOverlap="1" wp14:anchorId="0A543011" wp14:editId="6E8793EB">
            <wp:simplePos x="0" y="0"/>
            <wp:positionH relativeFrom="column">
              <wp:posOffset>969645</wp:posOffset>
            </wp:positionH>
            <wp:positionV relativeFrom="paragraph">
              <wp:posOffset>0</wp:posOffset>
            </wp:positionV>
            <wp:extent cx="3870960" cy="235585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41"/>
                    <a:stretch/>
                  </pic:blipFill>
                  <pic:spPr bwMode="auto">
                    <a:xfrm>
                      <a:off x="0" y="0"/>
                      <a:ext cx="38709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6B5BD" w14:textId="4F2718BB" w:rsidR="001E1600" w:rsidRDefault="001E1600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4B86E9D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103BE36F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244C8C48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9970C28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1E0A6015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28C355D8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2FD8CA04" w14:textId="77777777" w:rsidR="00BA6B4A" w:rsidRDefault="00BA6B4A" w:rsidP="001E1600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77F13149" w14:textId="7B88D805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4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Análisis de los residuos en la estandarización de la CPUE a través del modelo log-normal.  </w:t>
      </w:r>
    </w:p>
    <w:p w14:paraId="00EC9CA4" w14:textId="7FC17212" w:rsidR="001E1600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noProof/>
          <w:sz w:val="24"/>
          <w:szCs w:val="24"/>
          <w:lang w:val="es-CL"/>
        </w:rPr>
        <w:drawing>
          <wp:anchor distT="0" distB="0" distL="114300" distR="114300" simplePos="0" relativeHeight="251661312" behindDoc="0" locked="0" layoutInCell="1" allowOverlap="1" wp14:anchorId="5DC3A796" wp14:editId="5F6AB172">
            <wp:simplePos x="0" y="0"/>
            <wp:positionH relativeFrom="column">
              <wp:posOffset>923925</wp:posOffset>
            </wp:positionH>
            <wp:positionV relativeFrom="paragraph">
              <wp:posOffset>20320</wp:posOffset>
            </wp:positionV>
            <wp:extent cx="3969567" cy="2400078"/>
            <wp:effectExtent l="0" t="0" r="0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14"/>
                    <a:stretch/>
                  </pic:blipFill>
                  <pic:spPr bwMode="auto">
                    <a:xfrm>
                      <a:off x="0" y="0"/>
                      <a:ext cx="3969567" cy="2400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D9D479" w14:textId="5DD318E1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65A92B9" w14:textId="2583F855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D27A61C" w14:textId="31CCD069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C11F2A0" w14:textId="64BC44A5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4105C26" w14:textId="777033F0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887DACA" w14:textId="50361F43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385D9EF" w14:textId="02FD454D" w:rsidR="001E1600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drawing>
          <wp:anchor distT="0" distB="0" distL="114300" distR="114300" simplePos="0" relativeHeight="251662336" behindDoc="0" locked="0" layoutInCell="1" allowOverlap="1" wp14:anchorId="5FEF0357" wp14:editId="58D6A0C6">
            <wp:simplePos x="0" y="0"/>
            <wp:positionH relativeFrom="column">
              <wp:posOffset>908050</wp:posOffset>
            </wp:positionH>
            <wp:positionV relativeFrom="paragraph">
              <wp:posOffset>41910</wp:posOffset>
            </wp:positionV>
            <wp:extent cx="3970020" cy="2480431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96"/>
                    <a:stretch/>
                  </pic:blipFill>
                  <pic:spPr bwMode="auto">
                    <a:xfrm>
                      <a:off x="0" y="0"/>
                      <a:ext cx="3970020" cy="2480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DB3FC2" w14:textId="0BABFB87" w:rsidR="001E1600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7AEE477" w14:textId="30153CB9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1A9AB31" w14:textId="75194A91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64E9FB9" w14:textId="71527091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2B56E41" w14:textId="2A9DB8A6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B6D319D" w14:textId="4E6271C2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6C90F6D" w14:textId="7213F725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3391F78" w14:textId="30B183CB" w:rsidR="00BA6B4A" w:rsidRDefault="00BA6B4A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C8B0C6F" w14:textId="27AF66FA" w:rsidR="001E1600" w:rsidRPr="00D3061A" w:rsidRDefault="001E1600" w:rsidP="001E1600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5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Análisis de los residuos en la estandarización de la CPUE a través del modelo </w:t>
      </w:r>
      <w:r w:rsidRPr="001E1600"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a)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Gamma y </w:t>
      </w:r>
      <w:r w:rsidRPr="001E1600">
        <w:rPr>
          <w:rFonts w:ascii="Arial Narrow" w:hAnsi="Arial Narrow" w:cs="Times New Roman"/>
          <w:b/>
          <w:bCs/>
          <w:sz w:val="24"/>
          <w:szCs w:val="24"/>
          <w:lang w:val="es-CL"/>
        </w:rPr>
        <w:t>b)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 Poisson compuesta.  </w:t>
      </w:r>
    </w:p>
    <w:p w14:paraId="698709AC" w14:textId="0ADC3CA2" w:rsidR="001E1600" w:rsidRPr="00D3061A" w:rsidRDefault="004377B2" w:rsidP="00DF6661">
      <w:pPr>
        <w:ind w:left="1440" w:hanging="1440"/>
        <w:jc w:val="center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3E0EDC22" wp14:editId="5B1FD08D">
            <wp:extent cx="5109210" cy="3102610"/>
            <wp:effectExtent l="0" t="0" r="0" b="25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42281D5-6596-4149-9234-D07BEFB01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CA3A99" w14:textId="3571E9A5" w:rsidR="001638BE" w:rsidRPr="00D3061A" w:rsidRDefault="001638BE" w:rsidP="001638BE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 xml:space="preserve">Figura </w:t>
      </w:r>
      <w:r w:rsidR="00DF6661">
        <w:rPr>
          <w:rFonts w:ascii="Arial Narrow" w:hAnsi="Arial Narrow" w:cs="Times New Roman"/>
          <w:b/>
          <w:bCs/>
          <w:sz w:val="24"/>
          <w:szCs w:val="24"/>
          <w:lang w:val="es-CL"/>
        </w:rPr>
        <w:t>6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CPUE nominal y estandarizada por dos Modelos Lineales Generalizados en la pesquería de sardina austral en aguas interiores de la Región de Los Lagos. </w:t>
      </w:r>
    </w:p>
    <w:p w14:paraId="63288241" w14:textId="77777777" w:rsidR="005B1B14" w:rsidRDefault="005B1B14" w:rsidP="005B1B14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51681FB8" w14:textId="485CE000" w:rsidR="005B1B14" w:rsidRDefault="005B1B14" w:rsidP="005B1B14">
      <w:pPr>
        <w:ind w:left="1440" w:hanging="1440"/>
        <w:jc w:val="both"/>
        <w:rPr>
          <w:rFonts w:ascii="Arial Narrow" w:hAnsi="Arial Narrow"/>
          <w:sz w:val="24"/>
          <w:szCs w:val="24"/>
          <w:lang w:val="es-CL"/>
        </w:rPr>
      </w:pPr>
      <w:r w:rsidRPr="00494B5B">
        <w:rPr>
          <w:rFonts w:ascii="Arial Narrow" w:hAnsi="Arial Narrow" w:cs="Times New Roman"/>
          <w:b/>
          <w:bCs/>
          <w:sz w:val="24"/>
          <w:szCs w:val="24"/>
          <w:lang w:val="es-CL"/>
        </w:rPr>
        <w:t>Tabla 2</w:t>
      </w:r>
      <w:r>
        <w:rPr>
          <w:rFonts w:ascii="Arial Narrow" w:hAnsi="Arial Narrow" w:cs="Times New Roman"/>
          <w:sz w:val="24"/>
          <w:szCs w:val="24"/>
          <w:lang w:val="es-CL"/>
        </w:rPr>
        <w:tab/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Estadísticos de los </w:t>
      </w:r>
      <w:r w:rsidR="005D4BC1">
        <w:rPr>
          <w:rFonts w:ascii="Arial Narrow" w:hAnsi="Arial Narrow"/>
          <w:sz w:val="24"/>
          <w:szCs w:val="24"/>
          <w:lang w:val="es-CL"/>
        </w:rPr>
        <w:t>M</w:t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odelos </w:t>
      </w:r>
      <w:r w:rsidR="005D4BC1">
        <w:rPr>
          <w:rFonts w:ascii="Arial Narrow" w:hAnsi="Arial Narrow"/>
          <w:sz w:val="24"/>
          <w:szCs w:val="24"/>
          <w:lang w:val="es-CL"/>
        </w:rPr>
        <w:t>L</w:t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ineales </w:t>
      </w:r>
      <w:r w:rsidR="005D4BC1">
        <w:rPr>
          <w:rFonts w:ascii="Arial Narrow" w:hAnsi="Arial Narrow"/>
          <w:sz w:val="24"/>
          <w:szCs w:val="24"/>
          <w:lang w:val="es-CL"/>
        </w:rPr>
        <w:t xml:space="preserve">Generalizados </w:t>
      </w:r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con su respectiva </w:t>
      </w:r>
      <w:proofErr w:type="spellStart"/>
      <w:r w:rsidR="005D4BC1" w:rsidRPr="005D4BC1">
        <w:rPr>
          <w:rFonts w:ascii="Arial Narrow" w:hAnsi="Arial Narrow"/>
          <w:sz w:val="24"/>
          <w:szCs w:val="24"/>
          <w:lang w:val="es-CL"/>
        </w:rPr>
        <w:t>devianza</w:t>
      </w:r>
      <w:proofErr w:type="spellEnd"/>
      <w:r w:rsidR="005D4BC1" w:rsidRPr="005D4BC1">
        <w:rPr>
          <w:rFonts w:ascii="Arial Narrow" w:hAnsi="Arial Narrow"/>
          <w:sz w:val="24"/>
          <w:szCs w:val="24"/>
          <w:lang w:val="es-CL"/>
        </w:rPr>
        <w:t xml:space="preserve"> explicada en porcentaje</w:t>
      </w:r>
      <w:r w:rsidR="005D4BC1">
        <w:rPr>
          <w:rFonts w:ascii="Arial Narrow" w:hAnsi="Arial Narrow"/>
          <w:sz w:val="24"/>
          <w:szCs w:val="24"/>
          <w:lang w:val="es-CL"/>
        </w:rPr>
        <w:t xml:space="preserve">. </w:t>
      </w:r>
    </w:p>
    <w:tbl>
      <w:tblPr>
        <w:tblW w:w="5105" w:type="dxa"/>
        <w:jc w:val="center"/>
        <w:tblLook w:val="04A0" w:firstRow="1" w:lastRow="0" w:firstColumn="1" w:lastColumn="0" w:noHBand="0" w:noVBand="1"/>
      </w:tblPr>
      <w:tblGrid>
        <w:gridCol w:w="1701"/>
        <w:gridCol w:w="878"/>
        <w:gridCol w:w="1356"/>
        <w:gridCol w:w="1179"/>
      </w:tblGrid>
      <w:tr w:rsidR="004377B2" w:rsidRPr="004377B2" w14:paraId="6C365980" w14:textId="77777777" w:rsidTr="004377B2">
        <w:trPr>
          <w:trHeight w:val="320"/>
          <w:jc w:val="center"/>
        </w:trPr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68ECD118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Factor</w:t>
            </w:r>
          </w:p>
        </w:tc>
        <w:tc>
          <w:tcPr>
            <w:tcW w:w="8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601E628E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Gamma</w:t>
            </w:r>
          </w:p>
        </w:tc>
        <w:tc>
          <w:tcPr>
            <w:tcW w:w="13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08B7BD7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proofErr w:type="spellStart"/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Tweedie</w:t>
            </w:r>
            <w:proofErr w:type="spellEnd"/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14:paraId="0BEBB2C8" w14:textId="01D046BD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</w:rPr>
            </w:pPr>
            <w:proofErr w:type="spellStart"/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Tweedie</w:t>
            </w:r>
            <w:proofErr w:type="spellEnd"/>
            <w:r w:rsidRPr="004377B2"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 xml:space="preserve"> inter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lang w:val="es-CL"/>
              </w:rPr>
              <w:t>acción</w:t>
            </w:r>
          </w:p>
        </w:tc>
      </w:tr>
      <w:tr w:rsidR="004377B2" w:rsidRPr="004377B2" w14:paraId="4B93275D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48233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 xml:space="preserve">Año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3E4BA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5.5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A7356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7.5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773D2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7.5</w:t>
            </w:r>
          </w:p>
        </w:tc>
      </w:tr>
      <w:tr w:rsidR="004377B2" w:rsidRPr="004377B2" w14:paraId="12F30B27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A0029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Mes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51BE2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CB71A9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441F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</w:tr>
      <w:tr w:rsidR="004377B2" w:rsidRPr="004377B2" w14:paraId="0E05044B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FA506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CB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A8017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0D2F1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92032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2.9</w:t>
            </w:r>
          </w:p>
        </w:tc>
      </w:tr>
      <w:tr w:rsidR="004377B2" w:rsidRPr="004377B2" w14:paraId="1F8D907B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827AD3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 xml:space="preserve">Zona  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ED8BB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1.8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D3CF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2.4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806E6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2.4</w:t>
            </w:r>
          </w:p>
        </w:tc>
      </w:tr>
      <w:tr w:rsidR="004377B2" w:rsidRPr="004377B2" w14:paraId="33A2A82E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EC79E1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Zona:Mes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C733F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E0ECE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-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AC349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1.6</w:t>
            </w:r>
          </w:p>
        </w:tc>
      </w:tr>
      <w:tr w:rsidR="004377B2" w:rsidRPr="004377B2" w14:paraId="61BF27F5" w14:textId="77777777" w:rsidTr="004377B2">
        <w:trPr>
          <w:trHeight w:val="290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AAC54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Zona:Año</w:t>
            </w:r>
            <w:proofErr w:type="spellEnd"/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CE28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-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EC4D9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-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2B46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1.1</w:t>
            </w:r>
          </w:p>
        </w:tc>
      </w:tr>
      <w:tr w:rsidR="004377B2" w:rsidRPr="004377B2" w14:paraId="61D1B47A" w14:textId="77777777" w:rsidTr="004377B2">
        <w:trPr>
          <w:trHeight w:val="300"/>
          <w:jc w:val="center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6CD4B7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Dev. Explicada %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297434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11.5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BD551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15.7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1369E0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18.4</w:t>
            </w:r>
          </w:p>
        </w:tc>
      </w:tr>
      <w:tr w:rsidR="004377B2" w:rsidRPr="004377B2" w14:paraId="36A03203" w14:textId="77777777" w:rsidTr="004377B2">
        <w:trPr>
          <w:trHeight w:val="300"/>
          <w:jc w:val="center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05A122" w14:textId="77777777" w:rsidR="004377B2" w:rsidRPr="004377B2" w:rsidRDefault="004377B2" w:rsidP="004377B2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Dev. Residual</w:t>
            </w:r>
          </w:p>
        </w:tc>
        <w:tc>
          <w:tcPr>
            <w:tcW w:w="8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4037603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8800.3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D310B5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21063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34AB66" w14:textId="77777777" w:rsidR="004377B2" w:rsidRPr="004377B2" w:rsidRDefault="004377B2" w:rsidP="004377B2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</w:rPr>
            </w:pPr>
            <w:r w:rsidRPr="004377B2">
              <w:rPr>
                <w:rFonts w:ascii="Arial Narrow" w:eastAsia="Times New Roman" w:hAnsi="Arial Narrow" w:cs="Calibri"/>
                <w:color w:val="000000"/>
                <w:lang w:val="es-CL"/>
              </w:rPr>
              <w:t>21063</w:t>
            </w:r>
          </w:p>
        </w:tc>
      </w:tr>
    </w:tbl>
    <w:p w14:paraId="2E0A3605" w14:textId="77777777" w:rsidR="005D4BC1" w:rsidRPr="005D4BC1" w:rsidRDefault="005D4BC1" w:rsidP="005B1B14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E437AC8" w14:textId="77777777" w:rsidR="001638BE" w:rsidRPr="00D3061A" w:rsidRDefault="001638BE" w:rsidP="00D3061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0ECE5A8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6637E26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0DB8E0D2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6D676121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30D1CD9F" w14:textId="77777777" w:rsidR="00B31666" w:rsidRDefault="00B31666" w:rsidP="00B31666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p w14:paraId="117A7EB0" w14:textId="513EC811" w:rsidR="00B31666" w:rsidRDefault="004377B2" w:rsidP="00B31666">
      <w:pPr>
        <w:ind w:left="1440" w:hanging="1440"/>
        <w:jc w:val="center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lastRenderedPageBreak/>
        <w:drawing>
          <wp:inline distT="0" distB="0" distL="0" distR="0" wp14:anchorId="1304399B" wp14:editId="78BCE045">
            <wp:extent cx="5608320" cy="50825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/>
                    <a:stretch/>
                  </pic:blipFill>
                  <pic:spPr bwMode="auto">
                    <a:xfrm>
                      <a:off x="0" y="0"/>
                      <a:ext cx="56083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37485" w14:textId="39A427DA" w:rsidR="00D3061A" w:rsidRPr="00B31666" w:rsidRDefault="00B31666" w:rsidP="006C69FC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7</w:t>
      </w:r>
      <w:r>
        <w:rPr>
          <w:rFonts w:ascii="Arial Narrow" w:hAnsi="Arial Narrow" w:cs="Times New Roman"/>
          <w:sz w:val="24"/>
          <w:szCs w:val="24"/>
          <w:lang w:val="es-CL"/>
        </w:rPr>
        <w:tab/>
      </w:r>
      <w:r w:rsidRPr="00B31666">
        <w:rPr>
          <w:rFonts w:ascii="Arial Narrow" w:hAnsi="Arial Narrow"/>
          <w:sz w:val="24"/>
          <w:szCs w:val="24"/>
          <w:lang w:val="es-CL"/>
        </w:rPr>
        <w:t xml:space="preserve">Resultados de los principales efectos del modelo de las tasas de capturas sardina austral para el modelo </w:t>
      </w:r>
      <w:proofErr w:type="spellStart"/>
      <w:r w:rsidRPr="00B31666">
        <w:rPr>
          <w:rFonts w:ascii="Arial Narrow" w:hAnsi="Arial Narrow"/>
          <w:sz w:val="24"/>
          <w:szCs w:val="24"/>
          <w:lang w:val="es-CL"/>
        </w:rPr>
        <w:t>Tweedie</w:t>
      </w:r>
      <w:proofErr w:type="spellEnd"/>
      <w:r w:rsidRPr="00B31666">
        <w:rPr>
          <w:rFonts w:ascii="Arial Narrow" w:hAnsi="Arial Narrow"/>
          <w:sz w:val="24"/>
          <w:szCs w:val="24"/>
          <w:lang w:val="es-CL"/>
        </w:rPr>
        <w:t>.</w:t>
      </w:r>
    </w:p>
    <w:p w14:paraId="0C595F8C" w14:textId="5BB324F8" w:rsidR="00606480" w:rsidRPr="00B31666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29E3742" w14:textId="0ABA8771" w:rsidR="00606480" w:rsidRPr="00B31666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0EAB0D4" w14:textId="368E7705" w:rsidR="00606480" w:rsidRPr="00B31666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278C662" w14:textId="3E5F6B61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DA7308B" w14:textId="41FE2933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EF270AF" w14:textId="035C359D" w:rsidR="00606480" w:rsidRDefault="00606480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38176CB" w14:textId="18B70A69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1172E9E" w14:textId="31644063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6E06D966" w14:textId="17CF0A2E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530FAF37" w14:textId="6A2728ED" w:rsidR="006B7C5F" w:rsidRDefault="006B7C5F" w:rsidP="006B7C5F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noProof/>
          <w:sz w:val="24"/>
          <w:szCs w:val="24"/>
          <w:lang w:val="es-CL"/>
        </w:rPr>
        <w:lastRenderedPageBreak/>
        <w:drawing>
          <wp:inline distT="0" distB="0" distL="0" distR="0" wp14:anchorId="4032DE45" wp14:editId="7690544A">
            <wp:extent cx="5608320" cy="508254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/>
                    <a:stretch/>
                  </pic:blipFill>
                  <pic:spPr bwMode="auto">
                    <a:xfrm>
                      <a:off x="0" y="0"/>
                      <a:ext cx="56083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540DDE" w14:textId="007F9BDC" w:rsidR="006B7C5F" w:rsidRDefault="006B7C5F" w:rsidP="006B7C5F">
      <w:pPr>
        <w:ind w:left="1440" w:hanging="1440"/>
        <w:jc w:val="both"/>
        <w:rPr>
          <w:rFonts w:ascii="Arial Narrow" w:hAnsi="Arial Narrow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8</w:t>
      </w:r>
      <w:r>
        <w:rPr>
          <w:rFonts w:ascii="Arial Narrow" w:hAnsi="Arial Narrow" w:cs="Times New Roman"/>
          <w:sz w:val="24"/>
          <w:szCs w:val="24"/>
          <w:lang w:val="es-CL"/>
        </w:rPr>
        <w:tab/>
      </w:r>
      <w:r w:rsidRPr="00B31666">
        <w:rPr>
          <w:rFonts w:ascii="Arial Narrow" w:hAnsi="Arial Narrow"/>
          <w:sz w:val="24"/>
          <w:szCs w:val="24"/>
          <w:lang w:val="es-CL"/>
        </w:rPr>
        <w:t xml:space="preserve">Resultados de los principales efectos del modelo de las tasas de capturas sardina austral para el modelo </w:t>
      </w:r>
      <w:proofErr w:type="spellStart"/>
      <w:r w:rsidRPr="00B31666">
        <w:rPr>
          <w:rFonts w:ascii="Arial Narrow" w:hAnsi="Arial Narrow"/>
          <w:sz w:val="24"/>
          <w:szCs w:val="24"/>
          <w:lang w:val="es-CL"/>
        </w:rPr>
        <w:t>Tweedie</w:t>
      </w:r>
      <w:proofErr w:type="spellEnd"/>
      <w:r>
        <w:rPr>
          <w:rFonts w:ascii="Arial Narrow" w:hAnsi="Arial Narrow"/>
          <w:sz w:val="24"/>
          <w:szCs w:val="24"/>
          <w:lang w:val="es-CL"/>
        </w:rPr>
        <w:t xml:space="preserve"> con interacciones</w:t>
      </w:r>
      <w:r w:rsidRPr="00B31666">
        <w:rPr>
          <w:rFonts w:ascii="Arial Narrow" w:hAnsi="Arial Narrow"/>
          <w:sz w:val="24"/>
          <w:szCs w:val="24"/>
          <w:lang w:val="es-CL"/>
        </w:rPr>
        <w:t>.</w:t>
      </w:r>
    </w:p>
    <w:p w14:paraId="3A8AE771" w14:textId="7DDDAD72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3C53DA16" w14:textId="77E25894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416D16C2" w14:textId="110EE706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03C17CCB" w14:textId="30DD2049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E2C4E43" w14:textId="74C32D97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EB8DE1B" w14:textId="152DB383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154C6C41" w14:textId="2FE1ADEA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FD9BB9A" w14:textId="5EFEFBBA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70C0747" w14:textId="523FF03C" w:rsidR="00B2290A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9F00503" w14:textId="52F5BA5D" w:rsidR="00CF4752" w:rsidRDefault="00CF4752" w:rsidP="00CF4752">
      <w:pPr>
        <w:ind w:left="1440" w:hanging="1440"/>
        <w:jc w:val="center"/>
        <w:rPr>
          <w:rFonts w:ascii="Arial Narrow" w:hAnsi="Arial Narrow" w:cs="Times New Roman"/>
          <w:sz w:val="24"/>
          <w:szCs w:val="24"/>
          <w:lang w:val="es-CL"/>
        </w:rPr>
      </w:pPr>
      <w:r>
        <w:rPr>
          <w:noProof/>
        </w:rPr>
        <w:lastRenderedPageBreak/>
        <w:drawing>
          <wp:inline distT="0" distB="0" distL="0" distR="0" wp14:anchorId="37FB6644" wp14:editId="428F086F">
            <wp:extent cx="5107940" cy="3100070"/>
            <wp:effectExtent l="0" t="0" r="0" b="508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77C8F1DC-4193-4CEA-9E17-34E14D7371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05CA0EF" w14:textId="061E44BE" w:rsidR="00B2290A" w:rsidRPr="00D3061A" w:rsidRDefault="00B2290A" w:rsidP="00B2290A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  <w:r>
        <w:rPr>
          <w:rFonts w:ascii="Arial Narrow" w:hAnsi="Arial Narrow" w:cs="Times New Roman"/>
          <w:b/>
          <w:bCs/>
          <w:sz w:val="24"/>
          <w:szCs w:val="24"/>
          <w:lang w:val="es-CL"/>
        </w:rPr>
        <w:t>Figura 9</w:t>
      </w:r>
      <w:r>
        <w:rPr>
          <w:rFonts w:ascii="Arial Narrow" w:hAnsi="Arial Narrow" w:cs="Times New Roman"/>
          <w:sz w:val="24"/>
          <w:szCs w:val="24"/>
          <w:lang w:val="es-CL"/>
        </w:rPr>
        <w:tab/>
        <w:t xml:space="preserve">CPUE nominal y estandarizada por dos Modelos Lineales Generalizados </w:t>
      </w:r>
      <w:r w:rsidR="00CF4752">
        <w:rPr>
          <w:rFonts w:ascii="Arial Narrow" w:hAnsi="Arial Narrow" w:cs="Times New Roman"/>
          <w:sz w:val="24"/>
          <w:szCs w:val="24"/>
          <w:lang w:val="es-CL"/>
        </w:rPr>
        <w:t>(</w:t>
      </w:r>
      <w:proofErr w:type="spellStart"/>
      <w:r w:rsidR="00CF4752">
        <w:rPr>
          <w:rFonts w:ascii="Arial Narrow" w:hAnsi="Arial Narrow" w:cs="Times New Roman"/>
          <w:sz w:val="24"/>
          <w:szCs w:val="24"/>
          <w:lang w:val="es-CL"/>
        </w:rPr>
        <w:t>Tweedie</w:t>
      </w:r>
      <w:proofErr w:type="spellEnd"/>
      <w:r w:rsidR="00CF4752">
        <w:rPr>
          <w:rFonts w:ascii="Arial Narrow" w:hAnsi="Arial Narrow" w:cs="Times New Roman"/>
          <w:sz w:val="24"/>
          <w:szCs w:val="24"/>
          <w:lang w:val="es-CL"/>
        </w:rPr>
        <w:t xml:space="preserve"> y </w:t>
      </w:r>
      <w:proofErr w:type="spellStart"/>
      <w:r w:rsidR="00CF4752">
        <w:rPr>
          <w:rFonts w:ascii="Arial Narrow" w:hAnsi="Arial Narrow" w:cs="Times New Roman"/>
          <w:sz w:val="24"/>
          <w:szCs w:val="24"/>
          <w:lang w:val="es-CL"/>
        </w:rPr>
        <w:t>Tweedie</w:t>
      </w:r>
      <w:proofErr w:type="spellEnd"/>
      <w:r w:rsidR="00CF4752">
        <w:rPr>
          <w:rFonts w:ascii="Arial Narrow" w:hAnsi="Arial Narrow" w:cs="Times New Roman"/>
          <w:sz w:val="24"/>
          <w:szCs w:val="24"/>
          <w:lang w:val="es-CL"/>
        </w:rPr>
        <w:t xml:space="preserve"> con interacciones) </w:t>
      </w:r>
      <w:r>
        <w:rPr>
          <w:rFonts w:ascii="Arial Narrow" w:hAnsi="Arial Narrow" w:cs="Times New Roman"/>
          <w:sz w:val="24"/>
          <w:szCs w:val="24"/>
          <w:lang w:val="es-CL"/>
        </w:rPr>
        <w:t xml:space="preserve">en la pesquería de sardina austral en aguas interiores de la Región de Los Lagos. </w:t>
      </w:r>
    </w:p>
    <w:p w14:paraId="056CF76C" w14:textId="77777777" w:rsidR="00B2290A" w:rsidRPr="00B31666" w:rsidRDefault="00B2290A" w:rsidP="006B7C5F">
      <w:pPr>
        <w:ind w:left="1440" w:hanging="1440"/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7CC63E61" w14:textId="77777777" w:rsidR="006B7C5F" w:rsidRDefault="006B7C5F" w:rsidP="007D4423">
      <w:pPr>
        <w:jc w:val="both"/>
        <w:rPr>
          <w:rFonts w:ascii="Arial Narrow" w:hAnsi="Arial Narrow" w:cs="Times New Roman"/>
          <w:sz w:val="24"/>
          <w:szCs w:val="24"/>
          <w:lang w:val="es-CL"/>
        </w:rPr>
      </w:pPr>
    </w:p>
    <w:p w14:paraId="232F5620" w14:textId="77777777" w:rsidR="00470719" w:rsidRDefault="00470719" w:rsidP="00494B5B">
      <w:pPr>
        <w:ind w:left="1440" w:hanging="1440"/>
        <w:jc w:val="both"/>
        <w:rPr>
          <w:rFonts w:ascii="Arial Narrow" w:hAnsi="Arial Narrow" w:cs="Times New Roman"/>
          <w:b/>
          <w:bCs/>
          <w:sz w:val="24"/>
          <w:szCs w:val="24"/>
          <w:lang w:val="es-CL"/>
        </w:rPr>
      </w:pPr>
    </w:p>
    <w:sectPr w:rsidR="00470719" w:rsidSect="00CD11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23"/>
    <w:rsid w:val="00004460"/>
    <w:rsid w:val="00071881"/>
    <w:rsid w:val="00092C07"/>
    <w:rsid w:val="000A4D51"/>
    <w:rsid w:val="000C5C02"/>
    <w:rsid w:val="001638BE"/>
    <w:rsid w:val="001E1600"/>
    <w:rsid w:val="001F2003"/>
    <w:rsid w:val="002174D3"/>
    <w:rsid w:val="00225776"/>
    <w:rsid w:val="00232F9D"/>
    <w:rsid w:val="00281063"/>
    <w:rsid w:val="002A6A3A"/>
    <w:rsid w:val="0038178A"/>
    <w:rsid w:val="003A03A6"/>
    <w:rsid w:val="003A4AAD"/>
    <w:rsid w:val="003C2254"/>
    <w:rsid w:val="004377B2"/>
    <w:rsid w:val="00437B9C"/>
    <w:rsid w:val="00456933"/>
    <w:rsid w:val="00460836"/>
    <w:rsid w:val="00470719"/>
    <w:rsid w:val="0048416A"/>
    <w:rsid w:val="00494B5B"/>
    <w:rsid w:val="005527FB"/>
    <w:rsid w:val="005B1B14"/>
    <w:rsid w:val="005D4BC1"/>
    <w:rsid w:val="00606480"/>
    <w:rsid w:val="0062091F"/>
    <w:rsid w:val="00674311"/>
    <w:rsid w:val="006B7C5F"/>
    <w:rsid w:val="006C69FC"/>
    <w:rsid w:val="007C75AB"/>
    <w:rsid w:val="007D4423"/>
    <w:rsid w:val="00873BAE"/>
    <w:rsid w:val="008B0B9A"/>
    <w:rsid w:val="008B7C05"/>
    <w:rsid w:val="0099466E"/>
    <w:rsid w:val="009A3CD3"/>
    <w:rsid w:val="00AD7222"/>
    <w:rsid w:val="00B2290A"/>
    <w:rsid w:val="00B31666"/>
    <w:rsid w:val="00B37548"/>
    <w:rsid w:val="00BA6B4A"/>
    <w:rsid w:val="00C24CFB"/>
    <w:rsid w:val="00C9221A"/>
    <w:rsid w:val="00CC1F68"/>
    <w:rsid w:val="00CD115B"/>
    <w:rsid w:val="00CD16EE"/>
    <w:rsid w:val="00CE6076"/>
    <w:rsid w:val="00CF4752"/>
    <w:rsid w:val="00D07B45"/>
    <w:rsid w:val="00D27AB0"/>
    <w:rsid w:val="00D3061A"/>
    <w:rsid w:val="00D41010"/>
    <w:rsid w:val="00DA2CA5"/>
    <w:rsid w:val="00DF6661"/>
    <w:rsid w:val="00E83287"/>
    <w:rsid w:val="00EB46EB"/>
    <w:rsid w:val="00EC73DC"/>
    <w:rsid w:val="00EE261D"/>
    <w:rsid w:val="00F2446F"/>
    <w:rsid w:val="00F4336E"/>
    <w:rsid w:val="00FD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AA45"/>
  <w15:chartTrackingRefBased/>
  <w15:docId w15:val="{D3BE3946-DEEF-4EA1-A22C-2E6C4F45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chart" Target="charts/chart1.xml"/><Relationship Id="rId9" Type="http://schemas.openxmlformats.org/officeDocument/2006/relationships/image" Target="media/image5.jpe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ristina.perez\Documents\Recursos\Sardina%20Austral\CPUE_Los_Lagos_MaC\estandarizacion\CPUE_MODEL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cristina.perez\Documents\Recursos\Sardina%20Austral\CPUE_Los_Lagos_MaC\estandarizacion\CPUE_MODELO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531230539414014"/>
          <c:y val="6.9308580952928342E-2"/>
          <c:w val="0.76868942274865748"/>
          <c:h val="0.77361087163374653"/>
        </c:manualLayout>
      </c:layout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Norte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Hoja1!$B$2:$B$17</c:f>
              <c:numCache>
                <c:formatCode>General</c:formatCode>
                <c:ptCount val="16"/>
                <c:pt idx="0">
                  <c:v>14</c:v>
                </c:pt>
                <c:pt idx="2">
                  <c:v>23</c:v>
                </c:pt>
                <c:pt idx="3">
                  <c:v>23</c:v>
                </c:pt>
                <c:pt idx="4">
                  <c:v>30</c:v>
                </c:pt>
                <c:pt idx="5">
                  <c:v>20</c:v>
                </c:pt>
                <c:pt idx="6">
                  <c:v>17</c:v>
                </c:pt>
                <c:pt idx="7">
                  <c:v>14</c:v>
                </c:pt>
                <c:pt idx="8">
                  <c:v>25</c:v>
                </c:pt>
                <c:pt idx="9">
                  <c:v>31</c:v>
                </c:pt>
                <c:pt idx="10">
                  <c:v>25</c:v>
                </c:pt>
                <c:pt idx="11">
                  <c:v>28</c:v>
                </c:pt>
                <c:pt idx="12">
                  <c:v>12</c:v>
                </c:pt>
                <c:pt idx="13">
                  <c:v>15</c:v>
                </c:pt>
                <c:pt idx="14">
                  <c:v>13</c:v>
                </c:pt>
                <c:pt idx="15">
                  <c:v>43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15-413C-A5A9-35B21C386036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Centro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Hoja1!$C$2:$C$17</c:f>
              <c:numCache>
                <c:formatCode>General</c:formatCode>
                <c:ptCount val="16"/>
                <c:pt idx="1">
                  <c:v>33</c:v>
                </c:pt>
                <c:pt idx="2">
                  <c:v>35</c:v>
                </c:pt>
                <c:pt idx="3">
                  <c:v>38</c:v>
                </c:pt>
                <c:pt idx="4">
                  <c:v>32</c:v>
                </c:pt>
                <c:pt idx="5">
                  <c:v>15</c:v>
                </c:pt>
                <c:pt idx="6">
                  <c:v>23</c:v>
                </c:pt>
                <c:pt idx="7">
                  <c:v>16</c:v>
                </c:pt>
                <c:pt idx="8">
                  <c:v>34</c:v>
                </c:pt>
                <c:pt idx="9">
                  <c:v>46</c:v>
                </c:pt>
                <c:pt idx="10">
                  <c:v>46</c:v>
                </c:pt>
                <c:pt idx="11">
                  <c:v>34</c:v>
                </c:pt>
                <c:pt idx="12">
                  <c:v>23</c:v>
                </c:pt>
                <c:pt idx="13">
                  <c:v>21</c:v>
                </c:pt>
                <c:pt idx="14">
                  <c:v>25</c:v>
                </c:pt>
                <c:pt idx="15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D15-413C-A5A9-35B21C386036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Sur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Hoja1!$D$2:$D$17</c:f>
              <c:numCache>
                <c:formatCode>General</c:formatCode>
                <c:ptCount val="16"/>
                <c:pt idx="1">
                  <c:v>30</c:v>
                </c:pt>
                <c:pt idx="2">
                  <c:v>42</c:v>
                </c:pt>
                <c:pt idx="3">
                  <c:v>43</c:v>
                </c:pt>
                <c:pt idx="5">
                  <c:v>29</c:v>
                </c:pt>
                <c:pt idx="6">
                  <c:v>33</c:v>
                </c:pt>
                <c:pt idx="7">
                  <c:v>33</c:v>
                </c:pt>
                <c:pt idx="8">
                  <c:v>43</c:v>
                </c:pt>
                <c:pt idx="9">
                  <c:v>52</c:v>
                </c:pt>
                <c:pt idx="10">
                  <c:v>31</c:v>
                </c:pt>
                <c:pt idx="11">
                  <c:v>29</c:v>
                </c:pt>
                <c:pt idx="12">
                  <c:v>37</c:v>
                </c:pt>
                <c:pt idx="13">
                  <c:v>28</c:v>
                </c:pt>
                <c:pt idx="14">
                  <c:v>34</c:v>
                </c:pt>
                <c:pt idx="15">
                  <c:v>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D15-413C-A5A9-35B21C386036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Total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Hoja1!$A$2:$A$17</c:f>
              <c:numCache>
                <c:formatCode>General</c:formatCode>
                <c:ptCount val="16"/>
                <c:pt idx="0">
                  <c:v>2005</c:v>
                </c:pt>
                <c:pt idx="1">
                  <c:v>2006</c:v>
                </c:pt>
                <c:pt idx="2">
                  <c:v>2007</c:v>
                </c:pt>
                <c:pt idx="3">
                  <c:v>2008</c:v>
                </c:pt>
                <c:pt idx="4">
                  <c:v>2009</c:v>
                </c:pt>
                <c:pt idx="5">
                  <c:v>2010</c:v>
                </c:pt>
                <c:pt idx="6">
                  <c:v>2011</c:v>
                </c:pt>
                <c:pt idx="7">
                  <c:v>2012</c:v>
                </c:pt>
                <c:pt idx="8">
                  <c:v>2013</c:v>
                </c:pt>
                <c:pt idx="9">
                  <c:v>2014</c:v>
                </c:pt>
                <c:pt idx="10">
                  <c:v>2015</c:v>
                </c:pt>
                <c:pt idx="11">
                  <c:v>2016</c:v>
                </c:pt>
                <c:pt idx="12">
                  <c:v>2017</c:v>
                </c:pt>
                <c:pt idx="13">
                  <c:v>2018</c:v>
                </c:pt>
                <c:pt idx="14">
                  <c:v>2019</c:v>
                </c:pt>
                <c:pt idx="15">
                  <c:v>2020</c:v>
                </c:pt>
              </c:numCache>
            </c:numRef>
          </c:xVal>
          <c:yVal>
            <c:numRef>
              <c:f>Hoja1!$E$2:$E$17</c:f>
              <c:numCache>
                <c:formatCode>General</c:formatCode>
                <c:ptCount val="16"/>
                <c:pt idx="0">
                  <c:v>14</c:v>
                </c:pt>
                <c:pt idx="1">
                  <c:v>63</c:v>
                </c:pt>
                <c:pt idx="2">
                  <c:v>101</c:v>
                </c:pt>
                <c:pt idx="3">
                  <c:v>104</c:v>
                </c:pt>
                <c:pt idx="4">
                  <c:v>62</c:v>
                </c:pt>
                <c:pt idx="5">
                  <c:v>63</c:v>
                </c:pt>
                <c:pt idx="6">
                  <c:v>74</c:v>
                </c:pt>
                <c:pt idx="7">
                  <c:v>63</c:v>
                </c:pt>
                <c:pt idx="8">
                  <c:v>103</c:v>
                </c:pt>
                <c:pt idx="9">
                  <c:v>129</c:v>
                </c:pt>
                <c:pt idx="10">
                  <c:v>102</c:v>
                </c:pt>
                <c:pt idx="11">
                  <c:v>91</c:v>
                </c:pt>
                <c:pt idx="12">
                  <c:v>72</c:v>
                </c:pt>
                <c:pt idx="13">
                  <c:v>65</c:v>
                </c:pt>
                <c:pt idx="14">
                  <c:v>72</c:v>
                </c:pt>
                <c:pt idx="15">
                  <c:v>141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D15-413C-A5A9-35B21C3860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385784"/>
        <c:axId val="534387424"/>
      </c:scatterChart>
      <c:valAx>
        <c:axId val="534385784"/>
        <c:scaling>
          <c:orientation val="minMax"/>
          <c:max val="2020"/>
          <c:min val="2004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Años</a:t>
                </a:r>
              </a:p>
            </c:rich>
          </c:tx>
          <c:layout>
            <c:manualLayout>
              <c:xMode val="edge"/>
              <c:yMode val="edge"/>
              <c:x val="0.50392898485942528"/>
              <c:y val="0.934746888390776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387424"/>
        <c:crosses val="autoZero"/>
        <c:crossBetween val="midCat"/>
      </c:valAx>
      <c:valAx>
        <c:axId val="534387424"/>
        <c:scaling>
          <c:orientation val="minMax"/>
          <c:max val="15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Captura (toneladas)</a:t>
                </a:r>
              </a:p>
            </c:rich>
          </c:tx>
          <c:layout>
            <c:manualLayout>
              <c:xMode val="edge"/>
              <c:yMode val="edge"/>
              <c:x val="1.623000231857176E-2"/>
              <c:y val="0.31111706739782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385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4153705677619993"/>
          <c:y val="4.2108741881717343E-2"/>
          <c:w val="0.12731295789510197"/>
          <c:h val="0.251117829021372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997534443344749"/>
          <c:y val="5.1044083526682132E-2"/>
          <c:w val="0.81948205792963313"/>
          <c:h val="0.73564608948243415"/>
        </c:manualLayout>
      </c:layout>
      <c:scatterChart>
        <c:scatterStyle val="lineMarker"/>
        <c:varyColors val="0"/>
        <c:ser>
          <c:idx val="0"/>
          <c:order val="0"/>
          <c:tx>
            <c:v>Gamma</c:v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'2021_viejo'!$R$18:$R$31</c:f>
              <c:numCache>
                <c:formatCode>General</c:formatCode>
                <c:ptCount val="14"/>
                <c:pt idx="0">
                  <c:v>26.629799999999999</c:v>
                </c:pt>
                <c:pt idx="1">
                  <c:v>25.977409999999999</c:v>
                </c:pt>
                <c:pt idx="2">
                  <c:v>30.668710000000001</c:v>
                </c:pt>
                <c:pt idx="3">
                  <c:v>20.67164</c:v>
                </c:pt>
                <c:pt idx="4">
                  <c:v>19.389679999999998</c:v>
                </c:pt>
                <c:pt idx="5">
                  <c:v>13.682969999999999</c:v>
                </c:pt>
                <c:pt idx="6">
                  <c:v>22.875920000000001</c:v>
                </c:pt>
                <c:pt idx="7">
                  <c:v>30.584219999999998</c:v>
                </c:pt>
                <c:pt idx="8">
                  <c:v>26.094570000000001</c:v>
                </c:pt>
                <c:pt idx="9">
                  <c:v>22.39442</c:v>
                </c:pt>
                <c:pt idx="10">
                  <c:v>14.371359999999999</c:v>
                </c:pt>
                <c:pt idx="11">
                  <c:v>10.47425</c:v>
                </c:pt>
                <c:pt idx="12">
                  <c:v>14.83639</c:v>
                </c:pt>
                <c:pt idx="13">
                  <c:v>29.66262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1A2-48FB-95D7-8D3FDE138A55}"/>
            </c:ext>
          </c:extLst>
        </c:ser>
        <c:ser>
          <c:idx val="1"/>
          <c:order val="1"/>
          <c:tx>
            <c:v>Tweedie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'2021_viejo'!$O$18:$O$31</c:f>
              <c:numCache>
                <c:formatCode>General</c:formatCode>
                <c:ptCount val="14"/>
                <c:pt idx="0">
                  <c:v>26.414380000000001</c:v>
                </c:pt>
                <c:pt idx="1">
                  <c:v>25.859780000000001</c:v>
                </c:pt>
                <c:pt idx="2">
                  <c:v>30.499749999999999</c:v>
                </c:pt>
                <c:pt idx="3">
                  <c:v>20.238620000000001</c:v>
                </c:pt>
                <c:pt idx="4">
                  <c:v>19.24738</c:v>
                </c:pt>
                <c:pt idx="5">
                  <c:v>13.572369999999999</c:v>
                </c:pt>
                <c:pt idx="6">
                  <c:v>21.626989999999999</c:v>
                </c:pt>
                <c:pt idx="7">
                  <c:v>29.465309999999999</c:v>
                </c:pt>
                <c:pt idx="8">
                  <c:v>26.35248</c:v>
                </c:pt>
                <c:pt idx="9">
                  <c:v>21.580549999999999</c:v>
                </c:pt>
                <c:pt idx="10">
                  <c:v>14.615769999999999</c:v>
                </c:pt>
                <c:pt idx="11">
                  <c:v>10.130269999999999</c:v>
                </c:pt>
                <c:pt idx="12">
                  <c:v>14.107609999999999</c:v>
                </c:pt>
                <c:pt idx="13">
                  <c:v>28.927869999999999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A2-48FB-95D7-8D3FDE138A55}"/>
            </c:ext>
          </c:extLst>
        </c:ser>
        <c:ser>
          <c:idx val="2"/>
          <c:order val="2"/>
          <c:tx>
            <c:v>Nominal</c:v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'2021_viejo'!$Q$18:$Q$31</c:f>
              <c:numCache>
                <c:formatCode>General</c:formatCode>
                <c:ptCount val="14"/>
                <c:pt idx="0">
                  <c:v>27.579889298893001</c:v>
                </c:pt>
                <c:pt idx="1">
                  <c:v>24.0407174323474</c:v>
                </c:pt>
                <c:pt idx="2">
                  <c:v>25.258160083160099</c:v>
                </c:pt>
                <c:pt idx="3">
                  <c:v>16.111381475667201</c:v>
                </c:pt>
                <c:pt idx="4">
                  <c:v>17.3668484848485</c:v>
                </c:pt>
                <c:pt idx="5">
                  <c:v>14.959887798036499</c:v>
                </c:pt>
                <c:pt idx="6">
                  <c:v>25.326633663366302</c:v>
                </c:pt>
                <c:pt idx="7">
                  <c:v>35.090083832335303</c:v>
                </c:pt>
                <c:pt idx="8">
                  <c:v>37.439430379746803</c:v>
                </c:pt>
                <c:pt idx="9">
                  <c:v>29.436956521739098</c:v>
                </c:pt>
                <c:pt idx="10">
                  <c:v>21.979047619047599</c:v>
                </c:pt>
                <c:pt idx="11">
                  <c:v>15.297630156249999</c:v>
                </c:pt>
                <c:pt idx="12">
                  <c:v>20.251561379310299</c:v>
                </c:pt>
                <c:pt idx="13">
                  <c:v>47.908689560439598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1A2-48FB-95D7-8D3FDE138A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983072"/>
        <c:axId val="537977168"/>
      </c:scatterChart>
      <c:valAx>
        <c:axId val="537983072"/>
        <c:scaling>
          <c:orientation val="minMax"/>
          <c:min val="2006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Año</a:t>
                </a:r>
              </a:p>
            </c:rich>
          </c:tx>
          <c:layout>
            <c:manualLayout>
              <c:xMode val="edge"/>
              <c:yMode val="edge"/>
              <c:x val="0.50709690557312148"/>
              <c:y val="0.885058004640371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977168"/>
        <c:crosses val="autoZero"/>
        <c:crossBetween val="midCat"/>
      </c:valAx>
      <c:valAx>
        <c:axId val="537977168"/>
        <c:scaling>
          <c:orientation val="minMax"/>
          <c:max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CPUE (t/viaje)</a:t>
                </a:r>
              </a:p>
            </c:rich>
          </c:tx>
          <c:layout>
            <c:manualLayout>
              <c:xMode val="edge"/>
              <c:yMode val="edge"/>
              <c:x val="1.6685205784204672E-2"/>
              <c:y val="0.310375066225770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983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575648681498706"/>
          <c:y val="6.9963636129803913E-2"/>
          <c:w val="0.17227183850340852"/>
          <c:h val="0.165504480376049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997534443344749"/>
          <c:y val="5.1044083526682132E-2"/>
          <c:w val="0.81948205792963313"/>
          <c:h val="0.73564608948243415"/>
        </c:manualLayout>
      </c:layout>
      <c:scatterChart>
        <c:scatterStyle val="lineMarker"/>
        <c:varyColors val="0"/>
        <c:ser>
          <c:idx val="1"/>
          <c:order val="0"/>
          <c:tx>
            <c:v>Tweedie</c:v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'2021_viejo'!$O$18:$O$31</c:f>
              <c:numCache>
                <c:formatCode>General</c:formatCode>
                <c:ptCount val="14"/>
                <c:pt idx="0">
                  <c:v>26.414380000000001</c:v>
                </c:pt>
                <c:pt idx="1">
                  <c:v>25.859780000000001</c:v>
                </c:pt>
                <c:pt idx="2">
                  <c:v>30.499749999999999</c:v>
                </c:pt>
                <c:pt idx="3">
                  <c:v>20.238620000000001</c:v>
                </c:pt>
                <c:pt idx="4">
                  <c:v>19.24738</c:v>
                </c:pt>
                <c:pt idx="5">
                  <c:v>13.572369999999999</c:v>
                </c:pt>
                <c:pt idx="6">
                  <c:v>21.626989999999999</c:v>
                </c:pt>
                <c:pt idx="7">
                  <c:v>29.465309999999999</c:v>
                </c:pt>
                <c:pt idx="8">
                  <c:v>26.35248</c:v>
                </c:pt>
                <c:pt idx="9">
                  <c:v>21.580549999999999</c:v>
                </c:pt>
                <c:pt idx="10">
                  <c:v>14.615769999999999</c:v>
                </c:pt>
                <c:pt idx="11">
                  <c:v>10.130269999999999</c:v>
                </c:pt>
                <c:pt idx="12">
                  <c:v>14.107609999999999</c:v>
                </c:pt>
                <c:pt idx="13">
                  <c:v>28.927869999999999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F5-4AC1-8DA2-40FEE20373E0}"/>
            </c:ext>
          </c:extLst>
        </c:ser>
        <c:ser>
          <c:idx val="0"/>
          <c:order val="1"/>
          <c:tx>
            <c:v>Tweedie interacciones</c:v>
          </c:tx>
          <c:spPr>
            <a:ln w="2222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'2021_viejo'!$M$18:$M$31</c:f>
              <c:numCache>
                <c:formatCode>General</c:formatCode>
                <c:ptCount val="14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  <c:pt idx="11">
                  <c:v>2018</c:v>
                </c:pt>
                <c:pt idx="12">
                  <c:v>2019</c:v>
                </c:pt>
                <c:pt idx="13">
                  <c:v>2020</c:v>
                </c:pt>
              </c:numCache>
            </c:numRef>
          </c:xVal>
          <c:yVal>
            <c:numRef>
              <c:f>'2021_viejo'!$P$18:$P$31</c:f>
              <c:numCache>
                <c:formatCode>General</c:formatCode>
                <c:ptCount val="14"/>
                <c:pt idx="0">
                  <c:v>23.609811000000001</c:v>
                </c:pt>
                <c:pt idx="1">
                  <c:v>21.645078999999999</c:v>
                </c:pt>
                <c:pt idx="2">
                  <c:v>28.112324999999998</c:v>
                </c:pt>
                <c:pt idx="3">
                  <c:v>19.082077999999999</c:v>
                </c:pt>
                <c:pt idx="4">
                  <c:v>16.272248000000001</c:v>
                </c:pt>
                <c:pt idx="5">
                  <c:v>13.711608</c:v>
                </c:pt>
                <c:pt idx="6">
                  <c:v>35.572243999999998</c:v>
                </c:pt>
                <c:pt idx="7">
                  <c:v>27.719045000000001</c:v>
                </c:pt>
                <c:pt idx="8">
                  <c:v>23.066724000000001</c:v>
                </c:pt>
                <c:pt idx="9">
                  <c:v>24.023015999999998</c:v>
                </c:pt>
                <c:pt idx="10">
                  <c:v>10.826228</c:v>
                </c:pt>
                <c:pt idx="11">
                  <c:v>10.179448000000001</c:v>
                </c:pt>
                <c:pt idx="12">
                  <c:v>8.6036920000000006</c:v>
                </c:pt>
                <c:pt idx="13">
                  <c:v>41.401040000000002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F5-4AC1-8DA2-40FEE20373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983072"/>
        <c:axId val="537977168"/>
      </c:scatterChart>
      <c:valAx>
        <c:axId val="537983072"/>
        <c:scaling>
          <c:orientation val="minMax"/>
          <c:min val="2006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Año</a:t>
                </a:r>
              </a:p>
            </c:rich>
          </c:tx>
          <c:layout>
            <c:manualLayout>
              <c:xMode val="edge"/>
              <c:yMode val="edge"/>
              <c:x val="0.50709690557312148"/>
              <c:y val="0.885058004640371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977168"/>
        <c:crosses val="autoZero"/>
        <c:crossBetween val="midCat"/>
      </c:valAx>
      <c:valAx>
        <c:axId val="537977168"/>
        <c:scaling>
          <c:orientation val="minMax"/>
          <c:max val="5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>
                    <a:solidFill>
                      <a:sysClr val="windowText" lastClr="000000"/>
                    </a:solidFill>
                    <a:latin typeface="Arial Narrow" panose="020B0606020202030204" pitchFamily="34" charset="0"/>
                  </a:rPr>
                  <a:t>CPUE (t/viaje)</a:t>
                </a:r>
              </a:p>
            </c:rich>
          </c:tx>
          <c:layout>
            <c:manualLayout>
              <c:xMode val="edge"/>
              <c:yMode val="edge"/>
              <c:x val="1.6685205784204672E-2"/>
              <c:y val="0.3103750662257704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7983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9575648681498706"/>
          <c:y val="6.9963636129803913E-2"/>
          <c:w val="0.2784196760337827"/>
          <c:h val="0.1382639746844426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Cristina Pérez Cuesta</dc:creator>
  <cp:keywords/>
  <dc:description/>
  <cp:lastModifiedBy>María Cristina Pérez Cuesta</cp:lastModifiedBy>
  <cp:revision>10</cp:revision>
  <dcterms:created xsi:type="dcterms:W3CDTF">2021-06-01T23:58:00Z</dcterms:created>
  <dcterms:modified xsi:type="dcterms:W3CDTF">2021-06-03T14:47:00Z</dcterms:modified>
</cp:coreProperties>
</file>