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39" w:name="X615070a14312c7c60d33364d76dd1e654102b80"/>
    <w:p>
      <w:pPr>
        <w:pStyle w:val="Ttulo1"/>
      </w:pPr>
      <w:r>
        <w:t xml:space="preserve">Ane.27.9a stock (Anchovy in ICES Division 9a). Southern component (Anchovy in ICES Subdivision 9a South):</w:t>
      </w:r>
    </w:p>
    <w:bookmarkStart w:id="37" w:name="stock-assessment"/>
    <w:p>
      <w:pPr>
        <w:pStyle w:val="Ttulo2"/>
      </w:pPr>
      <w:r>
        <w:t xml:space="preserve">Stock Assessment</w:t>
      </w:r>
    </w:p>
    <w:bookmarkStart w:id="24"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0" w:name="landings-and-discards"/>
    <w:p>
      <w:pPr>
        <w:pStyle w:val="Ttulo4"/>
      </w:pPr>
      <w:r>
        <w:t xml:space="preserve">Landings and discards</w:t>
      </w:r>
    </w:p>
    <w:p>
      <w:pPr>
        <w:numPr>
          <w:ilvl w:val="0"/>
          <w:numId w:val="1001"/>
        </w:numPr>
        <w:pStyle w:val="Compact"/>
      </w:pPr>
      <w:r>
        <w:rPr>
          <w:iCs/>
          <w:i/>
        </w:rPr>
        <w:t xml:space="preserve">Landings</w:t>
      </w:r>
      <w:r>
        <w:t xml:space="preserve">:</w:t>
      </w:r>
    </w:p>
    <w:p>
      <w:pPr>
        <w:pStyle w:val="FirstParagraph"/>
      </w:pPr>
      <w:r>
        <w:t xml:space="preserve">Spanish annual landings started to be available since 1989 because of the mixing of catches coming from the Spanish and Moroccan fishing grounds in the official fishery statistics until that year. Therefore, a complete coverage of catch statistics for the entire subdivision 9a S is only available for the post-1989 fishery (</w:t>
      </w:r>
      <w:r>
        <w:rPr>
          <w:bCs/>
          <w:b/>
        </w:rPr>
        <w:t xml:space="preserve">Ramos et al., WD 2018</w:t>
      </w:r>
      <w:r>
        <w:t xml:space="preserve">). This time-series of catches (1989–2016) has been the initially considered one in the proposed assessment model with the SS3 model.</w:t>
      </w:r>
    </w:p>
    <w:p>
      <w:pPr>
        <w:pStyle w:val="Textoindependiente"/>
      </w:pPr>
      <w:r>
        <w:t xml:space="preserve">For this recent fishery, the official landings statistics are the result of the cross-checking of first sale notes and logbooks (which are mandatory for vessels larger than 10 m in the Spanish fishery since 2004). In both countries landings are not considered to be significantly under reported. National statistics are provided to the ICES WGHANSA by subdivision/quarter/métier.</w:t>
      </w:r>
    </w:p>
    <w:p>
      <w:pPr>
        <w:pStyle w:val="Textoindependiente"/>
      </w:pPr>
      <w:r>
        <w:t xml:space="preserve">Since 1998, both Spanish IEO and Portuguese IPMA (former IPIMAR) have used a common Excel Workbook (the Data Submission Work Book) to provide all necessary annual landings and sampling data (on a quarterly basis), which was originally developed for the former ICES Working Group on the Assessment of Mackerel, Horse-mackerel, Sardine and Anchovy (WGMHSA).</w:t>
      </w:r>
    </w:p>
    <w:p>
      <w:pPr>
        <w:pStyle w:val="Textoindependiente"/>
      </w:pPr>
      <w:r>
        <w:t xml:space="preserve">In more recent years, commercial catch and sampling data are uploaded in the InterCatch software by the respective national submitters and then processed by the stock coordinator using this same software.</w:t>
      </w:r>
    </w:p>
    <w:p>
      <w:pPr>
        <w:numPr>
          <w:ilvl w:val="0"/>
          <w:numId w:val="1002"/>
        </w:numPr>
        <w:pStyle w:val="Compact"/>
      </w:pPr>
      <w:r>
        <w:rPr>
          <w:iCs/>
          <w:i/>
        </w:rPr>
        <w:t xml:space="preserve">Discards</w:t>
      </w:r>
      <w:r>
        <w:t xml:space="preserve">:</w:t>
      </w:r>
    </w:p>
    <w:p>
      <w:pPr>
        <w:pStyle w:val="FirstParagraph"/>
      </w:pPr>
      <w:r>
        <w:t xml:space="preserve">Discards are sampled by Portugal and Spain within their respective EC-DCR-based National Sampling Schemes.</w:t>
      </w:r>
    </w:p>
    <w:p>
      <w:pPr>
        <w:pStyle w:val="Textoindependiente"/>
      </w:pPr>
      <w:r>
        <w:t xml:space="preserve">Discard sampling strategies and methods follow those adopted by the ICES Workshop on Discard Sampling Methodology and Raising Procedures (</w:t>
      </w:r>
      <w:r>
        <w:rPr>
          <w:bCs/>
          <w:b/>
        </w:rPr>
        <w:t xml:space="preserve">ICES, 2004</w:t>
      </w:r>
      <w:r>
        <w:t xml:space="preserve">).</w:t>
      </w:r>
    </w:p>
    <w:p>
      <w:pPr>
        <w:pStyle w:val="Textoindependiente"/>
      </w:pPr>
      <w:r>
        <w:t xml:space="preserve">Since 2004 official information provided to ICES states that there are no anchovy discards or they are negligible in the Portuguese fishery in the Gulf of Cadiz.</w:t>
      </w:r>
    </w:p>
    <w:p>
      <w:pPr>
        <w:pStyle w:val="Textoindependiente"/>
      </w:pPr>
      <w:r>
        <w:t xml:space="preserve">Therefore, landings can be equalled to catches. Data on anchovy discarding in the Spanish fisheries operating in 9a S started to be gathered on a quarterly basis since the fourth quarter in 2005 on.</w:t>
      </w:r>
    </w:p>
    <w:p>
      <w:pPr>
        <w:pStyle w:val="Textoindependiente"/>
      </w:pPr>
      <w:r>
        <w:t xml:space="preserve">However, the low sampling intensity applied until 2013 to assess the anchovy discarding resulted in unreliable and not representative quarterly discard estimates which were also affected by high CVs and hence they were not considered. Since 2014 on a more intense sampling scheme was developed which also extends to the Spanish fishery in subdivision 9a N.</w:t>
      </w:r>
    </w:p>
    <w:p>
      <w:pPr>
        <w:pStyle w:val="Textoindependiente"/>
      </w:pPr>
      <w:r>
        <w:t xml:space="preserve">Overall annual discard ratios estimated since 2014 oscillate between 0.01 (1%)–0.026 (2.6%), hence anchovy discards can also be considered as negligible in the Spanish fishery in the 9a S.</w:t>
      </w:r>
    </w:p>
    <w:p>
      <w:pPr>
        <w:pStyle w:val="Textoindependiente"/>
      </w:pPr>
      <w:r>
        <w:t xml:space="preserve">Notwithstanding the above, since 2014, discards are estimated by quarter/métier/size/age and aggregated to landings to provide catches. Since 2014, quarterly LFDs from discarded catch are sampled by métier and raised to total estimated discards, and then pooled to the quarterly LFDs of landings to derive the LFD of quarterly and annual catches.</w:t>
      </w:r>
    </w:p>
    <w:bookmarkEnd w:id="20"/>
    <w:bookmarkStart w:id="23" w:name="survey"/>
    <w:p>
      <w:pPr>
        <w:pStyle w:val="Ttulo4"/>
      </w:pPr>
      <w:r>
        <w:t xml:space="preserve">Survey</w:t>
      </w:r>
    </w:p>
    <w:p>
      <w:pPr>
        <w:pStyle w:val="FirstParagraph"/>
      </w:pPr>
      <w:r>
        <w:rPr>
          <w:bCs/>
          <w:b/>
        </w:rPr>
        <w:t xml:space="preserve">Table 1</w:t>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w:t>
      </w:r>
      <w:r>
        <w:rPr>
          <w:bCs/>
          <w:b/>
        </w:rPr>
        <w:t xml:space="preserve">Table 1</w:t>
      </w:r>
      <w:r>
        <w:t xml:space="preserve">). The following overview of the surveys has been summarized in ICES (2024).</w:t>
      </w:r>
    </w:p>
    <w:bookmarkStart w:id="21"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1"/>
    <w:bookmarkStart w:id="22"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rPr>
          <w:bCs/>
          <w:b/>
        </w:rPr>
        <w:t xml:space="preserve">Figure 2</w:t>
      </w:r>
      <w:r>
        <w:t xml:space="preserve">. ane.27.9a stock. Southern component. Biomass and abundance time series estimates for ECOCADIZ, ECOCADIZ-RECLUTAS and PELAGO surveys. Top panel: Estimated biomass time series in tonnes. Bottom panel: Estimated abundance time series in millions.</w:t>
      </w:r>
    </w:p>
    <w:bookmarkEnd w:id="22"/>
    <w:bookmarkEnd w:id="23"/>
    <w:bookmarkEnd w:id="24"/>
    <w:bookmarkStart w:id="28" w:name="biological-information"/>
    <w:p>
      <w:pPr>
        <w:pStyle w:val="Ttulo3"/>
      </w:pPr>
      <w:r>
        <w:t xml:space="preserve">Biological information</w:t>
      </w:r>
    </w:p>
    <w:bookmarkStart w:id="25"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w:t>
      </w:r>
      <w:r>
        <w:t xml:space="preserve"> </w:t>
      </w:r>
      <w:r>
        <w:t xml:space="preserve">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abovementioned scarce representativeness of the other métiers than purse-seine.</w:t>
      </w:r>
    </w:p>
    <w:bookmarkEnd w:id="25"/>
    <w:bookmarkStart w:id="26"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26"/>
    <w:bookmarkStart w:id="27"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3"/>
        </w:numPr>
      </w:pPr>
      <w:r>
        <w:t xml:space="preserve">Natural mortality was preferred to be selected from classical indirect formulations based on life history parameters. The R package FSA was used to obtain empirical estimates of natural mortality.</w:t>
      </w:r>
    </w:p>
    <w:p>
      <w:pPr>
        <w:numPr>
          <w:ilvl w:val="0"/>
          <w:numId w:val="1003"/>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3"/>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4"/>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4"/>
        </w:numPr>
      </w:pPr>
      <w:r>
        <w:t xml:space="preserve">Following the reasoning above, the adopted natural mortality by age is M0=2.21, M1=1.3 and M2+=1.3 (similar at any older age).</w:t>
      </w:r>
    </w:p>
    <w:bookmarkEnd w:id="27"/>
    <w:bookmarkEnd w:id="28"/>
    <w:bookmarkStart w:id="32" w:name="assessment-model"/>
    <w:p>
      <w:pPr>
        <w:pStyle w:val="Ttulo3"/>
      </w:pPr>
      <w:r>
        <w:t xml:space="preserve">Assessment model</w:t>
      </w:r>
    </w:p>
    <w:bookmarkStart w:id="31" w:name="Xc383ef7f2afc0ccd3300495e63b5b212cf8a5e0"/>
    <w:p>
      <w:pPr>
        <w:pStyle w:val="Ttulo4"/>
      </w:pPr>
      <w:r>
        <w:t xml:space="preserve">Assessment model for anchovy 27.9a southern component</w:t>
      </w:r>
    </w:p>
    <w:bookmarkStart w:id="29" w:name="data-1"/>
    <w:p>
      <w:pPr>
        <w:pStyle w:val="Ttulo5"/>
      </w:pPr>
      <w:r>
        <w:t xml:space="preserve">Data</w:t>
      </w:r>
    </w:p>
    <w:bookmarkEnd w:id="29"/>
    <w:bookmarkStart w:id="30" w:name="sample-sizes-cvs-and-data-weighting"/>
    <w:p>
      <w:pPr>
        <w:pStyle w:val="Ttulo5"/>
      </w:pPr>
      <w:r>
        <w:t xml:space="preserve">Sample sizes, CVs and data weighting</w:t>
      </w:r>
    </w:p>
    <w:bookmarkEnd w:id="30"/>
    <w:bookmarkEnd w:id="31"/>
    <w:bookmarkEnd w:id="32"/>
    <w:bookmarkStart w:id="35" w:name="model-setting"/>
    <w:p>
      <w:pPr>
        <w:pStyle w:val="Ttulo3"/>
      </w:pPr>
      <w:r>
        <w:t xml:space="preserve">Model setting</w:t>
      </w:r>
    </w:p>
    <w:bookmarkStart w:id="33" w:name="base-model"/>
    <w:p>
      <w:pPr>
        <w:pStyle w:val="Ttulo4"/>
      </w:pPr>
      <w:r>
        <w:t xml:space="preserve">Base model</w:t>
      </w:r>
    </w:p>
    <w:bookmarkEnd w:id="33"/>
    <w:bookmarkStart w:id="34" w:name="exploratory-runs"/>
    <w:p>
      <w:pPr>
        <w:pStyle w:val="Ttulo4"/>
      </w:pPr>
      <w:r>
        <w:t xml:space="preserve">Exploratory runs</w:t>
      </w:r>
    </w:p>
    <w:bookmarkEnd w:id="34"/>
    <w:bookmarkEnd w:id="35"/>
    <w:bookmarkStart w:id="36" w:name="the-final-model"/>
    <w:p>
      <w:pPr>
        <w:pStyle w:val="Ttulo3"/>
      </w:pPr>
      <w:r>
        <w:t xml:space="preserve">The final model</w:t>
      </w:r>
    </w:p>
    <w:p>
      <w:r>
        <w:br w:type="page"/>
      </w:r>
    </w:p>
    <w:bookmarkEnd w:id="36"/>
    <w:bookmarkEnd w:id="37"/>
    <w:bookmarkStart w:id="38" w:name="references"/>
    <w:p>
      <w:pPr>
        <w:pStyle w:val="Ttulo2"/>
      </w:pPr>
      <w:r>
        <w:t xml:space="preserve">References</w:t>
      </w:r>
    </w:p>
    <w:bookmarkEnd w:id="38"/>
    <w:bookmarkEnd w:id="39"/>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2024-07-08T16:53:46Z</dcterms:created>
  <dcterms:modified xsi:type="dcterms:W3CDTF">2024-07-08T16:53:46Z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report_biblio.bib</vt:lpwstr>
  </property>
  <property fmtid="{D5CDD505-2E9C-101B-9397-08002B2CF9AE}" pid="3" name="csl">
    <vt:lpwstr>boot/data/ices-journal-of-marine-science.csl</vt:lpwstr>
  </property>
  <property fmtid="{D5CDD505-2E9C-101B-9397-08002B2CF9AE}" pid="4" name="output">
    <vt:lpwstr/>
  </property>
</Properties>
</file>