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f81b7b6182079e288b9dcf293e610717911447c"/>
    <w:p>
      <w:pPr>
        <w:pStyle w:val="Heading1"/>
      </w:pPr>
      <w:r>
        <w:t xml:space="preserve">Clonaje de shRNA (sh13 y shSCR) en pSI-H1-CMV-GFP (MNSI500A-1)</w:t>
      </w:r>
    </w:p>
    <w:bookmarkStart w:id="20" w:name="X2824032694acc0fa845a2b41c4d021964702b3f"/>
    <w:p>
      <w:pPr>
        <w:pStyle w:val="Heading2"/>
      </w:pPr>
      <w:r>
        <w:t xml:space="preserve">0. Verificación</w:t>
      </w:r>
      <w:r>
        <w:t xml:space="preserve"> </w:t>
      </w:r>
      <w:r>
        <w:rPr>
          <w:iCs/>
          <w:i/>
        </w:rPr>
        <w:t xml:space="preserve">in silico</w:t>
      </w:r>
      <w:r>
        <w:t xml:space="preserve"> </w:t>
      </w:r>
      <w:r>
        <w:t xml:space="preserve">(hecha sobre tu archivo .dna)</w:t>
      </w:r>
    </w:p>
    <w:p>
      <w:pPr>
        <w:pStyle w:val="FirstParagraph"/>
      </w:pPr>
      <w:r>
        <w:rPr>
          <w:bCs/>
          <w:b/>
        </w:rPr>
        <w:t xml:space="preserve">Vector:</w:t>
      </w:r>
      <w:r>
        <w:t xml:space="preserve"> </w:t>
      </w:r>
      <w:r>
        <w:t xml:space="preserve">6.877 pb, promotor H1 (2712–2928), CMV-GFP,</w:t>
      </w:r>
      <w:r>
        <w:t xml:space="preserve"> </w:t>
      </w:r>
      <w:r>
        <w:rPr>
          <w:bCs/>
          <w:b/>
        </w:rPr>
        <w:t xml:space="preserve">resistencia NeoR/KanR</w:t>
      </w:r>
      <w:r>
        <w:t xml:space="preserve"> </w:t>
      </w:r>
      <w:r>
        <w:t xml:space="preserve">(no lleva AmpR).</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Sitio</w:t>
            </w:r>
          </w:p>
        </w:tc>
        <w:tc>
          <w:tcPr/>
          <w:p>
            <w:pPr>
              <w:pStyle w:val="Compact"/>
              <w:jc w:val="left"/>
            </w:pPr>
            <w:r>
              <w:t xml:space="preserve">Secuencia</w:t>
            </w:r>
          </w:p>
        </w:tc>
        <w:tc>
          <w:tcPr/>
          <w:p>
            <w:pPr>
              <w:pStyle w:val="Compact"/>
              <w:jc w:val="left"/>
            </w:pPr>
            <w:r>
              <w:t xml:space="preserve">Posición</w:t>
            </w:r>
          </w:p>
        </w:tc>
        <w:tc>
          <w:tcPr/>
          <w:p>
            <w:pPr>
              <w:pStyle w:val="Compact"/>
              <w:jc w:val="left"/>
            </w:pPr>
            <w:r>
              <w:t xml:space="preserve">Nº de cortes en el plásmido</w:t>
            </w:r>
          </w:p>
        </w:tc>
      </w:tr>
      <w:tr>
        <w:tc>
          <w:tcPr/>
          <w:p>
            <w:pPr>
              <w:pStyle w:val="Compact"/>
              <w:jc w:val="left"/>
            </w:pPr>
            <w:r>
              <w:t xml:space="preserve">BamHI</w:t>
            </w:r>
          </w:p>
        </w:tc>
        <w:tc>
          <w:tcPr/>
          <w:p>
            <w:pPr>
              <w:pStyle w:val="Compact"/>
              <w:jc w:val="left"/>
            </w:pPr>
            <w:r>
              <w:t xml:space="preserve">GGATCC</w:t>
            </w:r>
          </w:p>
        </w:tc>
        <w:tc>
          <w:tcPr/>
          <w:p>
            <w:pPr>
              <w:pStyle w:val="Compact"/>
              <w:jc w:val="left"/>
            </w:pPr>
            <w:r>
              <w:t xml:space="preserve">2929</w:t>
            </w:r>
          </w:p>
        </w:tc>
        <w:tc>
          <w:tcPr/>
          <w:p>
            <w:pPr>
              <w:pStyle w:val="Compact"/>
              <w:jc w:val="left"/>
            </w:pPr>
            <w:r>
              <w:rPr>
                <w:bCs/>
                <w:b/>
              </w:rPr>
              <w:t xml:space="preserve">1 (único)</w:t>
            </w:r>
          </w:p>
        </w:tc>
      </w:tr>
      <w:tr>
        <w:tc>
          <w:tcPr/>
          <w:p>
            <w:pPr>
              <w:pStyle w:val="Compact"/>
              <w:jc w:val="left"/>
            </w:pPr>
            <w:r>
              <w:t xml:space="preserve">EcoRI</w:t>
            </w:r>
          </w:p>
        </w:tc>
        <w:tc>
          <w:tcPr/>
          <w:p>
            <w:pPr>
              <w:pStyle w:val="Compact"/>
              <w:jc w:val="left"/>
            </w:pPr>
            <w:r>
              <w:t xml:space="preserve">GAATTC</w:t>
            </w:r>
          </w:p>
        </w:tc>
        <w:tc>
          <w:tcPr/>
          <w:p>
            <w:pPr>
              <w:pStyle w:val="Compact"/>
              <w:jc w:val="left"/>
            </w:pPr>
            <w:r>
              <w:t xml:space="preserve">2938</w:t>
            </w:r>
          </w:p>
        </w:tc>
        <w:tc>
          <w:tcPr/>
          <w:p>
            <w:pPr>
              <w:pStyle w:val="Compact"/>
              <w:jc w:val="left"/>
            </w:pPr>
            <w:r>
              <w:rPr>
                <w:bCs/>
                <w:b/>
              </w:rPr>
              <w:t xml:space="preserve">1 (único)</w:t>
            </w:r>
          </w:p>
        </w:tc>
      </w:tr>
    </w:tbl>
    <w:p>
      <w:pPr>
        <w:pStyle w:val="BodyText"/>
      </w:pPr>
      <w:r>
        <w:t xml:space="preserve">Región del policlonaje (el H1 termina justo antes del BamHI):</w:t>
      </w:r>
    </w:p>
    <w:p>
      <w:pPr>
        <w:pStyle w:val="SourceCode"/>
      </w:pPr>
      <w:r>
        <w:rPr>
          <w:rStyle w:val="VerbatimChar"/>
        </w:rPr>
        <w:t xml:space="preserve">...GAGACCACTT GGATCC TCT GAATTC TTCGATTCTGC...</w:t>
      </w:r>
      <w:r>
        <w:br/>
      </w:r>
      <w:r>
        <w:rPr>
          <w:rStyle w:val="VerbatimChar"/>
        </w:rPr>
        <w:t xml:space="preserve">        H1 ↑    BamHI      EcoRI</w:t>
      </w:r>
    </w:p>
    <w:p>
      <w:pPr>
        <w:pStyle w:val="FirstParagraph"/>
      </w:pPr>
      <w:r>
        <w:t xml:space="preserve">La doble digestión BamHI+EcoRI sólo libera un fragmento de</w:t>
      </w:r>
      <w:r>
        <w:t xml:space="preserve"> </w:t>
      </w:r>
      <w:r>
        <w:rPr>
          <w:bCs/>
          <w:b/>
        </w:rPr>
        <w:t xml:space="preserve">9 pb</w:t>
      </w:r>
      <w:r>
        <w:t xml:space="preserve"> </w:t>
      </w:r>
      <w:r>
        <w:t xml:space="preserve">(</w:t>
      </w:r>
      <w:r>
        <w:rPr>
          <w:rStyle w:val="VerbatimChar"/>
        </w:rPr>
        <w:t xml:space="preserve">GATCCTCTG</w:t>
      </w:r>
      <w:r>
        <w:t xml:space="preserve">).</w:t>
      </w:r>
    </w:p>
    <w:p>
      <w:pPr>
        <w:pStyle w:val="BodyText"/>
      </w:pPr>
      <w:r>
        <w:rPr>
          <w:bCs/>
          <w:b/>
        </w:rPr>
        <w:t xml:space="preserve">Oligos:</w:t>
      </w:r>
      <w:r>
        <w:t xml:space="preserve"> </w:t>
      </w:r>
      <w:r>
        <w:t xml:space="preserve">los cuatro son de 65 nt y los dos pares anillan de forma perfecta (comprobado). El dúplex resultante tiene 61 pb de doble cadena más dos extremos cohesivos:</w:t>
      </w:r>
    </w:p>
    <w:p>
      <w:pPr>
        <w:pStyle w:val="SourceCode"/>
      </w:pPr>
      <w:r>
        <w:rPr>
          <w:rStyle w:val="VerbatimChar"/>
        </w:rPr>
        <w:t xml:space="preserve">sh13:</w:t>
      </w:r>
      <w:r>
        <w:br/>
      </w:r>
      <w:r>
        <w:rPr>
          <w:rStyle w:val="VerbatimChar"/>
        </w:rPr>
        <w:t xml:space="preserve">5'-GATC CAATGACTGCCTGGCTTCCTTT CTTCCTGTCAGA AAAGGAAGCCAGGCAGTCATT TTTTTG    -3'</w:t>
      </w:r>
      <w:r>
        <w:br/>
      </w:r>
      <w:r>
        <w:rPr>
          <w:rStyle w:val="VerbatimChar"/>
        </w:rPr>
        <w:t xml:space="preserve">3'-     GTTACTGACGGACCGAAGGAAA GAAGGACAGTCT TTTCCTTCGGTCCGTCAGTAA AAAAACTTAA-5'</w:t>
      </w:r>
      <w:r>
        <w:br/>
      </w:r>
      <w:r>
        <w:rPr>
          <w:rStyle w:val="VerbatimChar"/>
        </w:rPr>
        <w:t xml:space="preserve">     ↑ compatible BamHI                                                  ↑ compatible EcoRI</w:t>
      </w:r>
      <w:r>
        <w:br/>
      </w:r>
      <w:r>
        <w:rPr>
          <w:rStyle w:val="VerbatimChar"/>
        </w:rPr>
        <w:t xml:space="preserve">           sentido (21 nt)    bucle (12 nt)  antisentido (21 nt)  term.</w:t>
      </w:r>
    </w:p>
    <w:p>
      <w:pPr>
        <w:numPr>
          <w:ilvl w:val="0"/>
          <w:numId w:val="1001"/>
        </w:numPr>
        <w:pStyle w:val="Compact"/>
      </w:pPr>
      <w:r>
        <w:t xml:space="preserve">Sentido y antisentido son complementarios exactos en ambas construcciones (verificado).</w:t>
      </w:r>
    </w:p>
    <w:p>
      <w:pPr>
        <w:numPr>
          <w:ilvl w:val="0"/>
          <w:numId w:val="1001"/>
        </w:numPr>
        <w:pStyle w:val="Compact"/>
      </w:pPr>
      <w:r>
        <w:t xml:space="preserve">shSCR es el</w:t>
      </w:r>
      <w:r>
        <w:t xml:space="preserve"> </w:t>
      </w:r>
      <w:r>
        <w:rPr>
          <w:iCs/>
          <w:i/>
        </w:rPr>
        <w:t xml:space="preserve">scramble</w:t>
      </w:r>
      <w:r>
        <w:t xml:space="preserve"> </w:t>
      </w:r>
      <w:r>
        <w:t xml:space="preserve">clásico de MISSION/pLKO (</w:t>
      </w:r>
      <w:r>
        <w:rPr>
          <w:rStyle w:val="VerbatimChar"/>
        </w:rPr>
        <w:t xml:space="preserve">CCTAAGGTTAAGTCGCCCTCG</w:t>
      </w:r>
      <w:r>
        <w:t xml:space="preserve">).</w:t>
      </w:r>
    </w:p>
    <w:p>
      <w:pPr>
        <w:numPr>
          <w:ilvl w:val="0"/>
          <w:numId w:val="1001"/>
        </w:numPr>
        <w:pStyle w:val="Compact"/>
      </w:pPr>
      <w:r>
        <w:t xml:space="preserve">Tras la ligación</w:t>
      </w:r>
      <w:r>
        <w:t xml:space="preserve"> </w:t>
      </w:r>
      <w:r>
        <w:rPr>
          <w:bCs/>
          <w:b/>
        </w:rPr>
        <w:t xml:space="preserve">se regeneran los dos sitios</w:t>
      </w:r>
      <w:r>
        <w:t xml:space="preserve"> </w:t>
      </w:r>
      <w:r>
        <w:t xml:space="preserve">(BamHI y EcoRI). Esto es útil para el cribado, pero tiene una consecuencia crítica (ver punto 1).</w:t>
      </w:r>
    </w:p>
    <w:bookmarkEnd w:id="20"/>
    <w:bookmarkStart w:id="21" w:name="Xe09dc09f2f5bd88687001442836ff0f3ad525dd"/>
    <w:p>
      <w:pPr>
        <w:pStyle w:val="Heading2"/>
      </w:pPr>
      <w:r>
        <w:t xml:space="preserve">1. Por qué NO puedes usar tal cual tu protocolo de CRISPR</w:t>
      </w:r>
    </w:p>
    <w:p>
      <w:pPr>
        <w:pStyle w:val="FirstParagraph"/>
      </w:pPr>
      <w:r>
        <w:t xml:space="preserve">Tu protocolo (px458 / BbsI) es un</w:t>
      </w:r>
      <w:r>
        <w:t xml:space="preserve"> </w:t>
      </w:r>
      <w:r>
        <w:rPr>
          <w:bCs/>
          <w:b/>
        </w:rPr>
        <w:t xml:space="preserve">Golden Gate</w:t>
      </w:r>
      <w:r>
        <w:t xml:space="preserve">: digestión y ligación simultáneas con ciclos a 37 °C/23 °C. Eso funciona porque BbsI es una enzima de tipo IIS que</w:t>
      </w:r>
      <w:r>
        <w:t xml:space="preserve"> </w:t>
      </w:r>
      <w:r>
        <w:rPr>
          <w:bCs/>
          <w:b/>
        </w:rPr>
        <w:t xml:space="preserve">corta fuera de su sitio de reconocimiento</w:t>
      </w:r>
      <w:r>
        <w:t xml:space="preserve">, de modo que al ligar el inserto el sitio desaparece y el producto ya no se vuelve a cortar.</w:t>
      </w:r>
    </w:p>
    <w:p>
      <w:pPr>
        <w:pStyle w:val="BodyText"/>
      </w:pPr>
      <w:r>
        <w:t xml:space="preserve">Aquí BamHI y EcoRI son de tipo II clásicas y</w:t>
      </w:r>
      <w:r>
        <w:t xml:space="preserve"> </w:t>
      </w:r>
      <w:r>
        <w:rPr>
          <w:bCs/>
          <w:b/>
        </w:rPr>
        <w:t xml:space="preserve">sus sitios se reconstruyen al ligar</w:t>
      </w:r>
      <w:r>
        <w:t xml:space="preserve">. Si haces ciclos de digestión+ligación en un tubo, la enzima volverá a cortar cada producto correcto y no obtendrás nada.</w:t>
      </w:r>
    </w:p>
    <w:p>
      <w:pPr>
        <w:pStyle w:val="BodyText"/>
      </w:pPr>
      <w:r>
        <w:rPr>
          <w:bCs/>
          <w:b/>
        </w:rPr>
        <w:t xml:space="preserve">Lo que sí se conserva de tu protocolo:</w:t>
      </w:r>
      <w:r>
        <w:t xml:space="preserve"> </w:t>
      </w:r>
      <w:r>
        <w:t xml:space="preserve">el paso 1.1 de fosforilación + anillado con T4 PNK (programa "guías CRISPR"). Es perfectamente válido aquí y lo reutilizamos.</w:t>
      </w:r>
      <w:r>
        <w:t xml:space="preserve"> </w:t>
      </w:r>
      <w:r>
        <w:rPr>
          <w:bCs/>
          <w:b/>
        </w:rPr>
        <w:t xml:space="preserve">Lo que cambia:</w:t>
      </w:r>
      <w:r>
        <w:t xml:space="preserve"> </w:t>
      </w:r>
      <w:r>
        <w:t xml:space="preserve">digestión del vector por separado → purificación en gel → ligación clásica con T4 ligasa.</w:t>
      </w:r>
    </w:p>
    <w:bookmarkEnd w:id="21"/>
    <w:bookmarkStart w:id="22" w:name="X434fe50f448ca893dda5dfebea9fef37a29ed17"/>
    <w:p>
      <w:pPr>
        <w:pStyle w:val="Heading2"/>
      </w:pPr>
      <w:r>
        <w:t xml:space="preserve">2. Materiales</w:t>
      </w:r>
    </w:p>
    <w:p>
      <w:pPr>
        <w:numPr>
          <w:ilvl w:val="0"/>
          <w:numId w:val="1002"/>
        </w:numPr>
        <w:pStyle w:val="Compact"/>
      </w:pPr>
      <w:r>
        <w:t xml:space="preserve">Oligos a</w:t>
      </w:r>
      <w:r>
        <w:t xml:space="preserve"> </w:t>
      </w:r>
      <w:r>
        <w:rPr>
          <w:bCs/>
          <w:b/>
        </w:rPr>
        <w:t xml:space="preserve">100 µM</w:t>
      </w:r>
      <w:r>
        <w:t xml:space="preserve"> </w:t>
      </w:r>
      <w:r>
        <w:t xml:space="preserve">en agua o TE (sh13_TOP, sh13_BOT, shSCR_TOP, shSCR_BOT)</w:t>
      </w:r>
    </w:p>
    <w:p>
      <w:pPr>
        <w:numPr>
          <w:ilvl w:val="0"/>
          <w:numId w:val="1002"/>
        </w:numPr>
        <w:pStyle w:val="Compact"/>
      </w:pPr>
      <w:r>
        <w:t xml:space="preserve">T4 PNK + tampón de ligasa T4 10× (lleva ATP)</w:t>
      </w:r>
    </w:p>
    <w:p>
      <w:pPr>
        <w:numPr>
          <w:ilvl w:val="0"/>
          <w:numId w:val="1002"/>
        </w:numPr>
        <w:pStyle w:val="Compact"/>
      </w:pPr>
      <w:r>
        <w:rPr>
          <w:bCs/>
          <w:b/>
        </w:rPr>
        <w:t xml:space="preserve">BamHI (ER0051) y EcoRI (ER0271)</w:t>
      </w:r>
      <w:r>
        <w:t xml:space="preserve"> </w:t>
      </w:r>
      <w:r>
        <w:t xml:space="preserve">de Thermo, convencionales, 10 U/µL</w:t>
      </w:r>
    </w:p>
    <w:p>
      <w:pPr>
        <w:numPr>
          <w:ilvl w:val="0"/>
          <w:numId w:val="1002"/>
        </w:numPr>
        <w:pStyle w:val="Compact"/>
      </w:pPr>
      <w:r>
        <w:rPr>
          <w:bCs/>
          <w:b/>
        </w:rPr>
        <w:t xml:space="preserve">10× Tango Buffer</w:t>
      </w:r>
      <w:r>
        <w:t xml:space="preserve"> </w:t>
      </w:r>
      <w:r>
        <w:t xml:space="preserve">(BY5) + tampón de carga 6× (el Tango no lleva colorante)</w:t>
      </w:r>
    </w:p>
    <w:p>
      <w:pPr>
        <w:numPr>
          <w:ilvl w:val="0"/>
          <w:numId w:val="1002"/>
        </w:numPr>
        <w:pStyle w:val="Compact"/>
      </w:pPr>
      <w:r>
        <w:t xml:space="preserve">T4 DNA ligasa + su tampón (alícuotas frescas: el ATP se degrada al congelar/descongelar)</w:t>
      </w:r>
    </w:p>
    <w:p>
      <w:pPr>
        <w:numPr>
          <w:ilvl w:val="0"/>
          <w:numId w:val="1002"/>
        </w:numPr>
        <w:pStyle w:val="Compact"/>
      </w:pPr>
      <w:r>
        <w:t xml:space="preserve">Kit de purificación en gel, agarosa, bacterias competentes (DH5α o Stbl3)</w:t>
      </w:r>
    </w:p>
    <w:p>
      <w:pPr>
        <w:numPr>
          <w:ilvl w:val="0"/>
          <w:numId w:val="1002"/>
        </w:numPr>
        <w:pStyle w:val="Compact"/>
      </w:pPr>
      <w:r>
        <w:rPr>
          <w:bCs/>
          <w:b/>
        </w:rPr>
        <w:t xml:space="preserve">Kanamicina 50 µg/mL</w:t>
      </w:r>
      <w:r>
        <w:t xml:space="preserve"> </w:t>
      </w:r>
      <w:r>
        <w:t xml:space="preserve">(⚠️ no ampicilina)</w:t>
      </w:r>
    </w:p>
    <w:bookmarkEnd w:id="22"/>
    <w:bookmarkStart w:id="28" w:name="Xe6f75a01bde477582348487c58ccb323c847668"/>
    <w:p>
      <w:pPr>
        <w:pStyle w:val="Heading2"/>
      </w:pPr>
      <w:r>
        <w:t xml:space="preserve">3. DÍA 1 — Digestión del vector (BamHI + EcoRI en 2× Tango, 20 µL)</w:t>
      </w:r>
    </w:p>
    <w:bookmarkStart w:id="23" w:name="Xcb8551e1b2799c6167a14d9a03b847c2fc254d0"/>
    <w:p>
      <w:pPr>
        <w:pStyle w:val="Heading3"/>
      </w:pPr>
      <w:r>
        <w:t xml:space="preserve">3.1 Por qué 2× Tango funciona aquí</w:t>
      </w:r>
    </w:p>
    <w:p>
      <w:pPr>
        <w:pStyle w:val="FirstParagraph"/>
      </w:pPr>
      <w:r>
        <w:t xml:space="preserve">Según las tablas de actividad de Thermo para estas enzimas convencionales: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Enzima</w:t>
            </w:r>
          </w:p>
        </w:tc>
        <w:tc>
          <w:tcPr/>
          <w:p>
            <w:pPr>
              <w:pStyle w:val="Compact"/>
              <w:jc w:val="left"/>
            </w:pPr>
            <w:r>
              <w:t xml:space="preserve">Su tampón</w:t>
            </w:r>
          </w:p>
        </w:tc>
        <w:tc>
          <w:tcPr/>
          <w:p>
            <w:pPr>
              <w:pStyle w:val="Compact"/>
              <w:jc w:val="left"/>
            </w:pPr>
            <w:r>
              <w:t xml:space="preserve">Tango 1×</w:t>
            </w:r>
          </w:p>
        </w:tc>
        <w:tc>
          <w:tcPr/>
          <w:p>
            <w:pPr>
              <w:pStyle w:val="Compact"/>
              <w:jc w:val="left"/>
            </w:pPr>
            <w:r>
              <w:rPr>
                <w:bCs/>
                <w:b/>
              </w:rPr>
              <w:t xml:space="preserve">Tango 2×</w:t>
            </w:r>
          </w:p>
        </w:tc>
      </w:tr>
      <w:tr>
        <w:tc>
          <w:tcPr/>
          <w:p>
            <w:pPr>
              <w:pStyle w:val="Compact"/>
              <w:jc w:val="left"/>
            </w:pPr>
            <w:r>
              <w:t xml:space="preserve">BamHI (ER0051)</w:t>
            </w:r>
          </w:p>
        </w:tc>
        <w:tc>
          <w:tcPr/>
          <w:p>
            <w:pPr>
              <w:pStyle w:val="Compact"/>
              <w:jc w:val="left"/>
            </w:pPr>
            <w:r>
              <w:t xml:space="preserve">100 %</w:t>
            </w:r>
          </w:p>
        </w:tc>
        <w:tc>
          <w:tcPr/>
          <w:p>
            <w:pPr>
              <w:pStyle w:val="Compact"/>
              <w:jc w:val="left"/>
            </w:pPr>
            <w:r>
              <w:t xml:space="preserve">100 %</w:t>
            </w:r>
          </w:p>
        </w:tc>
        <w:tc>
          <w:tcPr/>
          <w:p>
            <w:pPr>
              <w:pStyle w:val="Compact"/>
              <w:jc w:val="left"/>
            </w:pPr>
            <w:r>
              <w:rPr>
                <w:bCs/>
                <w:b/>
              </w:rPr>
              <w:t xml:space="preserve">50–100 %</w:t>
            </w:r>
          </w:p>
        </w:tc>
      </w:tr>
      <w:tr>
        <w:tc>
          <w:tcPr/>
          <w:p>
            <w:pPr>
              <w:pStyle w:val="Compact"/>
              <w:jc w:val="left"/>
            </w:pPr>
            <w:r>
              <w:t xml:space="preserve">EcoRI (ER0271)</w:t>
            </w:r>
          </w:p>
        </w:tc>
        <w:tc>
          <w:tcPr/>
          <w:p>
            <w:pPr>
              <w:pStyle w:val="Compact"/>
              <w:jc w:val="left"/>
            </w:pPr>
            <w:r>
              <w:t xml:space="preserve">100 %</w:t>
            </w:r>
          </w:p>
        </w:tc>
        <w:tc>
          <w:tcPr/>
          <w:p>
            <w:pPr>
              <w:pStyle w:val="Compact"/>
              <w:jc w:val="left"/>
            </w:pPr>
            <w:r>
              <w:t xml:space="preserve">parcial</w:t>
            </w:r>
          </w:p>
        </w:tc>
        <w:tc>
          <w:tcPr/>
          <w:p>
            <w:pPr>
              <w:pStyle w:val="Compact"/>
              <w:jc w:val="left"/>
            </w:pPr>
            <w:r>
              <w:rPr>
                <w:bCs/>
                <w:b/>
              </w:rPr>
              <w:t xml:space="preserve">100 %</w:t>
            </w:r>
          </w:p>
        </w:tc>
      </w:tr>
    </w:tbl>
    <w:p>
      <w:pPr>
        <w:pStyle w:val="BodyText"/>
      </w:pPr>
      <w:r>
        <w:t xml:space="preserve">Es decir, 2× Tango es la única concentración en la que</w:t>
      </w:r>
      <w:r>
        <w:t xml:space="preserve"> </w:t>
      </w:r>
      <w:r>
        <w:rPr>
          <w:bCs/>
          <w:b/>
        </w:rPr>
        <w:t xml:space="preserve">las dos cortan a la vez</w:t>
      </w:r>
      <w:r>
        <w:t xml:space="preserve">, y es la combinación que recomienda el propio protocolo de Fermentas/Thermo cuando ambas enzimas son compatibles con 2×:</w:t>
      </w:r>
      <w:r>
        <w:t xml:space="preserve"> </w:t>
      </w:r>
      <w:r>
        <w:rPr>
          <w:iCs/>
          <w:i/>
        </w:rPr>
        <w:t xml:space="preserve">"si tanto 1× como 2× sirven, usa 2× para evitar actividad star"</w:t>
      </w:r>
      <w:r>
        <w:t xml:space="preserve">. El único matiz es que</w:t>
      </w:r>
      <w:r>
        <w:t xml:space="preserve"> </w:t>
      </w:r>
      <w:r>
        <w:rPr>
          <w:bCs/>
          <w:b/>
        </w:rPr>
        <w:t xml:space="preserve">BamHI puede quedarse en el 50 %</w:t>
      </w:r>
      <w:r>
        <w:t xml:space="preserve">, así que se compensa dándole el doble de unidades que a EcoRI.</w:t>
      </w:r>
    </w:p>
    <w:bookmarkEnd w:id="23"/>
    <w:bookmarkStart w:id="24" w:name="Xf4939d76582bd638ae9fa12460481f0b4f25a1c"/>
    <w:p>
      <w:pPr>
        <w:pStyle w:val="Heading3"/>
      </w:pPr>
      <w:r>
        <w:t xml:space="preserve">3.2 Montaje (20 µL)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Componente</w:t>
            </w:r>
          </w:p>
        </w:tc>
        <w:tc>
          <w:tcPr/>
          <w:p>
            <w:pPr>
              <w:pStyle w:val="Compact"/>
              <w:jc w:val="left"/>
            </w:pPr>
            <w:r>
              <w:t xml:space="preserve">Volumen</w:t>
            </w:r>
          </w:p>
        </w:tc>
        <w:tc>
          <w:tcPr/>
          <w:p>
            <w:pPr>
              <w:pStyle w:val="Compact"/>
              <w:jc w:val="left"/>
            </w:pPr>
            <w:r>
              <w:t xml:space="preserve">Nota</w:t>
            </w:r>
          </w:p>
        </w:tc>
      </w:tr>
      <w:tr>
        <w:tc>
          <w:tcPr/>
          <w:p>
            <w:pPr>
              <w:pStyle w:val="Compact"/>
              <w:jc w:val="left"/>
            </w:pPr>
            <w:r>
              <w:rPr>
                <w:bCs/>
                <w:b/>
              </w:rPr>
              <w:t xml:space="preserve">10× Tango Buffer</w:t>
            </w:r>
          </w:p>
        </w:tc>
        <w:tc>
          <w:tcPr/>
          <w:p>
            <w:pPr>
              <w:pStyle w:val="Compact"/>
              <w:jc w:val="left"/>
            </w:pPr>
            <w:r>
              <w:rPr>
                <w:bCs/>
                <w:b/>
              </w:rPr>
              <w:t xml:space="preserve">4 µL</w:t>
            </w:r>
          </w:p>
        </w:tc>
        <w:tc>
          <w:tcPr/>
          <w:p>
            <w:pPr>
              <w:pStyle w:val="Compact"/>
              <w:jc w:val="left"/>
            </w:pPr>
            <w:r>
              <w:t xml:space="preserve">4 µL en 20 µL =</w:t>
            </w:r>
            <w:r>
              <w:t xml:space="preserve"> </w:t>
            </w:r>
            <w:r>
              <w:rPr>
                <w:bCs/>
                <w:b/>
              </w:rPr>
              <w:t xml:space="preserve">2× final</w:t>
            </w:r>
          </w:p>
        </w:tc>
      </w:tr>
      <w:tr>
        <w:tc>
          <w:tcPr/>
          <w:p>
            <w:pPr>
              <w:pStyle w:val="Compact"/>
              <w:jc w:val="left"/>
            </w:pPr>
            <w:r>
              <w:t xml:space="preserve">pSI-H1-CMV-GFP (</w:t>
            </w:r>
            <w:r>
              <w:rPr>
                <w:bCs/>
                <w:b/>
              </w:rPr>
              <w:t xml:space="preserve">1 µg</w:t>
            </w:r>
            <w:r>
              <w:t xml:space="preserve">)</w:t>
            </w:r>
          </w:p>
        </w:tc>
        <w:tc>
          <w:tcPr/>
          <w:p>
            <w:pPr>
              <w:pStyle w:val="Compact"/>
              <w:jc w:val="left"/>
            </w:pPr>
            <w:r>
              <w:t xml:space="preserve">x µL</w:t>
            </w:r>
          </w:p>
        </w:tc>
        <w:tc>
          <w:tcPr/>
          <w:p>
            <w:pPr>
              <w:pStyle w:val="Compact"/>
            </w:pPr>
          </w:p>
        </w:tc>
      </w:tr>
      <w:tr>
        <w:tc>
          <w:tcPr/>
          <w:p>
            <w:pPr>
              <w:pStyle w:val="Compact"/>
              <w:jc w:val="left"/>
            </w:pPr>
            <w:r>
              <w:rPr>
                <w:bCs/>
                <w:b/>
              </w:rPr>
              <w:t xml:space="preserve">BamHI</w:t>
            </w:r>
            <w:r>
              <w:t xml:space="preserve"> </w:t>
            </w:r>
            <w:r>
              <w:t xml:space="preserve">(10 U/µL)</w:t>
            </w:r>
          </w:p>
        </w:tc>
        <w:tc>
          <w:tcPr/>
          <w:p>
            <w:pPr>
              <w:pStyle w:val="Compact"/>
              <w:jc w:val="left"/>
            </w:pPr>
            <w:r>
              <w:t xml:space="preserve">1 µL</w:t>
            </w:r>
          </w:p>
        </w:tc>
        <w:tc>
          <w:tcPr/>
          <w:p>
            <w:pPr>
              <w:pStyle w:val="Compact"/>
              <w:jc w:val="left"/>
            </w:pPr>
            <w:r>
              <w:rPr>
                <w:bCs/>
                <w:b/>
              </w:rPr>
              <w:t xml:space="preserve">10 U</w:t>
            </w:r>
            <w:r>
              <w:t xml:space="preserve"> </w:t>
            </w:r>
            <w:r>
              <w:t xml:space="preserve">— doble, porque en 2× puede ir al 50 %</w:t>
            </w:r>
          </w:p>
        </w:tc>
      </w:tr>
      <w:tr>
        <w:tc>
          <w:tcPr/>
          <w:p>
            <w:pPr>
              <w:pStyle w:val="Compact"/>
              <w:jc w:val="left"/>
            </w:pPr>
            <w:r>
              <w:rPr>
                <w:bCs/>
                <w:b/>
              </w:rPr>
              <w:t xml:space="preserve">EcoRI</w:t>
            </w:r>
            <w:r>
              <w:t xml:space="preserve"> </w:t>
            </w:r>
            <w:r>
              <w:t xml:space="preserve">(10 U/µL)</w:t>
            </w:r>
          </w:p>
        </w:tc>
        <w:tc>
          <w:tcPr/>
          <w:p>
            <w:pPr>
              <w:pStyle w:val="Compact"/>
              <w:jc w:val="left"/>
            </w:pPr>
            <w:r>
              <w:t xml:space="preserve">0,5 µL</w:t>
            </w:r>
          </w:p>
        </w:tc>
        <w:tc>
          <w:tcPr/>
          <w:p>
            <w:pPr>
              <w:pStyle w:val="Compact"/>
              <w:jc w:val="left"/>
            </w:pPr>
            <w:r>
              <w:rPr>
                <w:bCs/>
                <w:b/>
              </w:rPr>
              <w:t xml:space="preserve">5 U</w:t>
            </w:r>
          </w:p>
        </w:tc>
      </w:tr>
      <w:tr>
        <w:tc>
          <w:tcPr/>
          <w:p>
            <w:pPr>
              <w:pStyle w:val="Compact"/>
              <w:jc w:val="left"/>
            </w:pPr>
            <w:r>
              <w:t xml:space="preserve">H₂O libre de nucleasas</w:t>
            </w:r>
          </w:p>
        </w:tc>
        <w:tc>
          <w:tcPr/>
          <w:p>
            <w:pPr>
              <w:pStyle w:val="Compact"/>
              <w:jc w:val="left"/>
            </w:pPr>
            <w:r>
              <w:t xml:space="preserve">hasta</w:t>
            </w:r>
            <w:r>
              <w:t xml:space="preserve"> </w:t>
            </w:r>
            <w:r>
              <w:rPr>
                <w:bCs/>
                <w:b/>
              </w:rPr>
              <w:t xml:space="preserve">20 µL</w:t>
            </w:r>
          </w:p>
        </w:tc>
        <w:tc>
          <w:tcPr/>
          <w:p>
            <w:pPr>
              <w:pStyle w:val="Compact"/>
            </w:pPr>
          </w:p>
        </w:tc>
      </w:tr>
    </w:tbl>
    <w:p>
      <w:pPr>
        <w:numPr>
          <w:ilvl w:val="0"/>
          <w:numId w:val="1003"/>
        </w:numPr>
        <w:pStyle w:val="Compact"/>
      </w:pPr>
      <w:r>
        <w:rPr>
          <w:bCs/>
          <w:b/>
        </w:rPr>
        <w:t xml:space="preserve">37 °C, 1 h.</w:t>
      </w:r>
    </w:p>
    <w:p>
      <w:pPr>
        <w:numPr>
          <w:ilvl w:val="0"/>
          <w:numId w:val="1003"/>
        </w:numPr>
        <w:pStyle w:val="Compact"/>
      </w:pPr>
      <w:r>
        <w:rPr>
          <w:bCs/>
          <w:b/>
        </w:rPr>
        <w:t xml:space="preserve">No lo dejes toda la noche.</w:t>
      </w:r>
      <w:r>
        <w:t xml:space="preserve"> </w:t>
      </w:r>
      <w:r>
        <w:t xml:space="preserve">La ficha de EcoRI marca actividad</w:t>
      </w:r>
      <w:r>
        <w:t xml:space="preserve"> </w:t>
      </w:r>
      <w:r>
        <w:rPr>
          <w:iCs/>
          <w:i/>
        </w:rPr>
        <w:t xml:space="preserve">star</w:t>
      </w:r>
      <w:r>
        <w:t xml:space="preserve"> </w:t>
      </w:r>
      <w:r>
        <w:t xml:space="preserve">a partir de</w:t>
      </w:r>
      <w:r>
        <w:t xml:space="preserve"> </w:t>
      </w:r>
      <w:r>
        <w:rPr>
          <w:bCs/>
          <w:b/>
        </w:rPr>
        <w:t xml:space="preserve">5 veces la sobredigestión</w:t>
      </w:r>
      <w:r>
        <w:t xml:space="preserve"> </w:t>
      </w:r>
      <w:r>
        <w:t xml:space="preserve">(5 U × 1 h sobre 1 µg), que es justo donde está esta reacción. Pasar a 16 h la multiplicaría por 16 y empezarías a ver cortes inespecíficos que te destrozan el vector.</w:t>
      </w:r>
    </w:p>
    <w:p>
      <w:pPr>
        <w:numPr>
          <w:ilvl w:val="0"/>
          <w:numId w:val="1003"/>
        </w:numPr>
        <w:pStyle w:val="Compact"/>
      </w:pPr>
      <w:r>
        <w:t xml:space="preserve">Si sospechas digestión incompleta,</w:t>
      </w:r>
      <w:r>
        <w:t xml:space="preserve"> </w:t>
      </w:r>
      <w:r>
        <w:rPr>
          <w:bCs/>
          <w:b/>
        </w:rPr>
        <w:t xml:space="preserve">alarga añadiendo más BamHI, nunca más EcoRI</w:t>
      </w:r>
      <w:r>
        <w:t xml:space="preserve">: BamHI es muy resistente a la</w:t>
      </w:r>
      <w:r>
        <w:t xml:space="preserve"> </w:t>
      </w:r>
      <w:r>
        <w:rPr>
          <w:iCs/>
          <w:i/>
        </w:rPr>
        <w:t xml:space="preserve">star</w:t>
      </w:r>
      <w:r>
        <w:t xml:space="preserve"> </w:t>
      </w:r>
      <w:r>
        <w:t xml:space="preserve">(su ficha no detecta cambio de patrón ni con 80 veces de sobredigestión), mientras que EcoRI es la frágil de las dos. Añade 0,5 µL más de BamHI y otra hora.</w:t>
      </w:r>
    </w:p>
    <w:p>
      <w:pPr>
        <w:numPr>
          <w:ilvl w:val="0"/>
          <w:numId w:val="1003"/>
        </w:numPr>
        <w:pStyle w:val="Compact"/>
      </w:pPr>
      <w:r>
        <w:rPr>
          <w:bCs/>
          <w:b/>
        </w:rPr>
        <w:t xml:space="preserve">Mantén el volumen total de enzima por debajo de 2 µL</w:t>
      </w:r>
      <w:r>
        <w:t xml:space="preserve"> </w:t>
      </w:r>
      <w:r>
        <w:t xml:space="preserve">(10 % de la reacción). Las enzimas vienen en 50 % glicerol, y por encima del 5 % de glicerol final se dispara la actividad</w:t>
      </w:r>
      <w:r>
        <w:t xml:space="preserve"> </w:t>
      </w:r>
      <w:r>
        <w:rPr>
          <w:iCs/>
          <w:i/>
        </w:rPr>
        <w:t xml:space="preserve">star</w:t>
      </w:r>
      <w:r>
        <w:t xml:space="preserve">. Con 1 + 0,5 µL vas en el 7,5 %, dentro de rango.</w:t>
      </w:r>
    </w:p>
    <w:p>
      <w:pPr>
        <w:numPr>
          <w:ilvl w:val="0"/>
          <w:numId w:val="1003"/>
        </w:numPr>
        <w:pStyle w:val="Compact"/>
      </w:pPr>
      <w:r>
        <w:t xml:space="preserve">El Tango</w:t>
      </w:r>
      <w:r>
        <w:t xml:space="preserve"> </w:t>
      </w:r>
      <w:r>
        <w:rPr>
          <w:bCs/>
          <w:b/>
        </w:rPr>
        <w:t xml:space="preserve">no lleva colorante</w:t>
      </w:r>
      <w:r>
        <w:t xml:space="preserve">: añade tampón de carga 6× antes de cargar el gel.</w:t>
      </w:r>
    </w:p>
    <w:p>
      <w:pPr>
        <w:numPr>
          <w:ilvl w:val="0"/>
          <w:numId w:val="1003"/>
        </w:numPr>
        <w:pStyle w:val="Compact"/>
      </w:pPr>
      <w:r>
        <w:t xml:space="preserve">No hace falta inactivar por calor, porque el siguiente paso es purificación en gel.</w:t>
      </w:r>
    </w:p>
    <w:p>
      <w:pPr>
        <w:numPr>
          <w:ilvl w:val="0"/>
          <w:numId w:val="1003"/>
        </w:numPr>
        <w:pStyle w:val="Compact"/>
      </w:pPr>
      <w:r>
        <w:rPr>
          <w:bCs/>
          <w:b/>
        </w:rPr>
        <w:t xml:space="preserve">No defosforiles</w:t>
      </w:r>
      <w:r>
        <w:t xml:space="preserve"> </w:t>
      </w:r>
      <w:r>
        <w:t xml:space="preserve">el vector. Los oligos sintéticos no llevan fosfato en 5′ si no los fosforilas; si además quitas los fosfatos del vector, no ligará nada. Como la digestión es doble y con extremos incompatibles entre sí, el religado del vector vacío ya es bajo.</w:t>
      </w:r>
    </w:p>
    <w:bookmarkEnd w:id="24"/>
    <w:bookmarkStart w:id="25" w:name="Xb768c302e4721928167be9c0a030321b62e879a"/>
    <w:p>
      <w:pPr>
        <w:pStyle w:val="Heading3"/>
      </w:pPr>
      <w:r>
        <w:t xml:space="preserve">3.3 ⚠️ El gel NO te va a decir si la doble digestión funcionó</w:t>
      </w:r>
    </w:p>
    <w:p>
      <w:pPr>
        <w:pStyle w:val="FirstParagraph"/>
      </w:pPr>
      <w:r>
        <w:t xml:space="preserve">Esto es importante y es específico de tu construcción: entre BamHI y EcoRI sólo hay</w:t>
      </w:r>
      <w:r>
        <w:t xml:space="preserve"> </w:t>
      </w:r>
      <w:r>
        <w:rPr>
          <w:bCs/>
          <w:b/>
        </w:rPr>
        <w:t xml:space="preserve">9 pb</w:t>
      </w:r>
      <w:r>
        <w:t xml:space="preserve">. Un vector cortado por una sola enzima y uno cortado por las dos corren</w:t>
      </w:r>
      <w:r>
        <w:t xml:space="preserve"> </w:t>
      </w:r>
      <w:r>
        <w:rPr>
          <w:bCs/>
          <w:b/>
        </w:rPr>
        <w:t xml:space="preserve">igual</w:t>
      </w:r>
      <w:r>
        <w:t xml:space="preserve"> </w:t>
      </w:r>
      <w:r>
        <w:t xml:space="preserve">en el gel (6.877 frente a 6.868 pb). Lo único que ves es superenrollado → lineal.</w:t>
      </w:r>
    </w:p>
    <w:p>
      <w:pPr>
        <w:pStyle w:val="BodyText"/>
      </w:pPr>
      <w:r>
        <w:t xml:space="preserve">Por eso:</w:t>
      </w:r>
    </w:p>
    <w:p>
      <w:pPr>
        <w:numPr>
          <w:ilvl w:val="0"/>
          <w:numId w:val="1004"/>
        </w:numPr>
        <w:pStyle w:val="Compact"/>
      </w:pPr>
      <w:r>
        <w:t xml:space="preserve">El gel sólo te confirma que</w:t>
      </w:r>
      <w:r>
        <w:t xml:space="preserve"> </w:t>
      </w:r>
      <w:r>
        <w:rPr>
          <w:bCs/>
          <w:b/>
        </w:rPr>
        <w:t xml:space="preserve">al menos una</w:t>
      </w:r>
      <w:r>
        <w:t xml:space="preserve"> </w:t>
      </w:r>
      <w:r>
        <w:t xml:space="preserve">enzima cortó.</w:t>
      </w:r>
    </w:p>
    <w:p>
      <w:pPr>
        <w:numPr>
          <w:ilvl w:val="0"/>
          <w:numId w:val="1004"/>
        </w:numPr>
        <w:pStyle w:val="Compact"/>
      </w:pPr>
      <w:r>
        <w:t xml:space="preserve">Quien te dice de verdad si la doble digestión fue completa es el</w:t>
      </w:r>
      <w:r>
        <w:t xml:space="preserve"> </w:t>
      </w:r>
      <w:r>
        <w:rPr>
          <w:bCs/>
          <w:b/>
        </w:rPr>
        <w:t xml:space="preserve">control de ligación L2</w:t>
      </w:r>
      <w:r>
        <w:t xml:space="preserve"> </w:t>
      </w:r>
      <w:r>
        <w:t xml:space="preserve">(vector solo, sin inserto, punto 5). Si L2 te da tantas colonias como L1, es que una de las dos enzimas no cortó y el vector se está recircularizando.</w:t>
      </w:r>
    </w:p>
    <w:p>
      <w:pPr>
        <w:numPr>
          <w:ilvl w:val="0"/>
          <w:numId w:val="1004"/>
        </w:numPr>
        <w:pStyle w:val="Compact"/>
      </w:pPr>
      <w:r>
        <w:t xml:space="preserve">Por eso merece la pena ser generosa con BamHI desde el principio: te ahorra repetir tres días después.</w:t>
      </w:r>
    </w:p>
    <w:bookmarkEnd w:id="25"/>
    <w:bookmarkStart w:id="26" w:name="Xe8ad133988c4bb15bd938a434e082a9ee4071c3"/>
    <w:p>
      <w:pPr>
        <w:pStyle w:val="Heading3"/>
      </w:pPr>
      <w:r>
        <w:t xml:space="preserve">3.4 Purificación en gel</w:t>
      </w:r>
    </w:p>
    <w:p>
      <w:pPr>
        <w:numPr>
          <w:ilvl w:val="0"/>
          <w:numId w:val="1005"/>
        </w:numPr>
        <w:pStyle w:val="Compact"/>
      </w:pPr>
      <w:r>
        <w:t xml:space="preserve">Añade tampón de carga y corre los 20 µL en agarosa al 0,8 %.</w:t>
      </w:r>
    </w:p>
    <w:p>
      <w:pPr>
        <w:numPr>
          <w:ilvl w:val="0"/>
          <w:numId w:val="1005"/>
        </w:numPr>
        <w:pStyle w:val="Compact"/>
      </w:pPr>
      <w:r>
        <w:t xml:space="preserve">Corta la banda de ~6,9 kb</w:t>
      </w:r>
      <w:r>
        <w:t xml:space="preserve"> </w:t>
      </w:r>
      <w:r>
        <w:rPr>
          <w:bCs/>
          <w:b/>
        </w:rPr>
        <w:t xml:space="preserve">por su parte baja</w:t>
      </w:r>
      <w:r>
        <w:t xml:space="preserve">, para no arrastrar plásmido superenrollado sin cortar (migra cerca y es la fuente principal de falsos positivos).</w:t>
      </w:r>
    </w:p>
    <w:p>
      <w:pPr>
        <w:numPr>
          <w:ilvl w:val="0"/>
          <w:numId w:val="1005"/>
        </w:numPr>
        <w:pStyle w:val="Compact"/>
      </w:pPr>
      <w:r>
        <w:t xml:space="preserve">Eluye en 25–30 µL y cuantifica.</w:t>
      </w:r>
    </w:p>
    <w:p>
      <w:pPr>
        <w:pStyle w:val="BlockText"/>
      </w:pPr>
      <w:r>
        <w:rPr>
          <w:bCs/>
          <w:b/>
        </w:rPr>
        <w:t xml:space="preserve">Rendimiento:</w:t>
      </w:r>
      <w:r>
        <w:t xml:space="preserve"> </w:t>
      </w:r>
      <w:r>
        <w:t xml:space="preserve">1 µg digerido te deja unos 400–600 ng tras el gel (≈ 20–25 ng/µL en 25 µL). Son 8–10 ligaciones de 50 ng, de sobra para las dos construcciones. Si quieres más margen, monta</w:t>
      </w:r>
      <w:r>
        <w:t xml:space="preserve"> </w:t>
      </w:r>
      <w:r>
        <w:rPr>
          <w:bCs/>
          <w:b/>
        </w:rPr>
        <w:t xml:space="preserve">dos tubos de 20 µL</w:t>
      </w:r>
      <w:r>
        <w:t xml:space="preserve"> </w:t>
      </w:r>
      <w:r>
        <w:t xml:space="preserve">en paralelo y júntalos en el gel — mejor que sobrecargar un solo tubo, porque por encima de 1 µg en 20 µL la digestión deja de ser completa.</w:t>
      </w:r>
    </w:p>
    <w:bookmarkEnd w:id="26"/>
    <w:bookmarkStart w:id="27" w:name="X6db95b6b05aa6d1ca0b97f3c49d0610e670ca91"/>
    <w:p>
      <w:pPr>
        <w:pStyle w:val="Heading3"/>
      </w:pPr>
      <w:r>
        <w:t xml:space="preserve">3.5 Alternativa si el fondo sale alto: escalado de Tango en dos pasos</w:t>
      </w:r>
    </w:p>
    <w:p>
      <w:pPr>
        <w:pStyle w:val="FirstParagraph"/>
      </w:pPr>
      <w:r>
        <w:t xml:space="preserve">Es el procedimiento oficial de Fermentas para parejas que prefieren concentraciones distintas, y pone a</w:t>
      </w:r>
      <w:r>
        <w:t xml:space="preserve"> </w:t>
      </w:r>
      <w:r>
        <w:rPr>
          <w:bCs/>
          <w:b/>
        </w:rPr>
        <w:t xml:space="preserve">las dos enzimas al 100 %</w:t>
      </w:r>
      <w:r>
        <w:t xml:space="preserve">:</w:t>
      </w:r>
    </w:p>
    <w:p>
      <w:pPr>
        <w:numPr>
          <w:ilvl w:val="0"/>
          <w:numId w:val="1006"/>
        </w:numPr>
        <w:pStyle w:val="Compact"/>
      </w:pPr>
      <w:r>
        <w:t xml:space="preserve">Monta</w:t>
      </w:r>
      <w:r>
        <w:t xml:space="preserve"> </w:t>
      </w:r>
      <w:r>
        <w:rPr>
          <w:bCs/>
          <w:b/>
        </w:rPr>
        <w:t xml:space="preserve">18 µL</w:t>
      </w:r>
      <w:r>
        <w:t xml:space="preserve"> </w:t>
      </w:r>
      <w:r>
        <w:t xml:space="preserve">en</w:t>
      </w:r>
      <w:r>
        <w:t xml:space="preserve"> </w:t>
      </w:r>
      <w:r>
        <w:rPr>
          <w:bCs/>
          <w:b/>
        </w:rPr>
        <w:t xml:space="preserve">1× Tango</w:t>
      </w:r>
      <w:r>
        <w:t xml:space="preserve"> </w:t>
      </w:r>
      <w:r>
        <w:t xml:space="preserve">(1,8 µL de 10× Tango) con 1 µg de ADN y</w:t>
      </w:r>
      <w:r>
        <w:t xml:space="preserve"> </w:t>
      </w:r>
      <w:r>
        <w:rPr>
          <w:bCs/>
          <w:b/>
        </w:rPr>
        <w:t xml:space="preserve">1 µL de BamHI</w:t>
      </w:r>
      <w:r>
        <w:t xml:space="preserve"> </w:t>
      </w:r>
      <w:r>
        <w:t xml:space="preserve">→ 37 °C, 1 h.</w:t>
      </w:r>
      <w:r>
        <w:t xml:space="preserve"> </w:t>
      </w:r>
      <w:r>
        <w:rPr>
          <w:iCs/>
          <w:i/>
        </w:rPr>
        <w:t xml:space="preserve">(BamHI está al 100 % en 1× Tango.)</w:t>
      </w:r>
    </w:p>
    <w:p>
      <w:pPr>
        <w:numPr>
          <w:ilvl w:val="0"/>
          <w:numId w:val="1006"/>
        </w:numPr>
        <w:pStyle w:val="Compact"/>
      </w:pPr>
      <w:r>
        <w:t xml:space="preserve">Sin purificar, añade</w:t>
      </w:r>
      <w:r>
        <w:t xml:space="preserve"> </w:t>
      </w:r>
      <w:r>
        <w:rPr>
          <w:bCs/>
          <w:b/>
        </w:rPr>
        <w:t xml:space="preserve">2,3 µL de 10× Tango</w:t>
      </w:r>
      <w:r>
        <w:t xml:space="preserve"> </w:t>
      </w:r>
      <w:r>
        <w:t xml:space="preserve">(1/8 del volumen inicial) para subir a</w:t>
      </w:r>
      <w:r>
        <w:t xml:space="preserve"> </w:t>
      </w:r>
      <w:r>
        <w:rPr>
          <w:bCs/>
          <w:b/>
        </w:rPr>
        <w:t xml:space="preserve">2× Tango</w:t>
      </w:r>
      <w:r>
        <w:t xml:space="preserve">, y</w:t>
      </w:r>
      <w:r>
        <w:t xml:space="preserve"> </w:t>
      </w:r>
      <w:r>
        <w:rPr>
          <w:bCs/>
          <w:b/>
        </w:rPr>
        <w:t xml:space="preserve">0,5 µL de EcoRI</w:t>
      </w:r>
      <w:r>
        <w:t xml:space="preserve"> </w:t>
      </w:r>
      <w:r>
        <w:t xml:space="preserve">→ 37 °C, 1 h.</w:t>
      </w:r>
      <w:r>
        <w:t xml:space="preserve"> </w:t>
      </w:r>
      <w:r>
        <w:rPr>
          <w:iCs/>
          <w:i/>
        </w:rPr>
        <w:t xml:space="preserve">(EcoRI está al 100 % en 2×.)</w:t>
      </w:r>
    </w:p>
    <w:p>
      <w:pPr>
        <w:numPr>
          <w:ilvl w:val="0"/>
          <w:numId w:val="1006"/>
        </w:numPr>
        <w:pStyle w:val="Compact"/>
      </w:pPr>
      <w:r>
        <w:t xml:space="preserve">Sigue con el gel del punto 3.4.</w:t>
      </w:r>
    </w:p>
    <w:p>
      <w:pPr>
        <w:pStyle w:val="FirstParagraph"/>
      </w:pPr>
      <w:r>
        <w:t xml:space="preserve">Tarda una hora más pero elimina el riesgo de que BamHI se quede corta.</w:t>
      </w:r>
    </w:p>
    <w:bookmarkEnd w:id="27"/>
    <w:bookmarkEnd w:id="28"/>
    <w:bookmarkStart w:id="29" w:name="Xc020b99197fed7be5809486de53d2d06fa33e19"/>
    <w:p>
      <w:pPr>
        <w:pStyle w:val="Heading2"/>
      </w:pPr>
      <w:r>
        <w:t xml:space="preserve">4. DÍA 1 — Fosforilación y anillado de los oligos</w:t>
      </w:r>
    </w:p>
    <w:p>
      <w:pPr>
        <w:pStyle w:val="FirstParagraph"/>
      </w:pPr>
      <w:r>
        <w:t xml:space="preserve">Igual que tu protocolo de CRISPR (Protocolo A). Un tubo por shRNA: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Componente</w:t>
            </w:r>
          </w:p>
        </w:tc>
        <w:tc>
          <w:tcPr/>
          <w:p>
            <w:pPr>
              <w:pStyle w:val="Compact"/>
              <w:jc w:val="left"/>
            </w:pPr>
            <w:r>
              <w:t xml:space="preserve">Volumen</w:t>
            </w:r>
          </w:p>
        </w:tc>
      </w:tr>
      <w:tr>
        <w:tc>
          <w:tcPr/>
          <w:p>
            <w:pPr>
              <w:pStyle w:val="Compact"/>
              <w:jc w:val="left"/>
            </w:pPr>
            <w:r>
              <w:t xml:space="preserve">Oligo TOP 100 µM</w:t>
            </w:r>
          </w:p>
        </w:tc>
        <w:tc>
          <w:tcPr/>
          <w:p>
            <w:pPr>
              <w:pStyle w:val="Compact"/>
              <w:jc w:val="left"/>
            </w:pPr>
            <w:r>
              <w:t xml:space="preserve">1 µL</w:t>
            </w:r>
          </w:p>
        </w:tc>
      </w:tr>
      <w:tr>
        <w:tc>
          <w:tcPr/>
          <w:p>
            <w:pPr>
              <w:pStyle w:val="Compact"/>
              <w:jc w:val="left"/>
            </w:pPr>
            <w:r>
              <w:t xml:space="preserve">Oligo BOT 100 µM</w:t>
            </w:r>
          </w:p>
        </w:tc>
        <w:tc>
          <w:tcPr/>
          <w:p>
            <w:pPr>
              <w:pStyle w:val="Compact"/>
              <w:jc w:val="left"/>
            </w:pPr>
            <w:r>
              <w:t xml:space="preserve">1 µL</w:t>
            </w:r>
          </w:p>
        </w:tc>
      </w:tr>
      <w:tr>
        <w:tc>
          <w:tcPr/>
          <w:p>
            <w:pPr>
              <w:pStyle w:val="Compact"/>
              <w:jc w:val="left"/>
            </w:pPr>
            <w:r>
              <w:t xml:space="preserve">Tampón ligasa T4 10×</w:t>
            </w:r>
          </w:p>
        </w:tc>
        <w:tc>
          <w:tcPr/>
          <w:p>
            <w:pPr>
              <w:pStyle w:val="Compact"/>
              <w:jc w:val="left"/>
            </w:pPr>
            <w:r>
              <w:t xml:space="preserve">1 µL</w:t>
            </w:r>
          </w:p>
        </w:tc>
      </w:tr>
      <w:tr>
        <w:tc>
          <w:tcPr/>
          <w:p>
            <w:pPr>
              <w:pStyle w:val="Compact"/>
              <w:jc w:val="left"/>
            </w:pPr>
            <w:r>
              <w:t xml:space="preserve">T4 PNK</w:t>
            </w:r>
          </w:p>
        </w:tc>
        <w:tc>
          <w:tcPr/>
          <w:p>
            <w:pPr>
              <w:pStyle w:val="Compact"/>
              <w:jc w:val="left"/>
            </w:pPr>
            <w:r>
              <w:t xml:space="preserve">0,5 µL</w:t>
            </w:r>
          </w:p>
        </w:tc>
      </w:tr>
      <w:tr>
        <w:tc>
          <w:tcPr/>
          <w:p>
            <w:pPr>
              <w:pStyle w:val="Compact"/>
              <w:jc w:val="left"/>
            </w:pPr>
            <w:r>
              <w:t xml:space="preserve">H₂O</w:t>
            </w:r>
          </w:p>
        </w:tc>
        <w:tc>
          <w:tcPr/>
          <w:p>
            <w:pPr>
              <w:pStyle w:val="Compact"/>
              <w:jc w:val="left"/>
            </w:pPr>
            <w:r>
              <w:t xml:space="preserve">6,5 µL</w:t>
            </w:r>
          </w:p>
        </w:tc>
      </w:tr>
      <w:tr>
        <w:tc>
          <w:tcPr/>
          <w:p>
            <w:pPr>
              <w:pStyle w:val="Compact"/>
              <w:jc w:val="left"/>
            </w:pPr>
            <w:r>
              <w:rPr>
                <w:bCs/>
                <w:b/>
              </w:rPr>
              <w:t xml:space="preserve">Total</w:t>
            </w:r>
          </w:p>
        </w:tc>
        <w:tc>
          <w:tcPr/>
          <w:p>
            <w:pPr>
              <w:pStyle w:val="Compact"/>
              <w:jc w:val="left"/>
            </w:pPr>
            <w:r>
              <w:rPr>
                <w:bCs/>
                <w:b/>
              </w:rPr>
              <w:t xml:space="preserve">10 µL</w:t>
            </w:r>
          </w:p>
        </w:tc>
      </w:tr>
    </w:tbl>
    <w:p>
      <w:pPr>
        <w:pStyle w:val="BodyText"/>
      </w:pPr>
      <w:r>
        <w:t xml:space="preserve">Termociclador (programa "guías CRISPR"):</w:t>
      </w:r>
    </w:p>
    <w:p>
      <w:pPr>
        <w:numPr>
          <w:ilvl w:val="0"/>
          <w:numId w:val="1007"/>
        </w:numPr>
        <w:pStyle w:val="Compact"/>
      </w:pPr>
      <w:r>
        <w:t xml:space="preserve">37 °C — 30 min (fosforilación)</w:t>
      </w:r>
    </w:p>
    <w:p>
      <w:pPr>
        <w:numPr>
          <w:ilvl w:val="0"/>
          <w:numId w:val="1007"/>
        </w:numPr>
        <w:pStyle w:val="Compact"/>
      </w:pPr>
      <w:r>
        <w:t xml:space="preserve">95 °C — 5 min (desnaturalización)</w:t>
      </w:r>
    </w:p>
    <w:p>
      <w:pPr>
        <w:numPr>
          <w:ilvl w:val="0"/>
          <w:numId w:val="1007"/>
        </w:numPr>
        <w:pStyle w:val="Compact"/>
      </w:pPr>
      <w:r>
        <w:t xml:space="preserve">Rampa hasta 25 °C a</w:t>
      </w:r>
      <w:r>
        <w:t xml:space="preserve"> </w:t>
      </w:r>
      <w:r>
        <w:rPr>
          <w:bCs/>
          <w:b/>
        </w:rPr>
        <w:t xml:space="preserve">5 °C/min</w:t>
      </w:r>
      <w:r>
        <w:t xml:space="preserve"> </w:t>
      </w:r>
      <w:r>
        <w:t xml:space="preserve">(anillado)</w:t>
      </w:r>
    </w:p>
    <w:p>
      <w:pPr>
        <w:numPr>
          <w:ilvl w:val="0"/>
          <w:numId w:val="1007"/>
        </w:numPr>
        <w:pStyle w:val="Compact"/>
      </w:pPr>
      <w:r>
        <w:t xml:space="preserve">4 °C ∞</w:t>
      </w:r>
    </w:p>
    <w:p>
      <w:pPr>
        <w:pStyle w:val="FirstParagraph"/>
      </w:pPr>
      <w:r>
        <w:rPr>
          <w:bCs/>
          <w:b/>
        </w:rPr>
        <w:t xml:space="preserve">Dilución:</w:t>
      </w:r>
      <w:r>
        <w:t xml:space="preserve"> </w:t>
      </w:r>
      <w:r>
        <w:t xml:space="preserve">diluye</w:t>
      </w:r>
      <w:r>
        <w:t xml:space="preserve"> </w:t>
      </w:r>
      <w:r>
        <w:rPr>
          <w:bCs/>
          <w:b/>
        </w:rPr>
        <w:t xml:space="preserve">1:250</w:t>
      </w:r>
      <w:r>
        <w:t xml:space="preserve"> </w:t>
      </w:r>
      <w:r>
        <w:t xml:space="preserve">(2 µL + 498 µL de agua), igual que en tu protocolo. El dúplex sin diluir está en exceso enorme y provoca concatémeros (inserciones múltiples en tándem), que es el error más frecuente en este clonaje.</w:t>
      </w:r>
    </w:p>
    <w:p>
      <w:pPr>
        <w:pStyle w:val="BlockText"/>
      </w:pPr>
      <w:r>
        <w:t xml:space="preserve">Guarda el dúplex concentrado a −20 °C; aguanta meses. La dilución 1:250 prepárala fresca.</w:t>
      </w:r>
    </w:p>
    <w:bookmarkEnd w:id="29"/>
    <w:bookmarkStart w:id="30" w:name="X7f129771c45ac0fe39b3b72252b001e9d6e9362"/>
    <w:p>
      <w:pPr>
        <w:pStyle w:val="Heading2"/>
      </w:pPr>
      <w:r>
        <w:t xml:space="preserve">5. DÍA 1 — Ligación</w:t>
      </w:r>
    </w:p>
    <w:p>
      <w:pPr>
        <w:pStyle w:val="FirstParagraph"/>
      </w:pPr>
      <w:r>
        <w:t xml:space="preserve">Tres tubos por construcción: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Componente</w:t>
            </w:r>
          </w:p>
        </w:tc>
        <w:tc>
          <w:tcPr/>
          <w:p>
            <w:pPr>
              <w:pStyle w:val="Compact"/>
              <w:jc w:val="left"/>
            </w:pPr>
            <w:r>
              <w:rPr>
                <w:bCs/>
                <w:b/>
              </w:rPr>
              <w:t xml:space="preserve">L1</w:t>
            </w:r>
            <w:r>
              <w:t xml:space="preserve"> </w:t>
            </w:r>
            <w:r>
              <w:t xml:space="preserve">(ligación)</w:t>
            </w:r>
          </w:p>
        </w:tc>
        <w:tc>
          <w:tcPr/>
          <w:p>
            <w:pPr>
              <w:pStyle w:val="Compact"/>
              <w:jc w:val="left"/>
            </w:pPr>
            <w:r>
              <w:rPr>
                <w:bCs/>
                <w:b/>
              </w:rPr>
              <w:t xml:space="preserve">L2</w:t>
            </w:r>
            <w:r>
              <w:t xml:space="preserve"> </w:t>
            </w:r>
            <w:r>
              <w:t xml:space="preserve">(control vector solo)</w:t>
            </w:r>
          </w:p>
        </w:tc>
        <w:tc>
          <w:tcPr/>
          <w:p>
            <w:pPr>
              <w:pStyle w:val="Compact"/>
              <w:jc w:val="left"/>
            </w:pPr>
            <w:r>
              <w:rPr>
                <w:bCs/>
                <w:b/>
              </w:rPr>
              <w:t xml:space="preserve">L3</w:t>
            </w:r>
            <w:r>
              <w:t xml:space="preserve"> </w:t>
            </w:r>
            <w:r>
              <w:t xml:space="preserve">(control sin ligasa)</w:t>
            </w:r>
          </w:p>
        </w:tc>
      </w:tr>
      <w:tr>
        <w:tc>
          <w:tcPr/>
          <w:p>
            <w:pPr>
              <w:pStyle w:val="Compact"/>
              <w:jc w:val="left"/>
            </w:pPr>
            <w:r>
              <w:t xml:space="preserve">Vector digerido+purificado (50 ng)</w:t>
            </w:r>
          </w:p>
        </w:tc>
        <w:tc>
          <w:tcPr/>
          <w:p>
            <w:pPr>
              <w:pStyle w:val="Compact"/>
              <w:jc w:val="left"/>
            </w:pPr>
            <w:r>
              <w:t xml:space="preserve">x µL</w:t>
            </w:r>
          </w:p>
        </w:tc>
        <w:tc>
          <w:tcPr/>
          <w:p>
            <w:pPr>
              <w:pStyle w:val="Compact"/>
              <w:jc w:val="left"/>
            </w:pPr>
            <w:r>
              <w:t xml:space="preserve">x µL</w:t>
            </w:r>
          </w:p>
        </w:tc>
        <w:tc>
          <w:tcPr/>
          <w:p>
            <w:pPr>
              <w:pStyle w:val="Compact"/>
              <w:jc w:val="left"/>
            </w:pPr>
            <w:r>
              <w:t xml:space="preserve">x µL</w:t>
            </w:r>
          </w:p>
        </w:tc>
      </w:tr>
      <w:tr>
        <w:tc>
          <w:tcPr/>
          <w:p>
            <w:pPr>
              <w:pStyle w:val="Compact"/>
              <w:jc w:val="left"/>
            </w:pPr>
            <w:r>
              <w:t xml:space="preserve">Dúplex diluido 1:250</w:t>
            </w:r>
          </w:p>
        </w:tc>
        <w:tc>
          <w:tcPr/>
          <w:p>
            <w:pPr>
              <w:pStyle w:val="Compact"/>
              <w:jc w:val="left"/>
            </w:pPr>
            <w:r>
              <w:t xml:space="preserve">2 µL</w:t>
            </w:r>
          </w:p>
        </w:tc>
        <w:tc>
          <w:tcPr/>
          <w:p>
            <w:pPr>
              <w:pStyle w:val="Compact"/>
              <w:jc w:val="left"/>
            </w:pPr>
            <w:r>
              <w:t xml:space="preserve">—</w:t>
            </w:r>
          </w:p>
        </w:tc>
        <w:tc>
          <w:tcPr/>
          <w:p>
            <w:pPr>
              <w:pStyle w:val="Compact"/>
              <w:jc w:val="left"/>
            </w:pPr>
            <w:r>
              <w:t xml:space="preserve">2 µL</w:t>
            </w:r>
          </w:p>
        </w:tc>
      </w:tr>
      <w:tr>
        <w:tc>
          <w:tcPr/>
          <w:p>
            <w:pPr>
              <w:pStyle w:val="Compact"/>
              <w:jc w:val="left"/>
            </w:pPr>
            <w:r>
              <w:t xml:space="preserve">Tampón ligasa T4 10×</w:t>
            </w:r>
          </w:p>
        </w:tc>
        <w:tc>
          <w:tcPr/>
          <w:p>
            <w:pPr>
              <w:pStyle w:val="Compact"/>
              <w:jc w:val="left"/>
            </w:pPr>
            <w:r>
              <w:t xml:space="preserve">2 µL</w:t>
            </w:r>
          </w:p>
        </w:tc>
        <w:tc>
          <w:tcPr/>
          <w:p>
            <w:pPr>
              <w:pStyle w:val="Compact"/>
              <w:jc w:val="left"/>
            </w:pPr>
            <w:r>
              <w:t xml:space="preserve">2 µL</w:t>
            </w:r>
          </w:p>
        </w:tc>
        <w:tc>
          <w:tcPr/>
          <w:p>
            <w:pPr>
              <w:pStyle w:val="Compact"/>
              <w:jc w:val="left"/>
            </w:pPr>
            <w:r>
              <w:t xml:space="preserve">2 µL</w:t>
            </w:r>
          </w:p>
        </w:tc>
      </w:tr>
      <w:tr>
        <w:tc>
          <w:tcPr/>
          <w:p>
            <w:pPr>
              <w:pStyle w:val="Compact"/>
              <w:jc w:val="left"/>
            </w:pPr>
            <w:r>
              <w:t xml:space="preserve">T4 ligasa</w:t>
            </w:r>
          </w:p>
        </w:tc>
        <w:tc>
          <w:tcPr/>
          <w:p>
            <w:pPr>
              <w:pStyle w:val="Compact"/>
              <w:jc w:val="left"/>
            </w:pPr>
            <w:r>
              <w:t xml:space="preserve">1 µL</w:t>
            </w:r>
          </w:p>
        </w:tc>
        <w:tc>
          <w:tcPr/>
          <w:p>
            <w:pPr>
              <w:pStyle w:val="Compact"/>
              <w:jc w:val="left"/>
            </w:pPr>
            <w:r>
              <w:t xml:space="preserve">1 µL</w:t>
            </w:r>
          </w:p>
        </w:tc>
        <w:tc>
          <w:tcPr/>
          <w:p>
            <w:pPr>
              <w:pStyle w:val="Compact"/>
              <w:jc w:val="left"/>
            </w:pPr>
            <w:r>
              <w:t xml:space="preserve">—</w:t>
            </w:r>
          </w:p>
        </w:tc>
      </w:tr>
      <w:tr>
        <w:tc>
          <w:tcPr/>
          <w:p>
            <w:pPr>
              <w:pStyle w:val="Compact"/>
              <w:jc w:val="left"/>
            </w:pPr>
            <w:r>
              <w:t xml:space="preserve">H₂O</w:t>
            </w:r>
          </w:p>
        </w:tc>
        <w:tc>
          <w:tcPr/>
          <w:p>
            <w:pPr>
              <w:pStyle w:val="Compact"/>
              <w:jc w:val="left"/>
            </w:pPr>
            <w:r>
              <w:t xml:space="preserve">hasta 20 µL</w:t>
            </w:r>
          </w:p>
        </w:tc>
        <w:tc>
          <w:tcPr/>
          <w:p>
            <w:pPr>
              <w:pStyle w:val="Compact"/>
              <w:jc w:val="left"/>
            </w:pPr>
            <w:r>
              <w:t xml:space="preserve">hasta 20 µL</w:t>
            </w:r>
          </w:p>
        </w:tc>
        <w:tc>
          <w:tcPr/>
          <w:p>
            <w:pPr>
              <w:pStyle w:val="Compact"/>
              <w:jc w:val="left"/>
            </w:pPr>
            <w:r>
              <w:t xml:space="preserve">hasta 20 µL</w:t>
            </w:r>
          </w:p>
        </w:tc>
      </w:tr>
    </w:tbl>
    <w:p>
      <w:pPr>
        <w:numPr>
          <w:ilvl w:val="0"/>
          <w:numId w:val="1008"/>
        </w:numPr>
        <w:pStyle w:val="Compact"/>
      </w:pPr>
      <w:r>
        <w:rPr>
          <w:bCs/>
          <w:b/>
        </w:rPr>
        <w:t xml:space="preserve">16 °C toda la noche</w:t>
      </w:r>
      <w:r>
        <w:t xml:space="preserve"> </w:t>
      </w:r>
      <w:r>
        <w:t xml:space="preserve">(mejor rendimiento) o</w:t>
      </w:r>
      <w:r>
        <w:t xml:space="preserve"> </w:t>
      </w:r>
      <w:r>
        <w:rPr>
          <w:bCs/>
          <w:b/>
        </w:rPr>
        <w:t xml:space="preserve">temperatura ambiente 1–2 h</w:t>
      </w:r>
      <w:r>
        <w:t xml:space="preserve">.</w:t>
      </w:r>
    </w:p>
    <w:p>
      <w:pPr>
        <w:numPr>
          <w:ilvl w:val="0"/>
          <w:numId w:val="1008"/>
        </w:numPr>
        <w:pStyle w:val="Compact"/>
      </w:pPr>
      <w:r>
        <w:t xml:space="preserve">L2 te dice cuánto fondo tienes por vector mal cortado/religado. Si L2 da tantas colonias como L1, repite la digestión.</w:t>
      </w:r>
    </w:p>
    <w:p>
      <w:pPr>
        <w:pStyle w:val="BlockText"/>
      </w:pPr>
      <w:r>
        <w:t xml:space="preserve">El dúplex ligado no lleva fosfato en uno de los extremos de cada cadena si no fosforilaste; al haber usado PNK sí los lleva, así que la ligación es covalente en las cuatro uniones. (Si algún día se te olvida el PNK, también funciona: quedan dos mellas que repara la bacteria, sólo baja algo la eficiencia.)</w:t>
      </w:r>
    </w:p>
    <w:bookmarkEnd w:id="30"/>
    <w:bookmarkStart w:id="31" w:name="X1b7704831ff5d58be1575466ebf4a9cb06ca0a4"/>
    <w:p>
      <w:pPr>
        <w:pStyle w:val="Heading2"/>
      </w:pPr>
      <w:r>
        <w:t xml:space="preserve">6. DÍA 2 — Transformación</w:t>
      </w:r>
    </w:p>
    <w:p>
      <w:pPr>
        <w:numPr>
          <w:ilvl w:val="0"/>
          <w:numId w:val="1009"/>
        </w:numPr>
        <w:pStyle w:val="Compact"/>
      </w:pPr>
      <w:r>
        <w:t xml:space="preserve">Descongela 50 µL de competentes en hielo.</w:t>
      </w:r>
    </w:p>
    <w:p>
      <w:pPr>
        <w:numPr>
          <w:ilvl w:val="0"/>
          <w:numId w:val="1009"/>
        </w:numPr>
        <w:pStyle w:val="Compact"/>
      </w:pPr>
      <w:r>
        <w:t xml:space="preserve">Añade</w:t>
      </w:r>
      <w:r>
        <w:t xml:space="preserve"> </w:t>
      </w:r>
      <w:r>
        <w:rPr>
          <w:bCs/>
          <w:b/>
        </w:rPr>
        <w:t xml:space="preserve">2–5 µL</w:t>
      </w:r>
      <w:r>
        <w:t xml:space="preserve"> </w:t>
      </w:r>
      <w:r>
        <w:t xml:space="preserve">de la ligación. Mezcla con la punta, no pipetees arriba y abajo.</w:t>
      </w:r>
    </w:p>
    <w:p>
      <w:pPr>
        <w:numPr>
          <w:ilvl w:val="0"/>
          <w:numId w:val="1009"/>
        </w:numPr>
        <w:pStyle w:val="Compact"/>
      </w:pPr>
      <w:r>
        <w:t xml:space="preserve">Hielo 30 min → choque térmico</w:t>
      </w:r>
      <w:r>
        <w:t xml:space="preserve"> </w:t>
      </w:r>
      <w:r>
        <w:rPr>
          <w:bCs/>
          <w:b/>
        </w:rPr>
        <w:t xml:space="preserve">42 °C 45 s</w:t>
      </w:r>
      <w:r>
        <w:t xml:space="preserve"> </w:t>
      </w:r>
      <w:r>
        <w:t xml:space="preserve">→ hielo 2 min.</w:t>
      </w:r>
    </w:p>
    <w:p>
      <w:pPr>
        <w:numPr>
          <w:ilvl w:val="0"/>
          <w:numId w:val="1009"/>
        </w:numPr>
        <w:pStyle w:val="Compact"/>
      </w:pPr>
      <w:r>
        <w:t xml:space="preserve">Añade 450 µL de SOC/LB sin antibiótico →</w:t>
      </w:r>
      <w:r>
        <w:t xml:space="preserve"> </w:t>
      </w:r>
      <w:r>
        <w:rPr>
          <w:bCs/>
          <w:b/>
        </w:rPr>
        <w:t xml:space="preserve">37 °C, 45–60 min, 220 rpm</w:t>
      </w:r>
      <w:r>
        <w:t xml:space="preserve">.</w:t>
      </w:r>
    </w:p>
    <w:p>
      <w:pPr>
        <w:numPr>
          <w:ilvl w:val="0"/>
          <w:numId w:val="1009"/>
        </w:numPr>
        <w:pStyle w:val="Compact"/>
      </w:pPr>
      <w:r>
        <w:t xml:space="preserve">Siembra 100 µL en LB-</w:t>
      </w:r>
      <w:r>
        <w:rPr>
          <w:bCs/>
          <w:b/>
        </w:rPr>
        <w:t xml:space="preserve">kanamicina 50 µg/mL</w:t>
      </w:r>
      <w:r>
        <w:t xml:space="preserve">. Guarda el resto por si salen pocas colonias (centrifuga suave, resuspende en 100 µL y siembra).</w:t>
      </w:r>
    </w:p>
    <w:p>
      <w:pPr>
        <w:numPr>
          <w:ilvl w:val="0"/>
          <w:numId w:val="1009"/>
        </w:numPr>
        <w:pStyle w:val="Compact"/>
      </w:pPr>
      <w:r>
        <w:t xml:space="preserve">37 °C toda la noche.</w:t>
      </w:r>
    </w:p>
    <w:p>
      <w:pPr>
        <w:pStyle w:val="BlockText"/>
      </w:pPr>
      <w:r>
        <w:t xml:space="preserve">Si el constructo da problemas de recombinación por el LTR, usa</w:t>
      </w:r>
      <w:r>
        <w:t xml:space="preserve"> </w:t>
      </w:r>
      <w:r>
        <w:rPr>
          <w:bCs/>
          <w:b/>
        </w:rPr>
        <w:t xml:space="preserve">Stbl3</w:t>
      </w:r>
      <w:r>
        <w:t xml:space="preserve"> </w:t>
      </w:r>
      <w:r>
        <w:t xml:space="preserve">y crece a 30 °C.</w:t>
      </w:r>
    </w:p>
    <w:bookmarkEnd w:id="31"/>
    <w:bookmarkStart w:id="38" w:name="Xe4cedf94e9d77bc1040b73c189c84235c275530"/>
    <w:p>
      <w:pPr>
        <w:pStyle w:val="Heading2"/>
      </w:pPr>
      <w:r>
        <w:t xml:space="preserve">7. DÍA 3 — Cómo verificar que el dúplex entró bien</w:t>
      </w:r>
    </w:p>
    <w:bookmarkStart w:id="32" w:name="X964234f24f36442f36615d82e0a4237ebd7fd0a"/>
    <w:p>
      <w:pPr>
        <w:pStyle w:val="Heading3"/>
      </w:pPr>
      <w:r>
        <w:t xml:space="preserve">7.0 Antes de nada: tres cosas que tu construcción NO permite</w:t>
      </w:r>
    </w:p>
    <w:p>
      <w:pPr>
        <w:pStyle w:val="FirstParagraph"/>
      </w:pPr>
      <w:r>
        <w:t xml:space="preserve">Conviene tenerlas claras para no perder un día interpretando mal un gel: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Método habitual</w:t>
            </w:r>
          </w:p>
        </w:tc>
        <w:tc>
          <w:tcPr/>
          <w:p>
            <w:pPr>
              <w:pStyle w:val="Compact"/>
              <w:jc w:val="left"/>
            </w:pPr>
            <w:r>
              <w:t xml:space="preserve">Por qué aquí no sirve</w:t>
            </w:r>
          </w:p>
        </w:tc>
      </w:tr>
      <w:tr>
        <w:tc>
          <w:tcPr/>
          <w:p>
            <w:pPr>
              <w:pStyle w:val="Compact"/>
              <w:jc w:val="left"/>
            </w:pPr>
            <w:r>
              <w:t xml:space="preserve">Ver si el plásmido "creció" en un gel</w:t>
            </w:r>
          </w:p>
        </w:tc>
        <w:tc>
          <w:tcPr/>
          <w:p>
            <w:pPr>
              <w:pStyle w:val="Compact"/>
              <w:jc w:val="left"/>
            </w:pPr>
            <w:r>
              <w:t xml:space="preserve">El inserto añade sólo</w:t>
            </w:r>
            <w:r>
              <w:t xml:space="preserve"> </w:t>
            </w:r>
            <w:r>
              <w:rPr>
                <w:bCs/>
                <w:b/>
              </w:rPr>
              <w:t xml:space="preserve">56 pb</w:t>
            </w:r>
            <w:r>
              <w:t xml:space="preserve"> </w:t>
            </w:r>
            <w:r>
              <w:t xml:space="preserve">sobre 6.877. 6.933 frente a 6.877 pb no se distinguen en un gel de agarosa</w:t>
            </w:r>
          </w:p>
        </w:tc>
      </w:tr>
      <w:tr>
        <w:tc>
          <w:tcPr/>
          <w:p>
            <w:pPr>
              <w:pStyle w:val="Compact"/>
              <w:jc w:val="left"/>
            </w:pPr>
            <w:r>
              <w:t xml:space="preserve">Digestión diagnóstica con una enzima nueva</w:t>
            </w:r>
          </w:p>
        </w:tc>
        <w:tc>
          <w:tcPr/>
          <w:p>
            <w:pPr>
              <w:pStyle w:val="Compact"/>
              <w:jc w:val="left"/>
            </w:pPr>
            <w:r>
              <w:rPr>
                <w:bCs/>
                <w:b/>
              </w:rPr>
              <w:t xml:space="preserve">Comprobado sobre tu secuencia: el inserto no crea ningún sitio de restricción nuevo.</w:t>
            </w:r>
            <w:r>
              <w:t xml:space="preserve"> </w:t>
            </w:r>
            <w:r>
              <w:t xml:space="preserve">Los únicos palíndromos de la zona son el BamHI y el EcoRI que se regeneran</w:t>
            </w:r>
          </w:p>
        </w:tc>
      </w:tr>
      <w:tr>
        <w:tc>
          <w:tcPr/>
          <w:p>
            <w:pPr>
              <w:pStyle w:val="Compact"/>
              <w:jc w:val="left"/>
            </w:pPr>
            <w:r>
              <w:t xml:space="preserve">Linearizar y comparar</w:t>
            </w:r>
          </w:p>
        </w:tc>
        <w:tc>
          <w:tcPr/>
          <w:p>
            <w:pPr>
              <w:pStyle w:val="Compact"/>
              <w:jc w:val="left"/>
            </w:pPr>
            <w:r>
              <w:t xml:space="preserve">Mismo problema: 56 pb de diferencia</w:t>
            </w:r>
          </w:p>
        </w:tc>
      </w:tr>
    </w:tbl>
    <w:p>
      <w:pPr>
        <w:pStyle w:val="BodyText"/>
      </w:pPr>
      <w:r>
        <w:t xml:space="preserve">Así que la verificación va por</w:t>
      </w:r>
      <w:r>
        <w:t xml:space="preserve"> </w:t>
      </w:r>
      <w:r>
        <w:rPr>
          <w:bCs/>
          <w:b/>
        </w:rPr>
        <w:t xml:space="preserve">PCR de colonia → digestión BamHI/EcoRI → secuenciación</w:t>
      </w:r>
      <w:r>
        <w:t xml:space="preserve">, en ese orden.</w:t>
      </w:r>
    </w:p>
    <w:bookmarkEnd w:id="32"/>
    <w:bookmarkStart w:id="33" w:name="X152c211f23ebed962bedf706a3d65914a4c4497"/>
    <w:p>
      <w:pPr>
        <w:pStyle w:val="Heading3"/>
      </w:pPr>
      <w:r>
        <w:t xml:space="preserve">7.1 Control previo: comprueba el anillado antes de ligar</w:t>
      </w:r>
    </w:p>
    <w:p>
      <w:pPr>
        <w:pStyle w:val="FirstParagraph"/>
      </w:pPr>
      <w:r>
        <w:t xml:space="preserve">Merece la pena gastar un carril antes de montar la ligación. Carga</w:t>
      </w:r>
      <w:r>
        <w:t xml:space="preserve"> </w:t>
      </w:r>
      <w:r>
        <w:rPr>
          <w:bCs/>
          <w:b/>
        </w:rPr>
        <w:t xml:space="preserve">1 µL del dúplex sin diluir</w:t>
      </w:r>
      <w:r>
        <w:t xml:space="preserve"> </w:t>
      </w:r>
      <w:r>
        <w:t xml:space="preserve">(el de 10 µL recién salido del termociclador, no la dilución 1:250, que no se ve) en</w:t>
      </w:r>
      <w:r>
        <w:t xml:space="preserve"> </w:t>
      </w:r>
      <w:r>
        <w:rPr>
          <w:bCs/>
          <w:b/>
        </w:rPr>
        <w:t xml:space="preserve">agarosa al 3 % o acrilamida al 10 %</w:t>
      </w:r>
      <w:r>
        <w:t xml:space="preserve">:</w:t>
      </w:r>
    </w:p>
    <w:p>
      <w:pPr>
        <w:numPr>
          <w:ilvl w:val="0"/>
          <w:numId w:val="1010"/>
        </w:numPr>
        <w:pStyle w:val="Compact"/>
      </w:pPr>
      <w:r>
        <w:rPr>
          <w:bCs/>
          <w:b/>
        </w:rPr>
        <w:t xml:space="preserve">Bien anillado:</w:t>
      </w:r>
      <w:r>
        <w:t xml:space="preserve"> </w:t>
      </w:r>
      <w:r>
        <w:t xml:space="preserve">una banda nítida de ~65 pb.</w:t>
      </w:r>
    </w:p>
    <w:p>
      <w:pPr>
        <w:numPr>
          <w:ilvl w:val="0"/>
          <w:numId w:val="1010"/>
        </w:numPr>
        <w:pStyle w:val="Compact"/>
      </w:pPr>
      <w:r>
        <w:rPr>
          <w:bCs/>
          <w:b/>
        </w:rPr>
        <w:t xml:space="preserve">Mal anillado:</w:t>
      </w:r>
      <w:r>
        <w:t xml:space="preserve"> </w:t>
      </w:r>
      <w:r>
        <w:t xml:space="preserve">una banda difusa que corre más rápido, o dos bandas → los oligos siguen monocatenarios. Repite la rampa de temperatura más lenta.</w:t>
      </w:r>
    </w:p>
    <w:p>
      <w:pPr>
        <w:pStyle w:val="FirstParagraph"/>
      </w:pPr>
      <w:r>
        <w:t xml:space="preserve">Si el dúplex no está anillado, la ligación no puede funcionar, y te enteras aquí en vez de tres días después.</w:t>
      </w:r>
    </w:p>
    <w:bookmarkEnd w:id="33"/>
    <w:bookmarkStart w:id="34" w:name="Xce8ee6f05afdcd21cfba096abd890f8314d3e5d"/>
    <w:p>
      <w:pPr>
        <w:pStyle w:val="Heading3"/>
      </w:pPr>
      <w:r>
        <w:t xml:space="preserve">7.2 PCR de colonia (cribado rápido, 10–20 colonias)</w:t>
      </w:r>
    </w:p>
    <w:p>
      <w:pPr>
        <w:pStyle w:val="FirstParagraph"/>
      </w:pPr>
      <w:r>
        <w:t xml:space="preserve">Cebadores diseñados sobre tu secuencia: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Secuencia (5'→3')</w:t>
            </w:r>
          </w:p>
        </w:tc>
        <w:tc>
          <w:tcPr/>
          <w:p>
            <w:pPr>
              <w:pStyle w:val="Compact"/>
              <w:jc w:val="left"/>
            </w:pPr>
            <w:r>
              <w:t xml:space="preserve">Posición</w:t>
            </w:r>
          </w:p>
        </w:tc>
        <w:tc>
          <w:tcPr/>
          <w:p>
            <w:pPr>
              <w:pStyle w:val="Compact"/>
              <w:jc w:val="left"/>
            </w:pPr>
            <w:r>
              <w:t xml:space="preserve">Tm</w:t>
            </w:r>
          </w:p>
        </w:tc>
      </w:tr>
      <w:tr>
        <w:tc>
          <w:tcPr/>
          <w:p>
            <w:pPr>
              <w:pStyle w:val="Compact"/>
              <w:jc w:val="left"/>
            </w:pPr>
            <w:r>
              <w:rPr>
                <w:bCs/>
                <w:b/>
              </w:rPr>
              <w:t xml:space="preserve">H1-F</w:t>
            </w:r>
          </w:p>
        </w:tc>
        <w:tc>
          <w:tcPr/>
          <w:p>
            <w:pPr>
              <w:pStyle w:val="Compact"/>
              <w:jc w:val="left"/>
            </w:pPr>
            <w:r>
              <w:rPr>
                <w:rStyle w:val="VerbatimChar"/>
              </w:rPr>
              <w:t xml:space="preserve">GAGTGGCGCCCTGCAATATTTGCATG</w:t>
            </w:r>
          </w:p>
        </w:tc>
        <w:tc>
          <w:tcPr/>
          <w:p>
            <w:pPr>
              <w:pStyle w:val="Compact"/>
              <w:jc w:val="left"/>
            </w:pPr>
            <w:r>
              <w:t xml:space="preserve">2821–2846</w:t>
            </w:r>
          </w:p>
        </w:tc>
        <w:tc>
          <w:tcPr/>
          <w:p>
            <w:pPr>
              <w:pStyle w:val="Compact"/>
              <w:jc w:val="left"/>
            </w:pPr>
            <w:r>
              <w:t xml:space="preserve">~61 °C</w:t>
            </w:r>
          </w:p>
        </w:tc>
      </w:tr>
      <w:tr>
        <w:tc>
          <w:tcPr/>
          <w:p>
            <w:pPr>
              <w:pStyle w:val="Compact"/>
              <w:jc w:val="left"/>
            </w:pPr>
            <w:r>
              <w:rPr>
                <w:bCs/>
                <w:b/>
              </w:rPr>
              <w:t xml:space="preserve">pSI-R</w:t>
            </w:r>
          </w:p>
        </w:tc>
        <w:tc>
          <w:tcPr/>
          <w:p>
            <w:pPr>
              <w:pStyle w:val="Compact"/>
              <w:jc w:val="left"/>
            </w:pPr>
            <w:r>
              <w:rPr>
                <w:rStyle w:val="VerbatimChar"/>
              </w:rPr>
              <w:t xml:space="preserve">TGAGGCTTAAGCAGTGGGTTCC</w:t>
            </w:r>
          </w:p>
        </w:tc>
        <w:tc>
          <w:tcPr/>
          <w:p>
            <w:pPr>
              <w:pStyle w:val="Compact"/>
              <w:jc w:val="left"/>
            </w:pPr>
            <w:r>
              <w:t xml:space="preserve">3021–3042 (rev)</w:t>
            </w:r>
          </w:p>
        </w:tc>
        <w:tc>
          <w:tcPr/>
          <w:p>
            <w:pPr>
              <w:pStyle w:val="Compact"/>
              <w:jc w:val="left"/>
            </w:pPr>
            <w:r>
              <w:t xml:space="preserve">~57 °C</w:t>
            </w:r>
          </w:p>
        </w:tc>
      </w:tr>
    </w:tbl>
    <w:p>
      <w:pPr>
        <w:numPr>
          <w:ilvl w:val="0"/>
          <w:numId w:val="1011"/>
        </w:numPr>
        <w:pStyle w:val="Compact"/>
      </w:pPr>
      <w:r>
        <w:t xml:space="preserve">Ta = 58 °C, extensión 30 s.</w:t>
      </w:r>
    </w:p>
    <w:p>
      <w:pPr>
        <w:numPr>
          <w:ilvl w:val="0"/>
          <w:numId w:val="1011"/>
        </w:numPr>
        <w:pStyle w:val="Compact"/>
      </w:pPr>
      <w:r>
        <w:rPr>
          <w:bCs/>
          <w:b/>
        </w:rPr>
        <w:t xml:space="preserve">Vacío: 222 pb — con inserto: 278 pb.</w:t>
      </w:r>
      <w:r>
        <w:t xml:space="preserve"> </w:t>
      </w:r>
      <w:r>
        <w:t xml:space="preserve">Son 56 pb de diferencia sobre un fragmento pequeño, así que</w:t>
      </w:r>
      <w:r>
        <w:t xml:space="preserve"> </w:t>
      </w:r>
      <w:r>
        <w:rPr>
          <w:bCs/>
          <w:b/>
        </w:rPr>
        <w:t xml:space="preserve">sí</w:t>
      </w:r>
      <w:r>
        <w:t xml:space="preserve"> </w:t>
      </w:r>
      <w:r>
        <w:t xml:space="preserve">se resuelven, pero necesitas</w:t>
      </w:r>
      <w:r>
        <w:t xml:space="preserve"> </w:t>
      </w:r>
      <w:r>
        <w:rPr>
          <w:bCs/>
          <w:b/>
        </w:rPr>
        <w:t xml:space="preserve">agarosa al 2,5–3 %</w:t>
      </w:r>
      <w:r>
        <w:t xml:space="preserve"> </w:t>
      </w:r>
      <w:r>
        <w:t xml:space="preserve">y correr despacio. En un gel al 1 % no los vas a separar.</w:t>
      </w:r>
    </w:p>
    <w:p>
      <w:pPr>
        <w:numPr>
          <w:ilvl w:val="0"/>
          <w:numId w:val="1011"/>
        </w:numPr>
        <w:pStyle w:val="Compact"/>
      </w:pPr>
      <w:r>
        <w:t xml:space="preserve">Pon siempre un carril con</w:t>
      </w:r>
      <w:r>
        <w:t xml:space="preserve"> </w:t>
      </w:r>
      <w:r>
        <w:rPr>
          <w:bCs/>
          <w:b/>
        </w:rPr>
        <w:t xml:space="preserve">plásmido vacío</w:t>
      </w:r>
      <w:r>
        <w:t xml:space="preserve"> </w:t>
      </w:r>
      <w:r>
        <w:t xml:space="preserve">como referencia de los 222 pb. Sin ese control es muy fácil confundirse.</w:t>
      </w:r>
    </w:p>
    <w:p>
      <w:pPr>
        <w:numPr>
          <w:ilvl w:val="0"/>
          <w:numId w:val="1011"/>
        </w:numPr>
        <w:pStyle w:val="Compact"/>
      </w:pPr>
      <w:r>
        <w:rPr>
          <w:bCs/>
          <w:b/>
        </w:rPr>
        <w:t xml:space="preserve">Banda de ~334 pb o mayor → concatémero</w:t>
      </w:r>
      <w:r>
        <w:t xml:space="preserve"> </w:t>
      </w:r>
      <w:r>
        <w:t xml:space="preserve">(dos o más dúplex en tándem). Descártala: expresará mal y recombina.</w:t>
      </w:r>
    </w:p>
    <w:p>
      <w:pPr>
        <w:pStyle w:val="BlockText"/>
      </w:pPr>
      <w:r>
        <w:t xml:space="preserve">⚠️</w:t>
      </w:r>
      <w:r>
        <w:t xml:space="preserve"> </w:t>
      </w:r>
      <w:r>
        <w:rPr>
          <w:bCs/>
          <w:b/>
        </w:rPr>
        <w:t xml:space="preserve">La PCR no distingue sh13 de shSCR:</w:t>
      </w:r>
      <w:r>
        <w:t xml:space="preserve"> </w:t>
      </w:r>
      <w:r>
        <w:t xml:space="preserve">los dos dan 278 pb. Por eso haz las dos ligaciones y transformaciones</w:t>
      </w:r>
      <w:r>
        <w:t xml:space="preserve"> </w:t>
      </w:r>
      <w:r>
        <w:rPr>
          <w:bCs/>
          <w:b/>
        </w:rPr>
        <w:t xml:space="preserve">por separado y bien etiquetadas</w:t>
      </w:r>
      <w:r>
        <w:t xml:space="preserve">; no intentes separarlas después.</w:t>
      </w:r>
    </w:p>
    <w:bookmarkEnd w:id="34"/>
    <w:bookmarkStart w:id="35" w:name="X421018bbd6a8d8081d08b9cdadc952f19ef551d"/>
    <w:p>
      <w:pPr>
        <w:pStyle w:val="Heading3"/>
      </w:pPr>
      <w:r>
        <w:t xml:space="preserve">7.3 Digestión BamHI + EcoRI sobre miniprep (confirmación intermedia)</w:t>
      </w:r>
    </w:p>
    <w:p>
      <w:pPr>
        <w:pStyle w:val="FirstParagraph"/>
      </w:pPr>
      <w:r>
        <w:t xml:space="preserve">Al ligar</w:t>
      </w:r>
      <w:r>
        <w:t xml:space="preserve"> </w:t>
      </w:r>
      <w:r>
        <w:rPr>
          <w:bCs/>
          <w:b/>
        </w:rPr>
        <w:t xml:space="preserve">se regeneran los dos sitios</w:t>
      </w:r>
      <w:r>
        <w:t xml:space="preserve">, así que puedes volver a cortar el inserto:</w:t>
      </w:r>
    </w:p>
    <w:p>
      <w:pPr>
        <w:numPr>
          <w:ilvl w:val="0"/>
          <w:numId w:val="1012"/>
        </w:numPr>
        <w:pStyle w:val="Compact"/>
      </w:pPr>
      <w:r>
        <w:rPr>
          <w:bCs/>
          <w:b/>
        </w:rPr>
        <w:t xml:space="preserve">Clon correcto:</w:t>
      </w:r>
      <w:r>
        <w:t xml:space="preserve"> </w:t>
      </w:r>
      <w:r>
        <w:t xml:space="preserve">vector ~6,9 kb + fragmento de</w:t>
      </w:r>
      <w:r>
        <w:t xml:space="preserve"> </w:t>
      </w:r>
      <w:r>
        <w:rPr>
          <w:bCs/>
          <w:b/>
        </w:rPr>
        <w:t xml:space="preserve">65 pb</w:t>
      </w:r>
      <w:r>
        <w:t xml:space="preserve">.</w:t>
      </w:r>
    </w:p>
    <w:p>
      <w:pPr>
        <w:numPr>
          <w:ilvl w:val="0"/>
          <w:numId w:val="1012"/>
        </w:numPr>
        <w:pStyle w:val="Compact"/>
      </w:pPr>
      <w:r>
        <w:rPr>
          <w:bCs/>
          <w:b/>
        </w:rPr>
        <w:t xml:space="preserve">Vector vacío religado:</w:t>
      </w:r>
      <w:r>
        <w:t xml:space="preserve"> </w:t>
      </w:r>
      <w:r>
        <w:t xml:space="preserve">vector ~6,9 kb + fragmento de</w:t>
      </w:r>
      <w:r>
        <w:t xml:space="preserve"> </w:t>
      </w:r>
      <w:r>
        <w:rPr>
          <w:bCs/>
          <w:b/>
        </w:rPr>
        <w:t xml:space="preserve">9 pb</w:t>
      </w:r>
      <w:r>
        <w:t xml:space="preserve"> </w:t>
      </w:r>
      <w:r>
        <w:t xml:space="preserve">(invisible, se va con el frente).</w:t>
      </w:r>
    </w:p>
    <w:p>
      <w:pPr>
        <w:pStyle w:val="FirstParagraph"/>
      </w:pPr>
      <w:r>
        <w:t xml:space="preserve">La banda de 65 pb es la prueba directa de que el dúplex está dentro. Necesitas</w:t>
      </w:r>
      <w:r>
        <w:t xml:space="preserve"> </w:t>
      </w:r>
      <w:r>
        <w:rPr>
          <w:bCs/>
          <w:b/>
        </w:rPr>
        <w:t xml:space="preserve">agarosa al 3 % o acrilamida al 10 %</w:t>
      </w:r>
      <w:r>
        <w:t xml:space="preserve">, y cargar bastante miniprep (500 ng–1 µg) porque 65 pb sobre 6.933 es muy poca masa: con 1 µg digerido sólo ~9 ng van a esa banda. Tiñe bien y no te asustes si es tenue.</w:t>
      </w:r>
    </w:p>
    <w:bookmarkEnd w:id="35"/>
    <w:bookmarkStart w:id="36" w:name="X7e8df4206d27f8b49876ff3b3ad0cef3dfb1e40"/>
    <w:p>
      <w:pPr>
        <w:pStyle w:val="Heading3"/>
      </w:pPr>
      <w:r>
        <w:t xml:space="preserve">7.4 Secuenciación (la única prueba definitiva)</w:t>
      </w:r>
    </w:p>
    <w:p>
      <w:pPr>
        <w:pStyle w:val="FirstParagraph"/>
      </w:pPr>
      <w:r>
        <w:t xml:space="preserve">Manda</w:t>
      </w:r>
      <w:r>
        <w:t xml:space="preserve"> </w:t>
      </w:r>
      <w:r>
        <w:rPr>
          <w:bCs/>
          <w:b/>
        </w:rPr>
        <w:t xml:space="preserve">4–6 clones</w:t>
      </w:r>
      <w:r>
        <w:t xml:space="preserve"> </w:t>
      </w:r>
      <w:r>
        <w:t xml:space="preserve">positivos por PCR. Usa</w:t>
      </w:r>
      <w:r>
        <w:t xml:space="preserve"> </w:t>
      </w:r>
      <w:r>
        <w:rPr>
          <w:bCs/>
          <w:b/>
        </w:rPr>
        <w:t xml:space="preserve">los dos cebadores</w:t>
      </w:r>
      <w:r>
        <w:t xml:space="preserve">:</w:t>
      </w:r>
    </w:p>
    <w:p>
      <w:pPr>
        <w:numPr>
          <w:ilvl w:val="0"/>
          <w:numId w:val="1013"/>
        </w:numPr>
        <w:pStyle w:val="Compact"/>
      </w:pPr>
      <w:r>
        <w:rPr>
          <w:bCs/>
          <w:b/>
        </w:rPr>
        <w:t xml:space="preserve">H1-F</w:t>
      </w:r>
      <w:r>
        <w:t xml:space="preserve"> </w:t>
      </w:r>
      <w:r>
        <w:t xml:space="preserve">(directo): el inserto empieza ~83 pb después del cebador, en plena zona de buena calidad.</w:t>
      </w:r>
    </w:p>
    <w:p>
      <w:pPr>
        <w:numPr>
          <w:ilvl w:val="0"/>
          <w:numId w:val="1013"/>
        </w:numPr>
        <w:pStyle w:val="Compact"/>
      </w:pPr>
      <w:r>
        <w:rPr>
          <w:bCs/>
          <w:b/>
        </w:rPr>
        <w:t xml:space="preserve">pSI-R</w:t>
      </w:r>
      <w:r>
        <w:t xml:space="preserve"> </w:t>
      </w:r>
      <w:r>
        <w:t xml:space="preserve">(inverso): entra por el otro lado. Leer el horquilla desde ambos lados es lo que te salva cuando una de las dos lecturas se atasca.</w:t>
      </w:r>
    </w:p>
    <w:p>
      <w:pPr>
        <w:pStyle w:val="FirstParagraph"/>
      </w:pPr>
      <w:r>
        <w:rPr>
          <w:bCs/>
          <w:b/>
        </w:rPr>
        <w:t xml:space="preserve">Qué mirar, en este orden:</w:t>
      </w:r>
    </w:p>
    <w:p>
      <w:pPr>
        <w:numPr>
          <w:ilvl w:val="0"/>
          <w:numId w:val="1014"/>
        </w:numPr>
        <w:pStyle w:val="Compact"/>
      </w:pPr>
      <w:r>
        <w:rPr>
          <w:bCs/>
          <w:b/>
        </w:rPr>
        <w:t xml:space="preserve">Una sola copia del dúplex.</w:t>
      </w:r>
      <w:r>
        <w:t xml:space="preserve"> </w:t>
      </w:r>
      <w:r>
        <w:t xml:space="preserve">Si ves la secuencia repetida en tándem, es concatémero.</w:t>
      </w:r>
    </w:p>
    <w:p>
      <w:pPr>
        <w:numPr>
          <w:ilvl w:val="0"/>
          <w:numId w:val="1014"/>
        </w:numPr>
        <w:pStyle w:val="Compact"/>
      </w:pPr>
      <w:r>
        <w:rPr>
          <w:bCs/>
          <w:b/>
        </w:rPr>
        <w:t xml:space="preserve">El tramo de 5 T (terminador de Pol III) intacto.</w:t>
      </w:r>
      <w:r>
        <w:t xml:space="preserve"> </w:t>
      </w:r>
      <w:r>
        <w:t xml:space="preserve">Es el punto donde más deleciones aparecen: tanto la polimerasa de secuenciación como</w:t>
      </w:r>
      <w:r>
        <w:t xml:space="preserve"> </w:t>
      </w:r>
      <w:r>
        <w:rPr>
          <w:iCs/>
          <w:i/>
        </w:rPr>
        <w:t xml:space="preserve">E. coli</w:t>
      </w:r>
      <w:r>
        <w:t xml:space="preserve"> </w:t>
      </w:r>
      <w:r>
        <w:t xml:space="preserve">resbalan en homopolímeros. Un clon con 4 T en vez de 5 termina mal la transcripción y silencia peor.</w:t>
      </w:r>
    </w:p>
    <w:p>
      <w:pPr>
        <w:numPr>
          <w:ilvl w:val="0"/>
          <w:numId w:val="1014"/>
        </w:numPr>
        <w:pStyle w:val="Compact"/>
      </w:pPr>
      <w:r>
        <w:rPr>
          <w:bCs/>
          <w:b/>
        </w:rPr>
        <w:t xml:space="preserve">El bucle y las dos hebras completos</w:t>
      </w:r>
      <w:r>
        <w:t xml:space="preserve">, sin deleciones internas.</w:t>
      </w:r>
    </w:p>
    <w:p>
      <w:pPr>
        <w:numPr>
          <w:ilvl w:val="0"/>
          <w:numId w:val="1014"/>
        </w:numPr>
        <w:pStyle w:val="Compact"/>
      </w:pPr>
      <w:r>
        <w:t xml:space="preserve">Secuencias esperadas de extremo a extremo:</w:t>
      </w:r>
    </w:p>
    <w:p>
      <w:pPr>
        <w:numPr>
          <w:ilvl w:val="1"/>
          <w:numId w:val="1015"/>
        </w:numPr>
        <w:pStyle w:val="Compact"/>
      </w:pPr>
      <w:r>
        <w:rPr>
          <w:bCs/>
          <w:b/>
        </w:rPr>
        <w:t xml:space="preserve">sh13:</w:t>
      </w:r>
      <w:r>
        <w:t xml:space="preserve"> </w:t>
      </w:r>
      <w:r>
        <w:rPr>
          <w:rStyle w:val="VerbatimChar"/>
        </w:rPr>
        <w:t xml:space="preserve">GGATCCAATGACTGCCTGGCTTCCTTTCTTCCTGTCAGAAAAGGAAGCCAGGCAGTCATTTTTTTGAATTC</w:t>
      </w:r>
    </w:p>
    <w:p>
      <w:pPr>
        <w:numPr>
          <w:ilvl w:val="1"/>
          <w:numId w:val="1015"/>
        </w:numPr>
        <w:pStyle w:val="Compact"/>
      </w:pPr>
      <w:r>
        <w:rPr>
          <w:bCs/>
          <w:b/>
        </w:rPr>
        <w:t xml:space="preserve">shSCR:</w:t>
      </w:r>
      <w:r>
        <w:t xml:space="preserve"> </w:t>
      </w:r>
      <w:r>
        <w:rPr>
          <w:rStyle w:val="VerbatimChar"/>
        </w:rPr>
        <w:t xml:space="preserve">GGATCCCCTAAGGTTAAGTCGCCCTCGCTTCCTGTCAGACGAGGGCGACTTAACCTTAGGTTTTTGAATTC</w:t>
      </w:r>
    </w:p>
    <w:p>
      <w:pPr>
        <w:pStyle w:val="BlockText"/>
      </w:pPr>
      <w:r>
        <w:t xml:space="preserve">⚠️</w:t>
      </w:r>
      <w:r>
        <w:t xml:space="preserve"> </w:t>
      </w:r>
      <w:r>
        <w:rPr>
          <w:bCs/>
          <w:b/>
        </w:rPr>
        <w:t xml:space="preserve">Las horquillas se secuencian mal, y es normal.</w:t>
      </w:r>
      <w:r>
        <w:t xml:space="preserve"> </w:t>
      </w:r>
      <w:r>
        <w:t xml:space="preserve">El dúplex forma un tallo de 21 pb muy estable que hace que la polimerasa se pare o comprima picos justo ahí. Si la lectura muere al entrar en la horquilla: pide al servicio de secuenciación su protocolo para</w:t>
      </w:r>
      <w:r>
        <w:t xml:space="preserve"> </w:t>
      </w:r>
      <w:r>
        <w:rPr>
          <w:bCs/>
          <w:b/>
        </w:rPr>
        <w:t xml:space="preserve">GC-rich / hairpin</w:t>
      </w:r>
      <w:r>
        <w:t xml:space="preserve"> </w:t>
      </w:r>
      <w:r>
        <w:t xml:space="preserve">(betaína, DMSO o química dGTP), y manda el clon con los dos cebadores. Una lectura que entra limpia por un lado y otra que entra limpia por el otro te reconstruyen la secuencia completa aunque ninguna de las dos la cruce entera.</w:t>
      </w:r>
    </w:p>
    <w:bookmarkEnd w:id="36"/>
    <w:bookmarkStart w:id="37" w:name="Xf4730dab3622aa8626ef3ff99b7304e1de63fe3"/>
    <w:p>
      <w:pPr>
        <w:pStyle w:val="Heading3"/>
      </w:pPr>
      <w:r>
        <w:t xml:space="preserve">7.5 Validación funcional (la que de verdad importa)</w:t>
      </w:r>
    </w:p>
    <w:p>
      <w:pPr>
        <w:pStyle w:val="FirstParagraph"/>
      </w:pPr>
      <w:r>
        <w:t xml:space="preserve">Un clon con la secuencia perfecta todavía puede no silenciar. Antes de dar la construcción por buena:</w:t>
      </w:r>
    </w:p>
    <w:p>
      <w:pPr>
        <w:numPr>
          <w:ilvl w:val="0"/>
          <w:numId w:val="1016"/>
        </w:numPr>
        <w:pStyle w:val="Compact"/>
      </w:pPr>
      <w:r>
        <w:t xml:space="preserve">Transfecta y comprueba</w:t>
      </w:r>
      <w:r>
        <w:t xml:space="preserve"> </w:t>
      </w:r>
      <w:r>
        <w:rPr>
          <w:bCs/>
          <w:b/>
        </w:rPr>
        <w:t xml:space="preserve">GFP</w:t>
      </w:r>
      <w:r>
        <w:t xml:space="preserve"> </w:t>
      </w:r>
      <w:r>
        <w:t xml:space="preserve">a las 24–48 h: te confirma que el plásmido entra y se expresa.</w:t>
      </w:r>
    </w:p>
    <w:p>
      <w:pPr>
        <w:numPr>
          <w:ilvl w:val="0"/>
          <w:numId w:val="1016"/>
        </w:numPr>
        <w:pStyle w:val="Compact"/>
      </w:pPr>
      <w:r>
        <w:rPr>
          <w:bCs/>
          <w:b/>
        </w:rPr>
        <w:t xml:space="preserve">RT-qPCR</w:t>
      </w:r>
      <w:r>
        <w:t xml:space="preserve"> </w:t>
      </w:r>
      <w:r>
        <w:t xml:space="preserve">del gen diana frente a shSCR. Esperable: 60–80 % de reducción con un shRNA que funcione.</w:t>
      </w:r>
    </w:p>
    <w:p>
      <w:pPr>
        <w:numPr>
          <w:ilvl w:val="0"/>
          <w:numId w:val="1016"/>
        </w:numPr>
        <w:pStyle w:val="Compact"/>
      </w:pPr>
      <w:r>
        <w:t xml:space="preserve">Si por PCR y secuencia está todo bien pero no silencia, lo más probable es que se esté cargando la hebra equivocada en el RISC. En ese caso toca probar otra diana, no repetir el clonaje.</w:t>
      </w:r>
    </w:p>
    <w:bookmarkEnd w:id="37"/>
    <w:bookmarkEnd w:id="38"/>
    <w:bookmarkStart w:id="39" w:name="Xf192321a6293fd3b4cb79f0b1a84b5dd6f43b7d"/>
    <w:p>
      <w:pPr>
        <w:pStyle w:val="Heading2"/>
      </w:pPr>
      <w:r>
        <w:t xml:space="preserve">8. Resolución de problemas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Problema</w:t>
            </w:r>
          </w:p>
        </w:tc>
        <w:tc>
          <w:tcPr/>
          <w:p>
            <w:pPr>
              <w:pStyle w:val="Compact"/>
              <w:jc w:val="left"/>
            </w:pPr>
            <w:r>
              <w:t xml:space="preserve">Causa probable</w:t>
            </w:r>
          </w:p>
        </w:tc>
        <w:tc>
          <w:tcPr/>
          <w:p>
            <w:pPr>
              <w:pStyle w:val="Compact"/>
              <w:jc w:val="left"/>
            </w:pPr>
            <w:r>
              <w:t xml:space="preserve">Solución</w:t>
            </w:r>
          </w:p>
        </w:tc>
      </w:tr>
      <w:tr>
        <w:tc>
          <w:tcPr/>
          <w:p>
            <w:pPr>
              <w:pStyle w:val="Compact"/>
              <w:jc w:val="left"/>
            </w:pPr>
            <w:r>
              <w:t xml:space="preserve">Muchas colonias también en L2 (vector solo)</w:t>
            </w:r>
          </w:p>
        </w:tc>
        <w:tc>
          <w:tcPr/>
          <w:p>
            <w:pPr>
              <w:pStyle w:val="Compact"/>
              <w:jc w:val="left"/>
            </w:pPr>
            <w:r>
              <w:t xml:space="preserve">Digestión incompleta (sólo cortó una enzima)</w:t>
            </w:r>
          </w:p>
        </w:tc>
        <w:tc>
          <w:tcPr/>
          <w:p>
            <w:pPr>
              <w:pStyle w:val="Compact"/>
              <w:jc w:val="left"/>
            </w:pPr>
            <w:r>
              <w:t xml:space="preserve">Añade 0,5 µL más de</w:t>
            </w:r>
            <w:r>
              <w:t xml:space="preserve"> </w:t>
            </w:r>
            <w:r>
              <w:rPr>
                <w:bCs/>
                <w:b/>
              </w:rPr>
              <w:t xml:space="preserve">BamHI</w:t>
            </w:r>
            <w:r>
              <w:t xml:space="preserve"> </w:t>
            </w:r>
            <w:r>
              <w:t xml:space="preserve">y otra hora (nunca más EcoRI); o pasa al escalado de Tango en dos pasos (3.5). Baja el ADN a 0,5 µg y corta la banda por su parte baja</w:t>
            </w:r>
          </w:p>
        </w:tc>
      </w:tr>
      <w:tr>
        <w:tc>
          <w:tcPr/>
          <w:p>
            <w:pPr>
              <w:pStyle w:val="Compact"/>
              <w:jc w:val="left"/>
            </w:pPr>
            <w:r>
              <w:t xml:space="preserve">Pocas o ninguna colonia en L1</w:t>
            </w:r>
          </w:p>
        </w:tc>
        <w:tc>
          <w:tcPr/>
          <w:p>
            <w:pPr>
              <w:pStyle w:val="Compact"/>
              <w:jc w:val="left"/>
            </w:pPr>
            <w:r>
              <w:t xml:space="preserve">Vector sobre-purificado o poco; dúplex mal anillado</w:t>
            </w:r>
          </w:p>
        </w:tc>
        <w:tc>
          <w:tcPr/>
          <w:p>
            <w:pPr>
              <w:pStyle w:val="Compact"/>
              <w:jc w:val="left"/>
            </w:pPr>
            <w:r>
              <w:t xml:space="preserve">Sube a 100 ng de vector; comprueba el dúplex en gel al 3 % (debe ir como banda única de ~65 pb)</w:t>
            </w:r>
          </w:p>
        </w:tc>
      </w:tr>
      <w:tr>
        <w:tc>
          <w:tcPr/>
          <w:p>
            <w:pPr>
              <w:pStyle w:val="Compact"/>
              <w:jc w:val="left"/>
            </w:pPr>
            <w:r>
              <w:t xml:space="preserve">Insertos en tándem</w:t>
            </w:r>
          </w:p>
        </w:tc>
        <w:tc>
          <w:tcPr/>
          <w:p>
            <w:pPr>
              <w:pStyle w:val="Compact"/>
              <w:jc w:val="left"/>
            </w:pPr>
            <w:r>
              <w:t xml:space="preserve">Exceso de dúplex</w:t>
            </w:r>
          </w:p>
        </w:tc>
        <w:tc>
          <w:tcPr/>
          <w:p>
            <w:pPr>
              <w:pStyle w:val="Compact"/>
              <w:jc w:val="left"/>
            </w:pPr>
            <w:r>
              <w:t xml:space="preserve">Diluye 1:500 o 1:1000 en vez de 1:250</w:t>
            </w:r>
          </w:p>
        </w:tc>
      </w:tr>
      <w:tr>
        <w:tc>
          <w:tcPr/>
          <w:p>
            <w:pPr>
              <w:pStyle w:val="Compact"/>
              <w:jc w:val="left"/>
            </w:pPr>
            <w:r>
              <w:t xml:space="preserve">Deleción en las 5 T</w:t>
            </w:r>
          </w:p>
        </w:tc>
        <w:tc>
          <w:tcPr/>
          <w:p>
            <w:pPr>
              <w:pStyle w:val="Compact"/>
              <w:jc w:val="left"/>
            </w:pPr>
            <w:r>
              <w:t xml:space="preserve">Deslizamiento en el homopolímero</w:t>
            </w:r>
          </w:p>
        </w:tc>
        <w:tc>
          <w:tcPr/>
          <w:p>
            <w:pPr>
              <w:pStyle w:val="Compact"/>
              <w:jc w:val="left"/>
            </w:pPr>
            <w:r>
              <w:t xml:space="preserve">Normal; cribar más clones. Stbl3 a 30 °C ayuda</w:t>
            </w:r>
          </w:p>
        </w:tc>
      </w:tr>
      <w:tr>
        <w:tc>
          <w:tcPr/>
          <w:p>
            <w:pPr>
              <w:pStyle w:val="Compact"/>
              <w:jc w:val="left"/>
            </w:pPr>
            <w:r>
              <w:t xml:space="preserve">Clones correctos por PCR pero sin silenciamiento</w:t>
            </w:r>
          </w:p>
        </w:tc>
        <w:tc>
          <w:tcPr/>
          <w:p>
            <w:pPr>
              <w:pStyle w:val="Compact"/>
              <w:jc w:val="left"/>
            </w:pPr>
            <w:r>
              <w:t xml:space="preserve">Hebra guía mal cargada</w:t>
            </w:r>
          </w:p>
        </w:tc>
        <w:tc>
          <w:tcPr/>
          <w:p>
            <w:pPr>
              <w:pStyle w:val="Compact"/>
              <w:jc w:val="left"/>
            </w:pPr>
            <w:r>
              <w:t xml:space="preserve">Comprobar por RT-qPCR; valorar invertir sentido/antisentido</w:t>
            </w:r>
          </w:p>
        </w:tc>
      </w:tr>
    </w:tbl>
    <w:bookmarkEnd w:id="39"/>
    <w:bookmarkStart w:id="40" w:name="Xdc8ff674375176f2819800d2108376c0e829466"/>
    <w:p>
      <w:pPr>
        <w:pStyle w:val="Heading2"/>
      </w:pPr>
      <w:r>
        <w:t xml:space="preserve">9. Resumen de tiempos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Día</w:t>
            </w:r>
          </w:p>
        </w:tc>
        <w:tc>
          <w:tcPr/>
          <w:p>
            <w:pPr>
              <w:pStyle w:val="Compact"/>
              <w:jc w:val="left"/>
            </w:pPr>
            <w:r>
              <w:t xml:space="preserve">Tarea</w:t>
            </w:r>
          </w:p>
        </w:tc>
      </w:tr>
      <w:tr>
        <w:tc>
          <w:tcPr/>
          <w:p>
            <w:pPr>
              <w:pStyle w:val="Compact"/>
              <w:jc w:val="left"/>
            </w:pPr>
            <w:r>
              <w:t xml:space="preserve">1 (mañana)</w:t>
            </w:r>
          </w:p>
        </w:tc>
        <w:tc>
          <w:tcPr/>
          <w:p>
            <w:pPr>
              <w:pStyle w:val="Compact"/>
              <w:jc w:val="left"/>
            </w:pPr>
            <w:r>
              <w:t xml:space="preserve">Digestión del vector (1 h) + anillado de oligos (1 h)</w:t>
            </w:r>
          </w:p>
        </w:tc>
      </w:tr>
      <w:tr>
        <w:tc>
          <w:tcPr/>
          <w:p>
            <w:pPr>
              <w:pStyle w:val="Compact"/>
              <w:jc w:val="left"/>
            </w:pPr>
            <w:r>
              <w:t xml:space="preserve">1 (tarde)</w:t>
            </w:r>
          </w:p>
        </w:tc>
        <w:tc>
          <w:tcPr/>
          <w:p>
            <w:pPr>
              <w:pStyle w:val="Compact"/>
              <w:jc w:val="left"/>
            </w:pPr>
            <w:r>
              <w:t xml:space="preserve">Gel y purificación del vector → ligación a 16 °C O/N</w:t>
            </w:r>
          </w:p>
        </w:tc>
      </w:tr>
      <w:tr>
        <w:tc>
          <w:tcPr/>
          <w:p>
            <w:pPr>
              <w:pStyle w:val="Compact"/>
              <w:jc w:val="left"/>
            </w:pPr>
            <w:r>
              <w:t xml:space="preserve">2</w:t>
            </w:r>
          </w:p>
        </w:tc>
        <w:tc>
          <w:tcPr/>
          <w:p>
            <w:pPr>
              <w:pStyle w:val="Compact"/>
              <w:jc w:val="left"/>
            </w:pPr>
            <w:r>
              <w:t xml:space="preserve">Transformación → placas O/N</w:t>
            </w:r>
          </w:p>
        </w:tc>
      </w:tr>
      <w:tr>
        <w:tc>
          <w:tcPr/>
          <w:p>
            <w:pPr>
              <w:pStyle w:val="Compact"/>
              <w:jc w:val="left"/>
            </w:pPr>
            <w:r>
              <w:t xml:space="preserve">3</w:t>
            </w:r>
          </w:p>
        </w:tc>
        <w:tc>
          <w:tcPr/>
          <w:p>
            <w:pPr>
              <w:pStyle w:val="Compact"/>
              <w:jc w:val="left"/>
            </w:pPr>
            <w:r>
              <w:t xml:space="preserve">PCR de colonia, picar positivos → cultivos O/N</w:t>
            </w:r>
          </w:p>
        </w:tc>
      </w:tr>
      <w:tr>
        <w:tc>
          <w:tcPr/>
          <w:p>
            <w:pPr>
              <w:pStyle w:val="Compact"/>
              <w:jc w:val="left"/>
            </w:pPr>
            <w:r>
              <w:t xml:space="preserve">4</w:t>
            </w:r>
          </w:p>
        </w:tc>
        <w:tc>
          <w:tcPr/>
          <w:p>
            <w:pPr>
              <w:pStyle w:val="Compact"/>
              <w:jc w:val="left"/>
            </w:pPr>
            <w:r>
              <w:t xml:space="preserve">Miniprep → mandar a secuenciar</w:t>
            </w:r>
          </w:p>
        </w:tc>
      </w:tr>
    </w:tbl>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0"/>
        <w:szCs w:val="20"/>
        <w:lang w:bidi="ar-SA" w:eastAsia="es-ES" w:val="es-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A9BCCD" w:space="0" w:sz="6" w:val="single"/>
        <w:left w:color="A9BCCD" w:space="0" w:sz="6" w:val="single"/>
        <w:bottom w:color="A9BCCD" w:space="0" w:sz="6" w:val="single"/>
        <w:right w:color="A9BCCD" w:space="0" w:sz="6" w:val="single"/>
        <w:insideH w:color="C9D6E0" w:space="0" w:sz="4" w:val="single"/>
        <w:insideV w:color="C9D6E0" w:space="0" w:sz="4" w:val="single"/>
      </w:tblBorders>
      <w:tblCellMar>
        <w:top w:type="dxa" w:w="60"/>
        <w:left w:type="dxa" w:w="108"/>
        <w:bottom w:type="dxa" w:w="60"/>
        <w:right w:type="dxa" w:w="108"/>
      </w:tblCellMar>
    </w:tblPr>
    <w:tblStylePr w:type="firstRow">
      <w:rPr>
        <w:b/>
        <w:color w:val="1B3D57"/>
      </w:rPr>
      <w:tblPr>
        <w:jc w:val="left"/>
        <w:tblInd w:type="dxa" w:w="0"/>
      </w:tblPr>
      <w:trPr>
        <w:jc w:val="left"/>
      </w:trPr>
      <w:tcPr>
        <w:shd w:color="auto" w:fill="E8EFF5" w:val="clear"/>
        <w:vAlign w:val="bottom"/>
        <w:tcBorders>
          <w:bottom w:color="A9BCCD" w:space="0" w:sz="8"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hAnsi="Consolas"/>
      <w:sz w:val="17"/>
      <w:shd w:color="auto" w:fill="EEF2F5" w:val="clear"/>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pPr>
      <w:shd w:color="auto" w:fill="F4F6F8" w:val="clear"/>
      <w:wordWrap w:val="0"/>
      <w:spacing w:after="0" w:line="240" w:lineRule="auto"/>
      <w:ind w:left="0"/>
    </w:pPr>
    <w:rPr>
      <w:rFonts w:ascii="Consolas" w:cs="Consolas" w:hAnsi="Consolas"/>
      <w:sz w:val="14"/>
      <w:szCs w:val="14"/>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2026-10-13T10:00:30Z</dcterms:created>
  <dcterms:modified xsi:type="dcterms:W3CDTF">2026-10-13T10:00:30Z</dcterms:modified>
</cp:coreProperties>
</file>

<file path=docProps/custom.xml><?xml version="1.0" encoding="utf-8"?>
<Properties xmlns="http://schemas.openxmlformats.org/officeDocument/2006/custom-properties" xmlns:vt="http://schemas.openxmlformats.org/officeDocument/2006/docPropsVTypes"/>
</file>