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4E79"/>
          <w:sz w:val="34"/>
          <w:szCs w:val="34"/>
        </w:rPr>
        <w:t xml:space="preserve">Muestras UCM, tanda de julio de 2026</w:t>
      </w:r>
    </w:p>
    <w:p>
      <w:pPr>
        <w:pBdr>
          <w:bottom w:val="single" w:color="1F4E79" w:sz="10" w:space="6"/>
        </w:pBdr>
        <w:spacing w:after="180"/>
      </w:pPr>
      <w:r>
        <w:rPr>
          <w:rFonts w:ascii="Calibri" w:cs="Calibri" w:eastAsia="Calibri" w:hAnsi="Calibri"/>
          <w:color w:val="595959"/>
          <w:sz w:val="21"/>
          <w:szCs w:val="21"/>
        </w:rPr>
        <w:t xml:space="preserve">Tratamiento detallado de cada muestra · ensayo del 3 de agosto de 2026 · María Zubieta Laseca, Universidad de Salamanca</w:t>
      </w:r>
    </w:p>
    <w:p>
      <w:pPr>
        <w:spacing w:after="100" w:before="0" w:line="264"/>
      </w:pPr>
      <w:r>
        <w:rPr>
          <w:rFonts w:ascii="Calibri" w:cs="Calibri" w:eastAsia="Calibri" w:hAnsi="Calibri"/>
          <w:sz w:val="20"/>
          <w:szCs w:val="20"/>
        </w:rPr>
        <w:t xml:space="preserve">Este documento desarrolla el apartado de tratamiento del informe que os enviamos el 6 de agosto: dosis y concentración por pocillo y ratios ME:pDNA, ME:DOTAP y DOTAP:pDNA de cada condición ensayada. Los resultados se resumen en una línea al final de cada muestra; el registro fotográfico está en aquel informe.</w:t>
      </w:r>
    </w:p>
    <w:p>
      <w:pPr>
        <w:spacing w:after="100" w:before="0" w:line="264"/>
      </w:pPr>
      <w:r>
        <w:rPr>
          <w:rFonts w:ascii="Calibri" w:cs="Calibri" w:eastAsia="Calibri" w:hAnsi="Calibri"/>
          <w:sz w:val="20"/>
          <w:szCs w:val="20"/>
        </w:rPr>
        <w:t xml:space="preserve">Las concentraciones de partida son las de vuestro correo del 13 de julio, con la corrección del 15 de julio (DOTAP al 1 % en las muestras 2 y 3).</w:t>
      </w:r>
    </w:p>
    <w:p>
      <w:pPr>
        <w:spacing w:after="60"/>
      </w:pPr>
    </w:p>
    <w:tbl>
      <w:tblPr>
        <w:tblW w:type="dxa" w:w="9740"/>
        <w:tblBorders>
          <w:top w:val="single" w:color="9CC2E5" w:sz="2"/>
          <w:left w:val="single" w:color="2E74B5" w:sz="18"/>
          <w:bottom w:val="single" w:color="9CC2E5" w:sz="2"/>
          <w:right w:val="single" w:color="9CC2E5" w:sz="2"/>
          <w:insideH w:val="none"/>
          <w:insideV w:val="none"/>
        </w:tblBorders>
      </w:tblPr>
      <w:tblGrid>
        <w:gridCol w:w="9740"/>
      </w:tblGrid>
      <w:tr>
        <w:tc>
          <w:tcPr>
            <w:tcW w:type="dxa" w:w="9740"/>
            <w:shd w:fill="EAF1F8" w:color="auto" w:val="clear"/>
            <w:tcMar>
              <w:top w:type="dxa" w:w="90"/>
              <w:left w:type="dxa" w:w="150"/>
              <w:bottom w:type="dxa" w:w="90"/>
              <w:right w:type="dxa" w:w="130"/>
            </w:tcMar>
          </w:tcPr>
          <w:p>
            <w:pPr>
              <w:spacing w:after="0" w:line="252"/>
            </w:pPr>
            <w:r>
              <w:rPr>
                <w:rFonts w:ascii="Calibri" w:cs="Calibri" w:eastAsia="Calibri" w:hAnsi="Calibri"/>
                <w:b/>
                <w:bCs/>
                <w:color w:val="1F4E79"/>
                <w:sz w:val="19"/>
                <w:szCs w:val="19"/>
              </w:rPr>
              <w:t xml:space="preserve">Verificación: </w:t>
            </w:r>
            <w:r>
              <w:rPr>
                <w:rFonts w:ascii="Calibri" w:cs="Calibri" w:eastAsia="Calibri" w:hAnsi="Calibri"/>
                <w:sz w:val="19"/>
                <w:szCs w:val="19"/>
              </w:rPr>
              <w:t xml:space="preserve">las concentraciones deducidas de nuestras anotaciones de pipeteo coinciden con las vuestras (37 mg/mL de lípido total en la muestra 1; 10 mg/mL de liposomas en la muestra 5), y el DOTAP al 1 % de la muestra 2 reproduce exactamente vuestro ratio 1000:1.</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1. Condiciones generales del ensayo</w:t>
      </w:r>
    </w:p>
    <w:p>
      <w:pPr>
        <w:pStyle w:val="ListParagraph"/>
        <w:numPr>
          <w:ilvl w:val="0"/>
          <w:numId w:val="2"/>
        </w:numPr>
        <w:spacing w:after="60" w:line="264"/>
      </w:pPr>
      <w:r>
        <w:rPr>
          <w:rFonts w:ascii="Calibri" w:cs="Calibri" w:eastAsia="Calibri" w:hAnsi="Calibri"/>
          <w:b/>
          <w:bCs/>
          <w:sz w:val="20"/>
          <w:szCs w:val="20"/>
        </w:rPr>
        <w:t xml:space="preserve">Células. </w:t>
      </w:r>
      <w:r>
        <w:rPr>
          <w:rFonts w:ascii="Calibri" w:cs="Calibri" w:eastAsia="Calibri" w:hAnsi="Calibri"/>
          <w:sz w:val="20"/>
          <w:szCs w:val="20"/>
        </w:rPr>
        <w:t xml:space="preserve">Queratinocitos inmortalizados KerCT, placa de 96 pocillos, unas 8.000 células por pocillo.</w:t>
      </w:r>
    </w:p>
    <w:p>
      <w:pPr>
        <w:pStyle w:val="ListParagraph"/>
        <w:numPr>
          <w:ilvl w:val="0"/>
          <w:numId w:val="2"/>
        </w:numPr>
        <w:spacing w:after="60" w:line="264"/>
      </w:pPr>
      <w:r>
        <w:rPr>
          <w:rFonts w:ascii="Calibri" w:cs="Calibri" w:eastAsia="Calibri" w:hAnsi="Calibri"/>
          <w:b/>
          <w:bCs/>
          <w:sz w:val="20"/>
          <w:szCs w:val="20"/>
        </w:rPr>
        <w:t xml:space="preserve">Volumen del pocillo. </w:t>
      </w:r>
      <w:r>
        <w:rPr>
          <w:rFonts w:ascii="Calibri" w:cs="Calibri" w:eastAsia="Calibri" w:hAnsi="Calibri"/>
          <w:sz w:val="20"/>
          <w:szCs w:val="20"/>
        </w:rPr>
        <w:t xml:space="preserve">100 µl finales. Los 10 µl de complejo suponen el 10 % de ese volumen. Todas las concentraciones de este documento se calculan sobre esos 100 µl.</w:t>
      </w:r>
    </w:p>
    <w:p>
      <w:pPr>
        <w:pStyle w:val="ListParagraph"/>
        <w:numPr>
          <w:ilvl w:val="0"/>
          <w:numId w:val="2"/>
        </w:numPr>
        <w:spacing w:after="60" w:line="264"/>
      </w:pPr>
      <w:r>
        <w:rPr>
          <w:rFonts w:ascii="Calibri" w:cs="Calibri" w:eastAsia="Calibri" w:hAnsi="Calibri"/>
          <w:b/>
          <w:bCs/>
          <w:sz w:val="20"/>
          <w:szCs w:val="20"/>
        </w:rPr>
        <w:t xml:space="preserve">Plásmido. </w:t>
      </w:r>
      <w:r>
        <w:rPr>
          <w:rFonts w:ascii="Calibri" w:cs="Calibri" w:eastAsia="Calibri" w:hAnsi="Calibri"/>
          <w:sz w:val="20"/>
          <w:szCs w:val="20"/>
        </w:rPr>
        <w:t xml:space="preserve">pMAX-GFP, stock propio a 583 ng/µl. La muestra 2 es la excepción: ya incorpora pDNA y no se le añadió ninguno.</w:t>
      </w:r>
    </w:p>
    <w:p>
      <w:pPr>
        <w:pStyle w:val="ListParagraph"/>
        <w:numPr>
          <w:ilvl w:val="0"/>
          <w:numId w:val="2"/>
        </w:numPr>
        <w:spacing w:after="60" w:line="264"/>
      </w:pPr>
      <w:r>
        <w:rPr>
          <w:rFonts w:ascii="Calibri" w:cs="Calibri" w:eastAsia="Calibri" w:hAnsi="Calibri"/>
          <w:b/>
          <w:bCs/>
          <w:sz w:val="20"/>
          <w:szCs w:val="20"/>
        </w:rPr>
        <w:t xml:space="preserve">Complejación (muestras 1, 4 y 5). </w:t>
      </w:r>
      <w:r>
        <w:rPr>
          <w:rFonts w:ascii="Calibri" w:cs="Calibri" w:eastAsia="Calibri" w:hAnsi="Calibri"/>
          <w:sz w:val="20"/>
          <w:szCs w:val="20"/>
        </w:rPr>
        <w:t xml:space="preserve">Muestra y pDNA diluidos por separado en DMEM sin FBS a volúmenes iguales, mezclados y acomplejados 20 minutos con balanceo suave a temperatura ambiente. Después, 10 µl de complejo por pocillo.</w:t>
      </w:r>
    </w:p>
    <w:p>
      <w:pPr>
        <w:pStyle w:val="ListParagraph"/>
        <w:numPr>
          <w:ilvl w:val="0"/>
          <w:numId w:val="2"/>
        </w:numPr>
        <w:spacing w:after="60" w:line="264"/>
      </w:pPr>
      <w:r>
        <w:rPr>
          <w:rFonts w:ascii="Calibri" w:cs="Calibri" w:eastAsia="Calibri" w:hAnsi="Calibri"/>
          <w:b/>
          <w:bCs/>
          <w:sz w:val="20"/>
          <w:szCs w:val="20"/>
        </w:rPr>
        <w:t xml:space="preserve">Réplicas. </w:t>
      </w:r>
      <w:r>
        <w:rPr>
          <w:rFonts w:ascii="Calibri" w:cs="Calibri" w:eastAsia="Calibri" w:hAnsi="Calibri"/>
          <w:sz w:val="20"/>
          <w:szCs w:val="20"/>
        </w:rPr>
        <w:t xml:space="preserve">Condiciones por triplicado en las muestras 1 y 5. Cada mezcla de 40 µl se repartió en alícuotas de 10 µl.</w:t>
      </w:r>
    </w:p>
    <w:p>
      <w:pPr>
        <w:pStyle w:val="ListParagraph"/>
        <w:numPr>
          <w:ilvl w:val="0"/>
          <w:numId w:val="2"/>
        </w:numPr>
        <w:spacing w:after="60" w:line="264"/>
      </w:pPr>
      <w:r>
        <w:rPr>
          <w:rFonts w:ascii="Calibri" w:cs="Calibri" w:eastAsia="Calibri" w:hAnsi="Calibri"/>
          <w:b/>
          <w:bCs/>
          <w:sz w:val="20"/>
          <w:szCs w:val="20"/>
        </w:rPr>
        <w:t xml:space="preserve">Lectura. </w:t>
      </w:r>
      <w:r>
        <w:rPr>
          <w:rFonts w:ascii="Calibri" w:cs="Calibri" w:eastAsia="Calibri" w:hAnsi="Calibri"/>
          <w:sz w:val="20"/>
          <w:szCs w:val="20"/>
        </w:rPr>
        <w:t xml:space="preserve">Fluorescencia de toda la placa cada 12 h durante 48 h.</w:t>
      </w:r>
    </w:p>
    <w:p>
      <w:pPr>
        <w:spacing w:after="60"/>
      </w:pPr>
    </w:p>
    <w:p>
      <w:pPr>
        <w:spacing w:after="100" w:before="0" w:line="264"/>
      </w:pPr>
      <w:r>
        <w:rPr>
          <w:rFonts w:ascii="Calibri" w:cs="Calibri" w:eastAsia="Calibri" w:hAnsi="Calibri"/>
          <w:b/>
          <w:bCs/>
          <w:sz w:val="19"/>
          <w:szCs w:val="19"/>
        </w:rPr>
        <w:t xml:space="preserve">Qué significa «ME» en cada tabla. </w:t>
      </w:r>
      <w:r>
        <w:rPr>
          <w:rFonts w:ascii="Calibri" w:cs="Calibri" w:eastAsia="Calibri" w:hAnsi="Calibri"/>
          <w:sz w:val="19"/>
          <w:szCs w:val="19"/>
        </w:rPr>
        <w:t xml:space="preserve">El ratio ME:pDNA se refiere al </w:t>
      </w:r>
      <w:r>
        <w:rPr>
          <w:rFonts w:ascii="Calibri" w:cs="Calibri" w:eastAsia="Calibri" w:hAnsi="Calibri"/>
          <w:b/>
          <w:bCs/>
          <w:sz w:val="19"/>
          <w:szCs w:val="19"/>
        </w:rPr>
        <w:t xml:space="preserve">lípido total</w:t>
      </w:r>
      <w:r>
        <w:rPr>
          <w:rFonts w:ascii="Calibri" w:cs="Calibri" w:eastAsia="Calibri" w:hAnsi="Calibri"/>
          <w:sz w:val="19"/>
          <w:szCs w:val="19"/>
        </w:rPr>
        <w:t xml:space="preserve"> en la muestra 1, a la </w:t>
      </w:r>
      <w:r>
        <w:rPr>
          <w:rFonts w:ascii="Calibri" w:cs="Calibri" w:eastAsia="Calibri" w:hAnsi="Calibri"/>
          <w:b/>
          <w:bCs/>
          <w:sz w:val="19"/>
          <w:szCs w:val="19"/>
        </w:rPr>
        <w:t xml:space="preserve">microemulsión completa</w:t>
      </w:r>
      <w:r>
        <w:rPr>
          <w:rFonts w:ascii="Calibri" w:cs="Calibri" w:eastAsia="Calibri" w:hAnsi="Calibri"/>
          <w:sz w:val="19"/>
          <w:szCs w:val="19"/>
        </w:rPr>
        <w:t xml:space="preserve"> en la muestra 2 y a los </w:t>
      </w:r>
      <w:r>
        <w:rPr>
          <w:rFonts w:ascii="Calibri" w:cs="Calibri" w:eastAsia="Calibri" w:hAnsi="Calibri"/>
          <w:b/>
          <w:bCs/>
          <w:sz w:val="19"/>
          <w:szCs w:val="19"/>
        </w:rPr>
        <w:t xml:space="preserve">liposomas</w:t>
      </w:r>
      <w:r>
        <w:rPr>
          <w:rFonts w:ascii="Calibri" w:cs="Calibri" w:eastAsia="Calibri" w:hAnsi="Calibri"/>
          <w:sz w:val="19"/>
          <w:szCs w:val="19"/>
        </w:rPr>
        <w:t xml:space="preserve"> en las muestras 4 y 5. El ratio ME:DOTAP es constante dentro de cada muestra porque lo fija la formulación.</w:t>
      </w:r>
    </w:p>
    <w:p>
      <w:pPr>
        <w:pStyle w:val="Heading1"/>
        <w:pBdr>
          <w:bottom w:val="single" w:color="1F4E79" w:sz="6" w:space="3"/>
        </w:pBdr>
        <w:spacing w:after="120" w:before="280"/>
      </w:pPr>
      <w:r>
        <w:rPr>
          <w:rFonts w:ascii="Calibri" w:cs="Calibri" w:eastAsia="Calibri" w:hAnsi="Calibri"/>
          <w:b/>
          <w:bCs/>
          <w:color w:val="1F4E79"/>
          <w:sz w:val="25"/>
          <w:szCs w:val="25"/>
        </w:rPr>
        <w:t xml:space="preserve">2. Las muestras y el uso que se les ha dado</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850"/>
        <w:gridCol w:w="2600"/>
        <w:gridCol w:w="4090"/>
        <w:gridCol w:w="2200"/>
      </w:tblGrid>
      <w:tr>
        <w:trPr>
          <w:tblHeader/>
        </w:trPr>
        <w:tc>
          <w:tcPr>
            <w:tcW w:type="dxa" w:w="8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Muestra</w:t>
            </w:r>
          </w:p>
        </w:tc>
        <w:tc>
          <w:tcPr>
            <w:tcW w:type="dxa" w:w="26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Formulación</w:t>
            </w:r>
          </w:p>
        </w:tc>
        <w:tc>
          <w:tcPr>
            <w:tcW w:type="dxa" w:w="409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Datos empleados en los cálculos</w:t>
            </w:r>
          </w:p>
        </w:tc>
        <w:tc>
          <w:tcPr>
            <w:tcW w:type="dxa" w:w="22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Uso</w:t>
            </w:r>
          </w:p>
        </w:tc>
      </w:tr>
      <w:tr>
        <w:tc>
          <w:tcPr>
            <w:tcW w:type="dxa" w:w="850"/>
            <w:tcMar>
              <w:top w:type="dxa" w:w="40"/>
              <w:left w:type="dxa" w:w="70"/>
              <w:bottom w:type="dxa" w:w="40"/>
              <w:right w:type="dxa" w:w="70"/>
            </w:tcMar>
          </w:tcPr>
          <w:p>
            <w:pPr>
              <w:spacing w:after="0" w:line="228"/>
              <w:jc w:val="center"/>
            </w:pPr>
            <w:r>
              <w:rPr>
                <w:rFonts w:ascii="Calibri" w:cs="Calibri" w:eastAsia="Calibri" w:hAnsi="Calibri"/>
                <w:sz w:val="17"/>
                <w:szCs w:val="17"/>
              </w:rPr>
              <w:t xml:space="preserve">1</w:t>
            </w:r>
          </w:p>
        </w:tc>
        <w:tc>
          <w:tcPr>
            <w:tcW w:type="dxa" w:w="2600"/>
            <w:tcMar>
              <w:top w:type="dxa" w:w="40"/>
              <w:left w:type="dxa" w:w="70"/>
              <w:bottom w:type="dxa" w:w="40"/>
              <w:right w:type="dxa" w:w="70"/>
            </w:tcMar>
          </w:tcPr>
          <w:p>
            <w:pPr>
              <w:spacing w:after="0" w:line="228"/>
              <w:jc w:val="left"/>
            </w:pPr>
            <w:r>
              <w:rPr>
                <w:rFonts w:ascii="Calibri" w:cs="Calibri" w:eastAsia="Calibri" w:hAnsi="Calibri"/>
                <w:sz w:val="17"/>
                <w:szCs w:val="17"/>
              </w:rPr>
              <w:t xml:space="preserve">Microemulsión O/A, DOTAP + DOPE</w:t>
            </w:r>
          </w:p>
        </w:tc>
        <w:tc>
          <w:tcPr>
            <w:tcW w:type="dxa" w:w="4090"/>
            <w:tcMar>
              <w:top w:type="dxa" w:w="40"/>
              <w:left w:type="dxa" w:w="70"/>
              <w:bottom w:type="dxa" w:w="40"/>
              <w:right w:type="dxa" w:w="70"/>
            </w:tcMar>
          </w:tcPr>
          <w:p>
            <w:pPr>
              <w:spacing w:after="0" w:line="228"/>
              <w:jc w:val="left"/>
            </w:pPr>
            <w:r>
              <w:rPr>
                <w:rFonts w:ascii="Calibri" w:cs="Calibri" w:eastAsia="Calibri" w:hAnsi="Calibri"/>
                <w:sz w:val="17"/>
                <w:szCs w:val="17"/>
              </w:rPr>
              <w:t xml:space="preserve">Lípido total 37 mg/mL · DOTAP 3,4 mg/mL · ζ +38 mV · 32 nm</w:t>
            </w:r>
          </w:p>
        </w:tc>
        <w:tc>
          <w:tcPr>
            <w:tcW w:type="dxa" w:w="2200"/>
            <w:tcMar>
              <w:top w:type="dxa" w:w="40"/>
              <w:left w:type="dxa" w:w="70"/>
              <w:bottom w:type="dxa" w:w="40"/>
              <w:right w:type="dxa" w:w="70"/>
            </w:tcMar>
          </w:tcPr>
          <w:p>
            <w:pPr>
              <w:spacing w:after="0" w:line="228"/>
              <w:jc w:val="left"/>
            </w:pPr>
            <w:r>
              <w:rPr>
                <w:rFonts w:ascii="Calibri" w:cs="Calibri" w:eastAsia="Calibri" w:hAnsi="Calibri"/>
                <w:sz w:val="17"/>
                <w:szCs w:val="17"/>
              </w:rPr>
              <w:t xml:space="preserve">12 condiciones</w:t>
            </w:r>
          </w:p>
        </w:tc>
      </w:tr>
      <w:tr>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7"/>
                <w:szCs w:val="17"/>
              </w:rPr>
              <w:t xml:space="preserve">2</w:t>
            </w:r>
          </w:p>
        </w:tc>
        <w:tc>
          <w:tcPr>
            <w:tcW w:type="dxa" w:w="26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Microemulsión A/O con pDNA encapsulado</w:t>
            </w:r>
          </w:p>
        </w:tc>
        <w:tc>
          <w:tcPr>
            <w:tcW w:type="dxa" w:w="409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pDNA 10 µg/mL · DOTAP 1 % (10 mg/mL) · ~20 nm</w:t>
            </w:r>
          </w:p>
        </w:tc>
        <w:tc>
          <w:tcPr>
            <w:tcW w:type="dxa" w:w="2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2 condiciones (ver apartado 4)</w:t>
            </w:r>
          </w:p>
        </w:tc>
      </w:tr>
      <w:tr>
        <w:tc>
          <w:tcPr>
            <w:tcW w:type="dxa" w:w="850"/>
            <w:tcMar>
              <w:top w:type="dxa" w:w="40"/>
              <w:left w:type="dxa" w:w="70"/>
              <w:bottom w:type="dxa" w:w="40"/>
              <w:right w:type="dxa" w:w="70"/>
            </w:tcMar>
          </w:tcPr>
          <w:p>
            <w:pPr>
              <w:spacing w:after="0" w:line="228"/>
              <w:jc w:val="center"/>
            </w:pPr>
            <w:r>
              <w:rPr>
                <w:rFonts w:ascii="Calibri" w:cs="Calibri" w:eastAsia="Calibri" w:hAnsi="Calibri"/>
                <w:sz w:val="17"/>
                <w:szCs w:val="17"/>
              </w:rPr>
              <w:t xml:space="preserve">3</w:t>
            </w:r>
          </w:p>
        </w:tc>
        <w:tc>
          <w:tcPr>
            <w:tcW w:type="dxa" w:w="2600"/>
            <w:tcMar>
              <w:top w:type="dxa" w:w="40"/>
              <w:left w:type="dxa" w:w="70"/>
              <w:bottom w:type="dxa" w:w="40"/>
              <w:right w:type="dxa" w:w="70"/>
            </w:tcMar>
          </w:tcPr>
          <w:p>
            <w:pPr>
              <w:spacing w:after="0" w:line="228"/>
              <w:jc w:val="left"/>
            </w:pPr>
            <w:r>
              <w:rPr>
                <w:rFonts w:ascii="Calibri" w:cs="Calibri" w:eastAsia="Calibri" w:hAnsi="Calibri"/>
                <w:sz w:val="17"/>
                <w:szCs w:val="17"/>
              </w:rPr>
              <w:t xml:space="preserve">Microemulsión A/O sin pDNA</w:t>
            </w:r>
          </w:p>
        </w:tc>
        <w:tc>
          <w:tcPr>
            <w:tcW w:type="dxa" w:w="4090"/>
            <w:tcMar>
              <w:top w:type="dxa" w:w="40"/>
              <w:left w:type="dxa" w:w="70"/>
              <w:bottom w:type="dxa" w:w="40"/>
              <w:right w:type="dxa" w:w="70"/>
            </w:tcMar>
          </w:tcPr>
          <w:p>
            <w:pPr>
              <w:spacing w:after="0" w:line="228"/>
              <w:jc w:val="left"/>
            </w:pPr>
            <w:r>
              <w:rPr>
                <w:rFonts w:ascii="Calibri" w:cs="Calibri" w:eastAsia="Calibri" w:hAnsi="Calibri"/>
                <w:sz w:val="17"/>
                <w:szCs w:val="17"/>
              </w:rPr>
              <w:t xml:space="preserve">DOTAP 1 %, igual que la muestra 2</w:t>
            </w:r>
          </w:p>
        </w:tc>
        <w:tc>
          <w:tcPr>
            <w:tcW w:type="dxa" w:w="2200"/>
            <w:tcMar>
              <w:top w:type="dxa" w:w="40"/>
              <w:left w:type="dxa" w:w="70"/>
              <w:bottom w:type="dxa" w:w="40"/>
              <w:right w:type="dxa" w:w="70"/>
            </w:tcMar>
          </w:tcPr>
          <w:p>
            <w:pPr>
              <w:spacing w:after="0" w:line="228"/>
              <w:jc w:val="left"/>
            </w:pPr>
            <w:r>
              <w:rPr>
                <w:rFonts w:ascii="Calibri" w:cs="Calibri" w:eastAsia="Calibri" w:hAnsi="Calibri"/>
                <w:sz w:val="17"/>
                <w:szCs w:val="17"/>
              </w:rPr>
              <w:t xml:space="preserve">No ensayada</w:t>
            </w:r>
          </w:p>
        </w:tc>
      </w:tr>
      <w:tr>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7"/>
                <w:szCs w:val="17"/>
              </w:rPr>
              <w:t xml:space="preserve">4</w:t>
            </w:r>
          </w:p>
        </w:tc>
        <w:tc>
          <w:tcPr>
            <w:tcW w:type="dxa" w:w="26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Liposomas DOTAP + DOPE liofilizados, trehalosa 10 %</w:t>
            </w:r>
          </w:p>
        </w:tc>
        <w:tc>
          <w:tcPr>
            <w:tcW w:type="dxa" w:w="409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Liofilizado de 10 µl: 100 µg de liposomas y 10 µg de DOTAP · ~150 nm</w:t>
            </w:r>
          </w:p>
        </w:tc>
        <w:tc>
          <w:tcPr>
            <w:tcW w:type="dxa" w:w="2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 condición</w:t>
            </w:r>
          </w:p>
        </w:tc>
      </w:tr>
      <w:tr>
        <w:tc>
          <w:tcPr>
            <w:tcW w:type="dxa" w:w="850"/>
            <w:tcMar>
              <w:top w:type="dxa" w:w="40"/>
              <w:left w:type="dxa" w:w="70"/>
              <w:bottom w:type="dxa" w:w="40"/>
              <w:right w:type="dxa" w:w="70"/>
            </w:tcMar>
          </w:tcPr>
          <w:p>
            <w:pPr>
              <w:spacing w:after="0" w:line="228"/>
              <w:jc w:val="center"/>
            </w:pPr>
            <w:r>
              <w:rPr>
                <w:rFonts w:ascii="Calibri" w:cs="Calibri" w:eastAsia="Calibri" w:hAnsi="Calibri"/>
                <w:sz w:val="17"/>
                <w:szCs w:val="17"/>
              </w:rPr>
              <w:t xml:space="preserve">5</w:t>
            </w:r>
          </w:p>
        </w:tc>
        <w:tc>
          <w:tcPr>
            <w:tcW w:type="dxa" w:w="2600"/>
            <w:tcMar>
              <w:top w:type="dxa" w:w="40"/>
              <w:left w:type="dxa" w:w="70"/>
              <w:bottom w:type="dxa" w:w="40"/>
              <w:right w:type="dxa" w:w="70"/>
            </w:tcMar>
          </w:tcPr>
          <w:p>
            <w:pPr>
              <w:spacing w:after="0" w:line="228"/>
              <w:jc w:val="left"/>
            </w:pPr>
            <w:r>
              <w:rPr>
                <w:rFonts w:ascii="Calibri" w:cs="Calibri" w:eastAsia="Calibri" w:hAnsi="Calibri"/>
                <w:sz w:val="17"/>
                <w:szCs w:val="17"/>
              </w:rPr>
              <w:t xml:space="preserve">Liposomas DOTAP + DOPE sin liofilizar, trehalosa 10 %</w:t>
            </w:r>
          </w:p>
        </w:tc>
        <w:tc>
          <w:tcPr>
            <w:tcW w:type="dxa" w:w="4090"/>
            <w:tcMar>
              <w:top w:type="dxa" w:w="40"/>
              <w:left w:type="dxa" w:w="70"/>
              <w:bottom w:type="dxa" w:w="40"/>
              <w:right w:type="dxa" w:w="70"/>
            </w:tcMar>
          </w:tcPr>
          <w:p>
            <w:pPr>
              <w:spacing w:after="0" w:line="228"/>
              <w:jc w:val="left"/>
            </w:pPr>
            <w:r>
              <w:rPr>
                <w:rFonts w:ascii="Calibri" w:cs="Calibri" w:eastAsia="Calibri" w:hAnsi="Calibri"/>
                <w:sz w:val="17"/>
                <w:szCs w:val="17"/>
              </w:rPr>
              <w:t xml:space="preserve">Liposomas 10 mg/mL · DOTAP 1 mg/mL</w:t>
            </w:r>
          </w:p>
        </w:tc>
        <w:tc>
          <w:tcPr>
            <w:tcW w:type="dxa" w:w="2200"/>
            <w:tcMar>
              <w:top w:type="dxa" w:w="40"/>
              <w:left w:type="dxa" w:w="70"/>
              <w:bottom w:type="dxa" w:w="40"/>
              <w:right w:type="dxa" w:w="70"/>
            </w:tcMar>
          </w:tcPr>
          <w:p>
            <w:pPr>
              <w:spacing w:after="0" w:line="228"/>
              <w:jc w:val="left"/>
            </w:pPr>
            <w:r>
              <w:rPr>
                <w:rFonts w:ascii="Calibri" w:cs="Calibri" w:eastAsia="Calibri" w:hAnsi="Calibri"/>
                <w:sz w:val="17"/>
                <w:szCs w:val="17"/>
              </w:rPr>
              <w:t xml:space="preserve">6 condiciones</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3. Muestra 1 — Microemulsión O/A · ME:DOTAP 10,9:1</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1550"/>
        <w:gridCol w:w="1450"/>
        <w:gridCol w:w="900"/>
        <w:gridCol w:w="1100"/>
        <w:gridCol w:w="950"/>
        <w:gridCol w:w="850"/>
        <w:gridCol w:w="1000"/>
        <w:gridCol w:w="1000"/>
        <w:gridCol w:w="940"/>
      </w:tblGrid>
      <w:tr>
        <w:trPr>
          <w:tblHeader/>
        </w:trPr>
        <w:tc>
          <w:tcPr>
            <w:tcW w:type="dxa" w:w="15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Condición (por pocillo)</w:t>
            </w:r>
          </w:p>
        </w:tc>
        <w:tc>
          <w:tcPr>
            <w:tcW w:type="dxa" w:w="14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Pipeteo ME+DMEM / pDNA+DMEM (µl)</w:t>
            </w:r>
          </w:p>
        </w:tc>
        <w:tc>
          <w:tcPr>
            <w:tcW w:type="dxa" w:w="9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(µg)</w:t>
            </w:r>
          </w:p>
        </w:tc>
        <w:tc>
          <w:tcPr>
            <w:tcW w:type="dxa" w:w="11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(µg/mL)</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 (µg)</w:t>
            </w:r>
          </w:p>
        </w:tc>
        <w:tc>
          <w:tcPr>
            <w:tcW w:type="dxa" w:w="8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pDNA (µg)</w:t>
            </w:r>
          </w:p>
        </w:tc>
        <w:tc>
          <w:tcPr>
            <w:tcW w:type="dxa" w:w="10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ME:pDNA</w:t>
            </w:r>
          </w:p>
        </w:tc>
        <w:tc>
          <w:tcPr>
            <w:tcW w:type="dxa" w:w="10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ME:DOTAP</w:t>
            </w:r>
          </w:p>
        </w:tc>
        <w:tc>
          <w:tcPr>
            <w:tcW w:type="dxa" w:w="94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DOTAP:pDNA</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9,25 µg ME + 0,3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1+19 / 2+18</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0,85</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30,8:1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2,8:1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18,5 µg ME + 0,3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2+18 / 2+18</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1,70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61,7:1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5,7:1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27,75 µg ME + 0,3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3+17 / 2+18</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27,75</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277,5</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2,55</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8,5:1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55,5 µg ME + 0,3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6+14 / 2+18</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55,5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555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5,10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17:1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74 µg ME + 0,3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2+18</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74</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740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6,80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246,7:1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22,7:1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92,5 µg ME + 0,3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10+10 / 2+18</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8,50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0,3</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308,3:1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28,3:1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9,25 µg ME + 0,6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1+19 / 4+16</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0,85</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15,4:1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1,4:1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18,5 µg ME + 0,6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2+18 / 4+16</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185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1,70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30,8:1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2,8:1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27,75 µg ME + 0,6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3+17 / 4+16</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27,75</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277,5</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2,55</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46,3:1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4,3:1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55,5 µg ME + 0,6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6+14 / 4+16</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55,5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555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5,10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8,5:1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74 µg ME + 0,6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4+16</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74</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740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6,80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123,3:1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11,3:1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92,5 µg ME + 0,6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10+10 / 4+16</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925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8,50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0,6</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154,2:1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10,9:1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14,2:1</w:t>
            </w:r>
          </w:p>
        </w:tc>
      </w:tr>
    </w:tbl>
    <w:p>
      <w:pPr>
        <w:spacing w:after="80"/>
      </w:pPr>
    </w:p>
    <w:p>
      <w:pPr>
        <w:spacing w:after="100" w:before="0" w:line="264"/>
      </w:pPr>
      <w:r>
        <w:rPr>
          <w:rFonts w:ascii="Calibri" w:cs="Calibri" w:eastAsia="Calibri" w:hAnsi="Calibri"/>
          <w:b/>
          <w:bCs/>
          <w:sz w:val="19"/>
          <w:szCs w:val="19"/>
        </w:rPr>
        <w:t xml:space="preserve">Resultado. </w:t>
      </w:r>
      <w:r>
        <w:rPr>
          <w:rFonts w:ascii="Calibri" w:cs="Calibri" w:eastAsia="Calibri" w:hAnsi="Calibri"/>
          <w:sz w:val="19"/>
          <w:szCs w:val="19"/>
        </w:rPr>
        <w:t xml:space="preserve">Muerte celular en las 12 condiciones (36 pocillos) en las primeras 12 h y ausencia de expresión de GFP a 48 h. Tal como se ha probado, la muestra resultó tóxica con independencia del ratio.</w:t>
      </w:r>
    </w:p>
    <w:p>
      <w:pPr>
        <w:spacing w:after="60"/>
      </w:pPr>
    </w:p>
    <w:tbl>
      <w:tblPr>
        <w:tblW w:type="dxa" w:w="9740"/>
        <w:tblBorders>
          <w:top w:val="single" w:color="9CC2E5" w:sz="2"/>
          <w:left w:val="single" w:color="2E74B5" w:sz="18"/>
          <w:bottom w:val="single" w:color="9CC2E5" w:sz="2"/>
          <w:right w:val="single" w:color="9CC2E5" w:sz="2"/>
          <w:insideH w:val="none"/>
          <w:insideV w:val="none"/>
        </w:tblBorders>
      </w:tblPr>
      <w:tblGrid>
        <w:gridCol w:w="9740"/>
      </w:tblGrid>
      <w:tr>
        <w:tc>
          <w:tcPr>
            <w:tcW w:type="dxa" w:w="9740"/>
            <w:shd w:fill="EAF1F8" w:color="auto" w:val="clear"/>
            <w:tcMar>
              <w:top w:type="dxa" w:w="90"/>
              <w:left w:type="dxa" w:w="150"/>
              <w:bottom w:type="dxa" w:w="90"/>
              <w:right w:type="dxa" w:w="130"/>
            </w:tcMar>
          </w:tcPr>
          <w:p>
            <w:pPr>
              <w:spacing w:after="0" w:line="252"/>
            </w:pPr>
            <w:r>
              <w:rPr>
                <w:rFonts w:ascii="Calibri" w:cs="Calibri" w:eastAsia="Calibri" w:hAnsi="Calibri"/>
                <w:b/>
                <w:bCs/>
                <w:color w:val="1F4E79"/>
                <w:sz w:val="19"/>
                <w:szCs w:val="19"/>
              </w:rPr>
              <w:t xml:space="preserve">Frente a vuestros ratios de referencia: </w:t>
            </w:r>
            <w:r>
              <w:rPr>
                <w:rFonts w:ascii="Calibri" w:cs="Calibri" w:eastAsia="Calibri" w:hAnsi="Calibri"/>
                <w:sz w:val="19"/>
                <w:szCs w:val="19"/>
              </w:rPr>
              <w:t xml:space="preserve">la serie de 0,3 µg de pDNA cubre el intervalo que habéis caracterizado en gel — 55,5 µg de ME equivale exactamente a vuestro 17:1 y 92,5 µg a 28,3:1, próximo a vuestro 27:1; vuestro 7:1 cae entre 18,5 µg (5,7:1) y 27,75 µg (8,5:1). La serie de 0,6 µg explora por debajo, de 1,4:1 a 14,2:1.</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4. Muestra 2 — Microemulsión A/O con pDNA encapsulado · ME:DOTAP 100:1</w:t>
      </w:r>
    </w:p>
    <w:p>
      <w:pPr>
        <w:spacing w:after="100" w:before="0" w:line="264"/>
      </w:pPr>
      <w:r>
        <w:rPr>
          <w:rFonts w:ascii="Calibri" w:cs="Calibri" w:eastAsia="Calibri" w:hAnsi="Calibri"/>
          <w:b/>
          <w:bCs/>
          <w:sz w:val="20"/>
          <w:szCs w:val="20"/>
        </w:rPr>
        <w:t xml:space="preserve">Volumen recibido. </w:t>
      </w:r>
      <w:r>
        <w:rPr>
          <w:rFonts w:ascii="Calibri" w:cs="Calibri" w:eastAsia="Calibri" w:hAnsi="Calibri"/>
          <w:sz w:val="20"/>
          <w:szCs w:val="20"/>
        </w:rPr>
        <w:t xml:space="preserve">El vial contenía unos 100 µl, no el 1 mL indicado en vuestro correo. Como parte se empleó en comprobar cómo se mezclaba la microemulsión con el medio, solo pudieron ensayarse dos condiciones en lugar de la batería prevista, y no la de 100 µl + 100 µl que habíais probado vosotras.</w:t>
      </w:r>
    </w:p>
    <w:p>
      <w:pPr>
        <w:spacing w:after="100" w:before="0" w:line="264"/>
      </w:pPr>
      <w:r>
        <w:rPr>
          <w:rFonts w:ascii="Calibri" w:cs="Calibri" w:eastAsia="Calibri" w:hAnsi="Calibri"/>
          <w:sz w:val="19"/>
          <w:szCs w:val="19"/>
        </w:rPr>
        <w:t xml:space="preserve">Procedimiento: se mezclaron en un eppendorf la microemulsión y el medio de cada condición, dando toques para homogeneizar; después se retiró el medio de los pocillos y se sustituyó por la mezcla. Se comprobó antes que la microemulsión no quedaba flotando por su carácter oleoso.</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1050"/>
        <w:gridCol w:w="800"/>
        <w:gridCol w:w="900"/>
        <w:gridCol w:w="1050"/>
        <w:gridCol w:w="950"/>
        <w:gridCol w:w="900"/>
        <w:gridCol w:w="950"/>
        <w:gridCol w:w="1300"/>
        <w:gridCol w:w="950"/>
        <w:gridCol w:w="890"/>
      </w:tblGrid>
      <w:tr>
        <w:trPr>
          <w:tblHeader/>
        </w:trPr>
        <w:tc>
          <w:tcPr>
            <w:tcW w:type="dxa" w:w="10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Condición</w:t>
            </w:r>
          </w:p>
        </w:tc>
        <w:tc>
          <w:tcPr>
            <w:tcW w:type="dxa" w:w="8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(µl)</w:t>
            </w:r>
          </w:p>
        </w:tc>
        <w:tc>
          <w:tcPr>
            <w:tcW w:type="dxa" w:w="9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Medio (µl)</w:t>
            </w:r>
          </w:p>
        </w:tc>
        <w:tc>
          <w:tcPr>
            <w:tcW w:type="dxa" w:w="10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Vol. final (µl)</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 v/v)</w:t>
            </w:r>
          </w:p>
        </w:tc>
        <w:tc>
          <w:tcPr>
            <w:tcW w:type="dxa" w:w="9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pDNA (µg)</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 (µg)</w:t>
            </w:r>
          </w:p>
        </w:tc>
        <w:tc>
          <w:tcPr>
            <w:tcW w:type="dxa" w:w="13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ME:pDNA</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ME:DOTAP</w:t>
            </w:r>
          </w:p>
        </w:tc>
        <w:tc>
          <w:tcPr>
            <w:tcW w:type="dxa" w:w="89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DOTAP:pDNA</w:t>
            </w:r>
          </w:p>
        </w:tc>
      </w:tr>
      <w:tr>
        <w:tc>
          <w:tcPr>
            <w:tcW w:type="dxa" w:w="1050"/>
            <w:tcMar>
              <w:top w:type="dxa" w:w="40"/>
              <w:left w:type="dxa" w:w="70"/>
              <w:bottom w:type="dxa" w:w="40"/>
              <w:right w:type="dxa" w:w="70"/>
            </w:tcMar>
          </w:tcPr>
          <w:p>
            <w:pPr>
              <w:spacing w:after="0" w:line="228"/>
              <w:jc w:val="left"/>
            </w:pPr>
            <w:r>
              <w:rPr>
                <w:rFonts w:ascii="Calibri" w:cs="Calibri" w:eastAsia="Calibri" w:hAnsi="Calibri"/>
                <w:sz w:val="16"/>
                <w:szCs w:val="16"/>
              </w:rPr>
              <w:t xml:space="preserve">50 + 50</w:t>
            </w:r>
          </w:p>
        </w:tc>
        <w:tc>
          <w:tcPr>
            <w:tcW w:type="dxa" w:w="800"/>
            <w:tcMar>
              <w:top w:type="dxa" w:w="40"/>
              <w:left w:type="dxa" w:w="70"/>
              <w:bottom w:type="dxa" w:w="40"/>
              <w:right w:type="dxa" w:w="70"/>
            </w:tcMar>
          </w:tcPr>
          <w:p>
            <w:pPr>
              <w:spacing w:after="0" w:line="228"/>
              <w:jc w:val="center"/>
            </w:pPr>
            <w:r>
              <w:rPr>
                <w:rFonts w:ascii="Calibri" w:cs="Calibri" w:eastAsia="Calibri" w:hAnsi="Calibri"/>
                <w:sz w:val="16"/>
                <w:szCs w:val="16"/>
              </w:rPr>
              <w:t xml:space="preserve">50</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50</w:t>
            </w:r>
          </w:p>
        </w:tc>
        <w:tc>
          <w:tcPr>
            <w:tcW w:type="dxa" w:w="10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50 %</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0,50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500</w:t>
            </w:r>
          </w:p>
        </w:tc>
        <w:tc>
          <w:tcPr>
            <w:tcW w:type="dxa" w:w="13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100.000:1</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100:1</w:t>
            </w:r>
          </w:p>
        </w:tc>
        <w:tc>
          <w:tcPr>
            <w:tcW w:type="dxa" w:w="89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1000:1</w:t>
            </w:r>
          </w:p>
        </w:tc>
      </w:tr>
      <w:tr>
        <w:tc>
          <w:tcPr>
            <w:tcW w:type="dxa" w:w="10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25 + 75</w:t>
            </w:r>
          </w:p>
        </w:tc>
        <w:tc>
          <w:tcPr>
            <w:tcW w:type="dxa" w:w="8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25</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75</w:t>
            </w:r>
          </w:p>
        </w:tc>
        <w:tc>
          <w:tcPr>
            <w:tcW w:type="dxa" w:w="10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25 %</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0,25</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250</w:t>
            </w:r>
          </w:p>
        </w:tc>
        <w:tc>
          <w:tcPr>
            <w:tcW w:type="dxa" w:w="13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100.000:1</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100:1</w:t>
            </w:r>
          </w:p>
        </w:tc>
        <w:tc>
          <w:tcPr>
            <w:tcW w:type="dxa" w:w="89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1000:1</w:t>
            </w:r>
          </w:p>
        </w:tc>
      </w:tr>
    </w:tbl>
    <w:p>
      <w:pPr>
        <w:spacing w:after="80"/>
      </w:pPr>
    </w:p>
    <w:p>
      <w:pPr>
        <w:spacing w:after="100" w:before="0" w:line="264"/>
      </w:pPr>
      <w:r>
        <w:rPr>
          <w:rFonts w:ascii="Calibri" w:cs="Calibri" w:eastAsia="Calibri" w:hAnsi="Calibri"/>
          <w:b/>
          <w:bCs/>
          <w:sz w:val="19"/>
          <w:szCs w:val="19"/>
        </w:rPr>
        <w:t xml:space="preserve">Resultado. </w:t>
      </w:r>
      <w:r>
        <w:rPr>
          <w:rFonts w:ascii="Calibri" w:cs="Calibri" w:eastAsia="Calibri" w:hAnsi="Calibri"/>
          <w:sz w:val="19"/>
          <w:szCs w:val="19"/>
        </w:rPr>
        <w:t xml:space="preserve">Mucha muerte celular a partir de las primeras 12 h y ninguna célula fluorescente en las 48 h evaluadas.</w:t>
      </w:r>
    </w:p>
    <w:p>
      <w:pPr>
        <w:spacing w:after="60"/>
      </w:pPr>
    </w:p>
    <w:tbl>
      <w:tblPr>
        <w:tblW w:type="dxa" w:w="9740"/>
        <w:tblBorders>
          <w:top w:val="single" w:color="9CC2E5" w:sz="2"/>
          <w:left w:val="single" w:color="2E74B5" w:sz="18"/>
          <w:bottom w:val="single" w:color="9CC2E5" w:sz="2"/>
          <w:right w:val="single" w:color="9CC2E5" w:sz="2"/>
          <w:insideH w:val="none"/>
          <w:insideV w:val="none"/>
        </w:tblBorders>
      </w:tblPr>
      <w:tblGrid>
        <w:gridCol w:w="9740"/>
      </w:tblGrid>
      <w:tr>
        <w:tc>
          <w:tcPr>
            <w:tcW w:type="dxa" w:w="9740"/>
            <w:shd w:fill="EAF1F8" w:color="auto" w:val="clear"/>
            <w:tcMar>
              <w:top w:type="dxa" w:w="90"/>
              <w:left w:type="dxa" w:w="150"/>
              <w:bottom w:type="dxa" w:w="90"/>
              <w:right w:type="dxa" w:w="130"/>
            </w:tcMar>
          </w:tcPr>
          <w:p>
            <w:pPr>
              <w:spacing w:after="0" w:line="252"/>
            </w:pPr>
            <w:r>
              <w:rPr>
                <w:rFonts w:ascii="Calibri" w:cs="Calibri" w:eastAsia="Calibri" w:hAnsi="Calibri"/>
                <w:b/>
                <w:bCs/>
                <w:color w:val="1F4E79"/>
                <w:sz w:val="19"/>
                <w:szCs w:val="19"/>
              </w:rPr>
              <w:t xml:space="preserve">Dos apuntes: </w:t>
            </w:r>
            <w:r>
              <w:rPr>
                <w:rFonts w:ascii="Calibri" w:cs="Calibri" w:eastAsia="Calibri" w:hAnsi="Calibri"/>
                <w:sz w:val="19"/>
                <w:szCs w:val="19"/>
              </w:rPr>
              <w:t xml:space="preserve">el ratio ME:pDNA asume densidad ≈ 1 g/mL para la microemulsión; decidnos si preferís otro valor. Y la carga de DOTAP por pocillo (250–500 µg) es dos órdenes de magnitud mayor que en la muestra 1 (0,85–8,5 µg), consecuencia del ratio 1000:1 de la formulación.</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5. Muestra 3 — Microemulsión A/O sin pDNA</w:t>
      </w:r>
    </w:p>
    <w:p>
      <w:pPr>
        <w:spacing w:after="100" w:before="0" w:line="264"/>
      </w:pPr>
      <w:r>
        <w:rPr>
          <w:rFonts w:ascii="Calibri" w:cs="Calibri" w:eastAsia="Calibri" w:hAnsi="Calibri"/>
          <w:sz w:val="20"/>
          <w:szCs w:val="20"/>
        </w:rPr>
        <w:t xml:space="preserve">No ensayada: al ser de composición similar a la muestra 2, se prefirió ver primero cómo se comportaba aquella. Se conserva íntegra.</w:t>
      </w:r>
    </w:p>
    <w:p>
      <w:pPr>
        <w:pStyle w:val="Heading1"/>
        <w:pBdr>
          <w:bottom w:val="single" w:color="1F4E79" w:sz="6" w:space="3"/>
        </w:pBdr>
        <w:spacing w:after="120" w:before="280"/>
      </w:pPr>
      <w:r>
        <w:rPr>
          <w:rFonts w:ascii="Calibri" w:cs="Calibri" w:eastAsia="Calibri" w:hAnsi="Calibri"/>
          <w:b/>
          <w:bCs/>
          <w:color w:val="1F4E79"/>
          <w:sz w:val="25"/>
          <w:szCs w:val="25"/>
        </w:rPr>
        <w:t xml:space="preserve">6. Muestra 4 — Liposomas liofilizados · ME:DOTAP 10:1</w:t>
      </w:r>
    </w:p>
    <w:p>
      <w:pPr>
        <w:spacing w:after="100" w:before="0" w:line="264"/>
      </w:pPr>
      <w:r>
        <w:rPr>
          <w:rFonts w:ascii="Calibri" w:cs="Calibri" w:eastAsia="Calibri" w:hAnsi="Calibri"/>
          <w:sz w:val="20"/>
          <w:szCs w:val="20"/>
        </w:rPr>
        <w:t xml:space="preserve">El liofilizado corresponde a 10 µl de liposomas, es decir, 100 µg de liposomas con 10 µg de DOTAP. Se rehidrató directamente con la disolución de pDNA, según vuestro procedimiento.</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3100"/>
        <w:gridCol w:w="3200"/>
        <w:gridCol w:w="3440"/>
      </w:tblGrid>
      <w:tr>
        <w:trPr>
          <w:tblHeader/>
        </w:trPr>
        <w:tc>
          <w:tcPr>
            <w:tcW w:type="dxa" w:w="31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Concepto</w:t>
            </w:r>
          </w:p>
        </w:tc>
        <w:tc>
          <w:tcPr>
            <w:tcW w:type="dxa" w:w="32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Valor</w:t>
            </w:r>
          </w:p>
        </w:tc>
        <w:tc>
          <w:tcPr>
            <w:tcW w:type="dxa" w:w="344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7"/>
                <w:szCs w:val="17"/>
              </w:rPr>
              <w:t xml:space="preserve">Observación</w:t>
            </w:r>
          </w:p>
        </w:tc>
      </w:tr>
      <w:tr>
        <w:tc>
          <w:tcPr>
            <w:tcW w:type="dxa" w:w="3100"/>
            <w:tcMar>
              <w:top w:type="dxa" w:w="40"/>
              <w:left w:type="dxa" w:w="70"/>
              <w:bottom w:type="dxa" w:w="40"/>
              <w:right w:type="dxa" w:w="70"/>
            </w:tcMar>
          </w:tcPr>
          <w:p>
            <w:pPr>
              <w:spacing w:after="0" w:line="228"/>
              <w:jc w:val="left"/>
            </w:pPr>
            <w:r>
              <w:rPr>
                <w:rFonts w:ascii="Calibri" w:cs="Calibri" w:eastAsia="Calibri" w:hAnsi="Calibri"/>
                <w:sz w:val="17"/>
                <w:szCs w:val="17"/>
              </w:rPr>
              <w:t xml:space="preserve">Resuspensión del liofilizado</w:t>
            </w:r>
          </w:p>
        </w:tc>
        <w:tc>
          <w:tcPr>
            <w:tcW w:type="dxa" w:w="3200"/>
            <w:tcMar>
              <w:top w:type="dxa" w:w="40"/>
              <w:left w:type="dxa" w:w="70"/>
              <w:bottom w:type="dxa" w:w="40"/>
              <w:right w:type="dxa" w:w="70"/>
            </w:tcMar>
          </w:tcPr>
          <w:p>
            <w:pPr>
              <w:spacing w:after="0" w:line="228"/>
              <w:jc w:val="left"/>
            </w:pPr>
            <w:r>
              <w:rPr>
                <w:rFonts w:ascii="Calibri" w:cs="Calibri" w:eastAsia="Calibri" w:hAnsi="Calibri"/>
                <w:sz w:val="17"/>
                <w:szCs w:val="17"/>
              </w:rPr>
              <w:t xml:space="preserve">10 µl de agua + pDNA, 1 µg en total</w:t>
            </w:r>
          </w:p>
        </w:tc>
        <w:tc>
          <w:tcPr>
            <w:tcW w:type="dxa" w:w="3440"/>
            <w:tcMar>
              <w:top w:type="dxa" w:w="40"/>
              <w:left w:type="dxa" w:w="70"/>
              <w:bottom w:type="dxa" w:w="40"/>
              <w:right w:type="dxa" w:w="70"/>
            </w:tcMar>
          </w:tcPr>
          <w:p>
            <w:pPr>
              <w:spacing w:after="0" w:line="228"/>
              <w:jc w:val="left"/>
            </w:pPr>
            <w:r>
              <w:rPr>
                <w:rFonts w:ascii="Calibri" w:cs="Calibri" w:eastAsia="Calibri" w:hAnsi="Calibri"/>
                <w:sz w:val="17"/>
                <w:szCs w:val="17"/>
              </w:rPr>
              <w:t xml:space="preserve">Rehidratación directa con el pDNA</w:t>
            </w:r>
          </w:p>
        </w:tc>
      </w:tr>
      <w:tr>
        <w:tc>
          <w:tcPr>
            <w:tcW w:type="dxa" w:w="31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Liposomas (ME)</w:t>
            </w:r>
          </w:p>
        </w:tc>
        <w:tc>
          <w:tcPr>
            <w:tcW w:type="dxa" w:w="3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100 µg</w:t>
            </w:r>
          </w:p>
        </w:tc>
        <w:tc>
          <w:tcPr>
            <w:tcW w:type="dxa" w:w="344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10 µl × 10 mg/mL</w:t>
            </w:r>
          </w:p>
        </w:tc>
      </w:tr>
      <w:tr>
        <w:tc>
          <w:tcPr>
            <w:tcW w:type="dxa" w:w="3100"/>
            <w:tcMar>
              <w:top w:type="dxa" w:w="40"/>
              <w:left w:type="dxa" w:w="70"/>
              <w:bottom w:type="dxa" w:w="40"/>
              <w:right w:type="dxa" w:w="70"/>
            </w:tcMar>
          </w:tcPr>
          <w:p>
            <w:pPr>
              <w:spacing w:after="0" w:line="228"/>
              <w:jc w:val="left"/>
            </w:pPr>
            <w:r>
              <w:rPr>
                <w:rFonts w:ascii="Calibri" w:cs="Calibri" w:eastAsia="Calibri" w:hAnsi="Calibri"/>
                <w:sz w:val="17"/>
                <w:szCs w:val="17"/>
              </w:rPr>
              <w:t xml:space="preserve">DOTAP</w:t>
            </w:r>
          </w:p>
        </w:tc>
        <w:tc>
          <w:tcPr>
            <w:tcW w:type="dxa" w:w="3200"/>
            <w:tcMar>
              <w:top w:type="dxa" w:w="40"/>
              <w:left w:type="dxa" w:w="70"/>
              <w:bottom w:type="dxa" w:w="40"/>
              <w:right w:type="dxa" w:w="70"/>
            </w:tcMar>
          </w:tcPr>
          <w:p>
            <w:pPr>
              <w:spacing w:after="0" w:line="228"/>
              <w:jc w:val="left"/>
            </w:pPr>
            <w:r>
              <w:rPr>
                <w:rFonts w:ascii="Calibri" w:cs="Calibri" w:eastAsia="Calibri" w:hAnsi="Calibri"/>
                <w:sz w:val="17"/>
                <w:szCs w:val="17"/>
              </w:rPr>
              <w:t xml:space="preserve">10 µg</w:t>
            </w:r>
          </w:p>
        </w:tc>
        <w:tc>
          <w:tcPr>
            <w:tcW w:type="dxa" w:w="3440"/>
            <w:tcMar>
              <w:top w:type="dxa" w:w="40"/>
              <w:left w:type="dxa" w:w="70"/>
              <w:bottom w:type="dxa" w:w="40"/>
              <w:right w:type="dxa" w:w="70"/>
            </w:tcMar>
          </w:tcPr>
          <w:p>
            <w:pPr>
              <w:spacing w:after="0" w:line="228"/>
              <w:jc w:val="left"/>
            </w:pPr>
            <w:r>
              <w:rPr>
                <w:rFonts w:ascii="Calibri" w:cs="Calibri" w:eastAsia="Calibri" w:hAnsi="Calibri"/>
                <w:sz w:val="17"/>
                <w:szCs w:val="17"/>
              </w:rPr>
              <w:t xml:space="preserve">10 µl × 1 mg/mL</w:t>
            </w:r>
          </w:p>
        </w:tc>
      </w:tr>
      <w:tr>
        <w:tc>
          <w:tcPr>
            <w:tcW w:type="dxa" w:w="31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pDNA</w:t>
            </w:r>
          </w:p>
        </w:tc>
        <w:tc>
          <w:tcPr>
            <w:tcW w:type="dxa" w:w="3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1,00 µg</w:t>
            </w:r>
          </w:p>
        </w:tc>
        <w:tc>
          <w:tcPr>
            <w:tcW w:type="dxa" w:w="344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w:t>
            </w:r>
          </w:p>
        </w:tc>
      </w:tr>
      <w:tr>
        <w:tc>
          <w:tcPr>
            <w:tcW w:type="dxa" w:w="3100"/>
            <w:tcMar>
              <w:top w:type="dxa" w:w="40"/>
              <w:left w:type="dxa" w:w="70"/>
              <w:bottom w:type="dxa" w:w="40"/>
              <w:right w:type="dxa" w:w="70"/>
            </w:tcMar>
          </w:tcPr>
          <w:p>
            <w:pPr>
              <w:spacing w:after="0" w:line="228"/>
              <w:jc w:val="left"/>
            </w:pPr>
            <w:r>
              <w:rPr>
                <w:rFonts w:ascii="Calibri" w:cs="Calibri" w:eastAsia="Calibri" w:hAnsi="Calibri"/>
                <w:sz w:val="17"/>
                <w:szCs w:val="17"/>
              </w:rPr>
              <w:t xml:space="preserve">ME:pDNA / ME:DOTAP / DOTAP:pDNA</w:t>
            </w:r>
          </w:p>
        </w:tc>
        <w:tc>
          <w:tcPr>
            <w:tcW w:type="dxa" w:w="3200"/>
            <w:tcMar>
              <w:top w:type="dxa" w:w="40"/>
              <w:left w:type="dxa" w:w="70"/>
              <w:bottom w:type="dxa" w:w="40"/>
              <w:right w:type="dxa" w:w="70"/>
            </w:tcMar>
          </w:tcPr>
          <w:p>
            <w:pPr>
              <w:spacing w:after="0" w:line="228"/>
              <w:jc w:val="left"/>
            </w:pPr>
            <w:r>
              <w:rPr>
                <w:rFonts w:ascii="Calibri" w:cs="Calibri" w:eastAsia="Calibri" w:hAnsi="Calibri"/>
                <w:sz w:val="17"/>
                <w:szCs w:val="17"/>
              </w:rPr>
              <w:t xml:space="preserve">100:1 / 10:1 / 10:1</w:t>
            </w:r>
          </w:p>
        </w:tc>
        <w:tc>
          <w:tcPr>
            <w:tcW w:type="dxa" w:w="3440"/>
            <w:tcMar>
              <w:top w:type="dxa" w:w="40"/>
              <w:left w:type="dxa" w:w="70"/>
              <w:bottom w:type="dxa" w:w="40"/>
              <w:right w:type="dxa" w:w="70"/>
            </w:tcMar>
          </w:tcPr>
          <w:p>
            <w:pPr>
              <w:spacing w:after="0" w:line="228"/>
              <w:jc w:val="left"/>
            </w:pPr>
            <w:r>
              <w:rPr>
                <w:rFonts w:ascii="Calibri" w:cs="Calibri" w:eastAsia="Calibri" w:hAnsi="Calibri"/>
                <w:sz w:val="17"/>
                <w:szCs w:val="17"/>
              </w:rPr>
              <w:t xml:space="preserve">El 10:1 coincide con el ratio que habéis evaluado</w:t>
            </w:r>
          </w:p>
        </w:tc>
      </w:tr>
      <w:tr>
        <w:tc>
          <w:tcPr>
            <w:tcW w:type="dxa" w:w="31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Aplicación</w:t>
            </w:r>
          </w:p>
        </w:tc>
        <w:tc>
          <w:tcPr>
            <w:tcW w:type="dxa" w:w="320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1 µl de la resuspensión en 10 µl de DMEM sin FBS</w:t>
            </w:r>
          </w:p>
        </w:tc>
        <w:tc>
          <w:tcPr>
            <w:tcW w:type="dxa" w:w="3440"/>
            <w:shd w:fill="F2F2F2" w:color="auto" w:val="clear"/>
            <w:tcMar>
              <w:top w:type="dxa" w:w="40"/>
              <w:left w:type="dxa" w:w="70"/>
              <w:bottom w:type="dxa" w:w="40"/>
              <w:right w:type="dxa" w:w="70"/>
            </w:tcMar>
          </w:tcPr>
          <w:p>
            <w:pPr>
              <w:spacing w:after="0" w:line="228"/>
              <w:jc w:val="left"/>
            </w:pPr>
            <w:r>
              <w:rPr>
                <w:rFonts w:ascii="Calibri" w:cs="Calibri" w:eastAsia="Calibri" w:hAnsi="Calibri"/>
                <w:sz w:val="17"/>
                <w:szCs w:val="17"/>
              </w:rPr>
              <w:t xml:space="preserve">Equivale a 1 µg de DOTAP y 0,1 µg de pDNA</w:t>
            </w:r>
          </w:p>
        </w:tc>
      </w:tr>
    </w:tbl>
    <w:p>
      <w:pPr>
        <w:spacing w:after="80"/>
      </w:pPr>
    </w:p>
    <w:p>
      <w:pPr>
        <w:spacing w:after="100" w:before="0" w:line="264"/>
      </w:pPr>
      <w:r>
        <w:rPr>
          <w:rFonts w:ascii="Calibri" w:cs="Calibri" w:eastAsia="Calibri" w:hAnsi="Calibri"/>
          <w:b/>
          <w:bCs/>
          <w:sz w:val="19"/>
          <w:szCs w:val="19"/>
        </w:rPr>
        <w:t xml:space="preserve">Resultado. </w:t>
      </w:r>
      <w:r>
        <w:rPr>
          <w:rFonts w:ascii="Calibri" w:cs="Calibri" w:eastAsia="Calibri" w:hAnsi="Calibri"/>
          <w:sz w:val="19"/>
          <w:szCs w:val="19"/>
        </w:rPr>
        <w:t xml:space="preserve">Sin expresión de GFP, pero las células se vieron en mejor estado que con las microemulsiones. A las 12 h se apreciaban liposomas aparentemente sin internalizar, con diferencia clara a las 48 h.</w:t>
      </w:r>
    </w:p>
    <w:p>
      <w:pPr>
        <w:spacing w:after="60"/>
      </w:pPr>
    </w:p>
    <w:tbl>
      <w:tblPr>
        <w:tblW w:type="dxa" w:w="9740"/>
        <w:tblBorders>
          <w:top w:val="single" w:color="9CC2E5" w:sz="2"/>
          <w:left w:val="single" w:color="2E74B5" w:sz="18"/>
          <w:bottom w:val="single" w:color="9CC2E5" w:sz="2"/>
          <w:right w:val="single" w:color="9CC2E5" w:sz="2"/>
          <w:insideH w:val="none"/>
          <w:insideV w:val="none"/>
        </w:tblBorders>
      </w:tblPr>
      <w:tblGrid>
        <w:gridCol w:w="9740"/>
      </w:tblGrid>
      <w:tr>
        <w:tc>
          <w:tcPr>
            <w:tcW w:type="dxa" w:w="9740"/>
            <w:shd w:fill="EAF1F8" w:color="auto" w:val="clear"/>
            <w:tcMar>
              <w:top w:type="dxa" w:w="90"/>
              <w:left w:type="dxa" w:w="150"/>
              <w:bottom w:type="dxa" w:w="90"/>
              <w:right w:type="dxa" w:w="130"/>
            </w:tcMar>
          </w:tcPr>
          <w:p>
            <w:pPr>
              <w:spacing w:after="0" w:line="252"/>
            </w:pPr>
            <w:r>
              <w:rPr>
                <w:rFonts w:ascii="Calibri" w:cs="Calibri" w:eastAsia="Calibri" w:hAnsi="Calibri"/>
                <w:b/>
                <w:bCs/>
                <w:color w:val="1F4E79"/>
                <w:sz w:val="19"/>
                <w:szCs w:val="19"/>
              </w:rPr>
              <w:t xml:space="preserve">Sobre el contenido del liofilizado: </w:t>
            </w:r>
            <w:r>
              <w:rPr>
                <w:rFonts w:ascii="Calibri" w:cs="Calibri" w:eastAsia="Calibri" w:hAnsi="Calibri"/>
                <w:sz w:val="19"/>
                <w:szCs w:val="19"/>
              </w:rPr>
              <w:t xml:space="preserve">la descripción dice que cada liofilizado contiene 10 µg de DOTAP y, más abajo, que la cantidad enviada equivale a «10 µg de liposomas liofilizados». Ambas cosas no encajan: siendo el DOTAP el 10 % de los liposomas (1 mg/mL sobre 10 mg/mL), 10 µg de liposomas contendrían 1 µg de DOTAP, y para llegar a 10 µg harían falta 100 µg de liposomas. Hemos partido de que se liofilizaron 10 µl de liposomas —100 µg, con 10 µg de DOTAP—, que es lo que nos indicasteis y lo que hace cuadrar el ratio 10:1. Confirmadnos si no fuera así, porque de ello depende todo el cálculo de esta muestra. Al margen de esto, es posible que 10 µl fuera un volumen de resuspensión demasiado pequeño: al repetir la condición nos interesa saber qué volumen recomendáis.</w:t>
            </w:r>
          </w:p>
        </w:tc>
      </w:tr>
    </w:tbl>
    <w:p>
      <w:pPr>
        <w:pStyle w:val="Heading1"/>
        <w:pBdr>
          <w:bottom w:val="single" w:color="1F4E79" w:sz="6" w:space="3"/>
        </w:pBdr>
        <w:spacing w:after="120" w:before="280"/>
      </w:pPr>
      <w:r>
        <w:rPr>
          <w:rFonts w:ascii="Calibri" w:cs="Calibri" w:eastAsia="Calibri" w:hAnsi="Calibri"/>
          <w:b/>
          <w:bCs/>
          <w:color w:val="1F4E79"/>
          <w:sz w:val="25"/>
          <w:szCs w:val="25"/>
        </w:rPr>
        <w:t xml:space="preserve">7. Muestra 5 — Liposomas sin liofilizar · ME:DOTAP 10:1</w:t>
      </w:r>
    </w:p>
    <w:tbl>
      <w:tblPr>
        <w:tblW w:type="dxa" w:w="9740"/>
        <w:tblBorders>
          <w:top w:val="single" w:color="1F4E79" w:sz="4"/>
          <w:left w:val="single" w:color="BFBFBF" w:sz="2"/>
          <w:bottom w:val="single" w:color="1F4E79" w:sz="4"/>
          <w:right w:val="single" w:color="BFBFBF" w:sz="2"/>
          <w:insideH w:val="single" w:color="BFBFBF" w:sz="2"/>
          <w:insideV w:val="single" w:color="BFBFBF" w:sz="2"/>
        </w:tblBorders>
      </w:tblPr>
      <w:tblGrid>
        <w:gridCol w:w="1550"/>
        <w:gridCol w:w="1450"/>
        <w:gridCol w:w="900"/>
        <w:gridCol w:w="1100"/>
        <w:gridCol w:w="950"/>
        <w:gridCol w:w="850"/>
        <w:gridCol w:w="1000"/>
        <w:gridCol w:w="1000"/>
        <w:gridCol w:w="940"/>
      </w:tblGrid>
      <w:tr>
        <w:trPr>
          <w:tblHeader/>
        </w:trPr>
        <w:tc>
          <w:tcPr>
            <w:tcW w:type="dxa" w:w="15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Condición (por pocillo)</w:t>
            </w:r>
          </w:p>
        </w:tc>
        <w:tc>
          <w:tcPr>
            <w:tcW w:type="dxa" w:w="14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Pipeteo lip.+DMEM / pDNA+DMEM (µl)</w:t>
            </w:r>
          </w:p>
        </w:tc>
        <w:tc>
          <w:tcPr>
            <w:tcW w:type="dxa" w:w="9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Liposomas (µg)</w:t>
            </w:r>
          </w:p>
        </w:tc>
        <w:tc>
          <w:tcPr>
            <w:tcW w:type="dxa" w:w="11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 (µg/mL)</w:t>
            </w:r>
          </w:p>
        </w:tc>
        <w:tc>
          <w:tcPr>
            <w:tcW w:type="dxa" w:w="9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 (µg)</w:t>
            </w:r>
          </w:p>
        </w:tc>
        <w:tc>
          <w:tcPr>
            <w:tcW w:type="dxa" w:w="85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pDNA (µg)</w:t>
            </w:r>
          </w:p>
        </w:tc>
        <w:tc>
          <w:tcPr>
            <w:tcW w:type="dxa" w:w="10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ME:pDNA</w:t>
            </w:r>
          </w:p>
        </w:tc>
        <w:tc>
          <w:tcPr>
            <w:tcW w:type="dxa" w:w="100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ME:DOTAP</w:t>
            </w:r>
          </w:p>
        </w:tc>
        <w:tc>
          <w:tcPr>
            <w:tcW w:type="dxa" w:w="940"/>
            <w:shd w:fill="1F4E79" w:color="auto" w:val="clear"/>
            <w:tcMar>
              <w:top w:type="dxa" w:w="40"/>
              <w:left w:type="dxa" w:w="70"/>
              <w:bottom w:type="dxa" w:w="40"/>
              <w:right w:type="dxa" w:w="70"/>
            </w:tcMar>
          </w:tcPr>
          <w:p>
            <w:pPr>
              <w:spacing w:after="0" w:line="228"/>
              <w:jc w:val="center"/>
            </w:pPr>
            <w:r>
              <w:rPr>
                <w:rFonts w:ascii="Calibri" w:cs="Calibri" w:eastAsia="Calibri" w:hAnsi="Calibri"/>
                <w:b/>
                <w:bCs/>
                <w:color w:val="FFFFFF"/>
                <w:sz w:val="16"/>
                <w:szCs w:val="16"/>
              </w:rPr>
              <w:t xml:space="preserve">DOTAP:pDNA</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10 µg ME + 0,1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4+16 / 0,7+19,3</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10 µg ME + 0,2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4+16 / 1,4+18,6</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0,2</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50:1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10 µg ME + 0,4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4+16 / 2,7+17,3</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0,4</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25:1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2,5:1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20 µg ME + 0,1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0,7+19,3</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200</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200:1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20:1</w:t>
            </w:r>
          </w:p>
        </w:tc>
      </w:tr>
      <w:tr>
        <w:tc>
          <w:tcPr>
            <w:tcW w:type="dxa" w:w="1550"/>
            <w:tcMar>
              <w:top w:type="dxa" w:w="40"/>
              <w:left w:type="dxa" w:w="70"/>
              <w:bottom w:type="dxa" w:w="40"/>
              <w:right w:type="dxa" w:w="70"/>
            </w:tcMar>
          </w:tcPr>
          <w:p>
            <w:pPr>
              <w:spacing w:after="0" w:line="228"/>
              <w:jc w:val="left"/>
            </w:pPr>
            <w:r>
              <w:rPr>
                <w:rFonts w:ascii="Calibri" w:cs="Calibri" w:eastAsia="Calibri" w:hAnsi="Calibri"/>
                <w:sz w:val="16"/>
                <w:szCs w:val="16"/>
              </w:rPr>
              <w:t xml:space="preserve">20 µg ME + 0,2 µg</w:t>
            </w:r>
          </w:p>
        </w:tc>
        <w:tc>
          <w:tcPr>
            <w:tcW w:type="dxa" w:w="1450"/>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1,4+18,6</w:t>
            </w:r>
          </w:p>
        </w:tc>
        <w:tc>
          <w:tcPr>
            <w:tcW w:type="dxa" w:w="9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1100"/>
            <w:tcMar>
              <w:top w:type="dxa" w:w="40"/>
              <w:left w:type="dxa" w:w="70"/>
              <w:bottom w:type="dxa" w:w="40"/>
              <w:right w:type="dxa" w:w="70"/>
            </w:tcMar>
          </w:tcPr>
          <w:p>
            <w:pPr>
              <w:spacing w:after="0" w:line="228"/>
              <w:jc w:val="center"/>
            </w:pPr>
            <w:r>
              <w:rPr>
                <w:rFonts w:ascii="Calibri" w:cs="Calibri" w:eastAsia="Calibri" w:hAnsi="Calibri"/>
                <w:sz w:val="16"/>
                <w:szCs w:val="16"/>
              </w:rPr>
              <w:t xml:space="preserve">200</w:t>
            </w:r>
          </w:p>
        </w:tc>
        <w:tc>
          <w:tcPr>
            <w:tcW w:type="dxa" w:w="950"/>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850"/>
            <w:tcMar>
              <w:top w:type="dxa" w:w="40"/>
              <w:left w:type="dxa" w:w="70"/>
              <w:bottom w:type="dxa" w:w="40"/>
              <w:right w:type="dxa" w:w="70"/>
            </w:tcMar>
          </w:tcPr>
          <w:p>
            <w:pPr>
              <w:spacing w:after="0" w:line="228"/>
              <w:jc w:val="center"/>
            </w:pPr>
            <w:r>
              <w:rPr>
                <w:rFonts w:ascii="Calibri" w:cs="Calibri" w:eastAsia="Calibri" w:hAnsi="Calibri"/>
                <w:sz w:val="16"/>
                <w:szCs w:val="16"/>
              </w:rPr>
              <w:t xml:space="preserve">0,2</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100:1</w:t>
            </w:r>
          </w:p>
        </w:tc>
        <w:tc>
          <w:tcPr>
            <w:tcW w:type="dxa" w:w="100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r>
      <w:tr>
        <w:tc>
          <w:tcPr>
            <w:tcW w:type="dxa" w:w="1550"/>
            <w:shd w:fill="F2F2F2" w:color="auto" w:val="clear"/>
            <w:tcMar>
              <w:top w:type="dxa" w:w="40"/>
              <w:left w:type="dxa" w:w="70"/>
              <w:bottom w:type="dxa" w:w="40"/>
              <w:right w:type="dxa" w:w="70"/>
            </w:tcMar>
          </w:tcPr>
          <w:p>
            <w:pPr>
              <w:spacing w:after="0" w:line="228"/>
              <w:jc w:val="left"/>
            </w:pPr>
            <w:r>
              <w:rPr>
                <w:rFonts w:ascii="Calibri" w:cs="Calibri" w:eastAsia="Calibri" w:hAnsi="Calibri"/>
                <w:sz w:val="16"/>
                <w:szCs w:val="16"/>
              </w:rPr>
              <w:t xml:space="preserve">20 µg ME + 0,4 µg</w:t>
            </w:r>
          </w:p>
        </w:tc>
        <w:tc>
          <w:tcPr>
            <w:tcW w:type="dxa" w:w="14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8+12 / 2,7+17,3</w:t>
            </w:r>
          </w:p>
        </w:tc>
        <w:tc>
          <w:tcPr>
            <w:tcW w:type="dxa" w:w="9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11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200</w:t>
            </w:r>
          </w:p>
        </w:tc>
        <w:tc>
          <w:tcPr>
            <w:tcW w:type="dxa" w:w="9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2,0</w:t>
            </w:r>
          </w:p>
        </w:tc>
        <w:tc>
          <w:tcPr>
            <w:tcW w:type="dxa" w:w="85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0,4</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50:1</w:t>
            </w:r>
          </w:p>
        </w:tc>
        <w:tc>
          <w:tcPr>
            <w:tcW w:type="dxa" w:w="100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10:1</w:t>
            </w:r>
          </w:p>
        </w:tc>
        <w:tc>
          <w:tcPr>
            <w:tcW w:type="dxa" w:w="940"/>
            <w:shd w:fill="F2F2F2" w:color="auto" w:val="clear"/>
            <w:tcMar>
              <w:top w:type="dxa" w:w="40"/>
              <w:left w:type="dxa" w:w="70"/>
              <w:bottom w:type="dxa" w:w="40"/>
              <w:right w:type="dxa" w:w="70"/>
            </w:tcMar>
          </w:tcPr>
          <w:p>
            <w:pPr>
              <w:spacing w:after="0" w:line="228"/>
              <w:jc w:val="center"/>
            </w:pPr>
            <w:r>
              <w:rPr>
                <w:rFonts w:ascii="Calibri" w:cs="Calibri" w:eastAsia="Calibri" w:hAnsi="Calibri"/>
                <w:sz w:val="16"/>
                <w:szCs w:val="16"/>
              </w:rPr>
              <w:t xml:space="preserve">5:1</w:t>
            </w:r>
          </w:p>
        </w:tc>
      </w:tr>
    </w:tbl>
    <w:p>
      <w:pPr>
        <w:spacing w:after="80"/>
      </w:pPr>
    </w:p>
    <w:p>
      <w:pPr>
        <w:spacing w:after="100" w:before="0" w:line="264"/>
      </w:pPr>
      <w:r>
        <w:rPr>
          <w:rFonts w:ascii="Calibri" w:cs="Calibri" w:eastAsia="Calibri" w:hAnsi="Calibri"/>
          <w:b/>
          <w:bCs/>
          <w:sz w:val="19"/>
          <w:szCs w:val="19"/>
        </w:rPr>
        <w:t xml:space="preserve">Resultado. </w:t>
      </w:r>
      <w:r>
        <w:rPr>
          <w:rFonts w:ascii="Calibri" w:cs="Calibri" w:eastAsia="Calibri" w:hAnsi="Calibri"/>
          <w:sz w:val="19"/>
          <w:szCs w:val="19"/>
        </w:rPr>
        <w:t xml:space="preserve">Sin expresión de GFP en ninguna condición, pero las células se mantuvieron sanas y apenas hubo muerte celular. De nuevo se apreció internalización progresiva de los liposomas. El comportamiento fue consistente en todas las condiciones.</w:t>
      </w:r>
    </w:p>
    <w:p>
      <w:pPr>
        <w:pStyle w:val="Heading1"/>
        <w:pBdr>
          <w:bottom w:val="single" w:color="1F4E79" w:sz="6" w:space="3"/>
        </w:pBdr>
        <w:spacing w:after="120" w:before="280"/>
      </w:pPr>
      <w:r>
        <w:rPr>
          <w:rFonts w:ascii="Calibri" w:cs="Calibri" w:eastAsia="Calibri" w:hAnsi="Calibri"/>
          <w:b/>
          <w:bCs/>
          <w:color w:val="1F4E79"/>
          <w:sz w:val="25"/>
          <w:szCs w:val="25"/>
        </w:rPr>
        <w:t xml:space="preserve">8. Control positivo</w:t>
      </w:r>
    </w:p>
    <w:p>
      <w:pPr>
        <w:spacing w:after="100" w:before="0" w:line="264"/>
      </w:pPr>
      <w:r>
        <w:rPr>
          <w:rFonts w:ascii="Calibri" w:cs="Calibri" w:eastAsia="Calibri" w:hAnsi="Calibri"/>
          <w:sz w:val="20"/>
          <w:szCs w:val="20"/>
        </w:rPr>
        <w:t xml:space="preserve">ViaFect 2,4 µl + 0,7 µl de pDNA (≈ 408 ng) + 37 µl de DMEM sin FBS, 10 minutos, 10 µl por pocillo. Por pocillo: ≈ 0,6 µl de ViaFect y ≈ 0,1 µg de pDNA, la misma dosis de pDNA que las condiciones más bajas de las muestras 4 y 5. Sirvió de referencia visual de la fluorescencia, aunque su eficiencia no fue alta.</w:t>
      </w:r>
    </w:p>
    <w:p>
      <w:pPr>
        <w:pStyle w:val="Heading1"/>
        <w:pBdr>
          <w:bottom w:val="single" w:color="1F4E79" w:sz="6" w:space="3"/>
        </w:pBdr>
        <w:spacing w:after="120" w:before="280"/>
      </w:pPr>
      <w:r>
        <w:rPr>
          <w:rFonts w:ascii="Calibri" w:cs="Calibri" w:eastAsia="Calibri" w:hAnsi="Calibri"/>
          <w:b/>
          <w:bCs/>
          <w:color w:val="1F4E79"/>
          <w:sz w:val="25"/>
          <w:szCs w:val="25"/>
        </w:rPr>
        <w:t xml:space="preserve">9. Consultas</w:t>
      </w:r>
    </w:p>
    <w:p>
      <w:pPr>
        <w:pStyle w:val="ListParagraph"/>
        <w:numPr>
          <w:ilvl w:val="0"/>
          <w:numId w:val="2"/>
        </w:numPr>
        <w:spacing w:after="60" w:line="264"/>
      </w:pPr>
      <w:r>
        <w:rPr>
          <w:rFonts w:ascii="Calibri" w:cs="Calibri" w:eastAsia="Calibri" w:hAnsi="Calibri"/>
          <w:b/>
          <w:bCs/>
          <w:sz w:val="20"/>
          <w:szCs w:val="20"/>
        </w:rPr>
        <w:t xml:space="preserve">Muestra 2, volumen disponible. </w:t>
      </w:r>
      <w:r>
        <w:rPr>
          <w:rFonts w:ascii="Calibri" w:cs="Calibri" w:eastAsia="Calibri" w:hAnsi="Calibri"/>
          <w:sz w:val="20"/>
          <w:szCs w:val="20"/>
        </w:rPr>
        <w:t xml:space="preserve">¿Podríais enviarnos más cantidad? Con los 100 µl recibidos no se pudo reproducir vuestra condición de 100 µl + 100 µl ni ampliar el número de condiciones.</w:t>
      </w:r>
    </w:p>
    <w:p>
      <w:pPr>
        <w:pStyle w:val="ListParagraph"/>
        <w:numPr>
          <w:ilvl w:val="0"/>
          <w:numId w:val="2"/>
        </w:numPr>
        <w:spacing w:after="60" w:line="264"/>
      </w:pPr>
      <w:r>
        <w:rPr>
          <w:rFonts w:ascii="Calibri" w:cs="Calibri" w:eastAsia="Calibri" w:hAnsi="Calibri"/>
          <w:b/>
          <w:bCs/>
          <w:sz w:val="20"/>
          <w:szCs w:val="20"/>
        </w:rPr>
        <w:t xml:space="preserve">Muestra 2, pDNA encapsulado. </w:t>
      </w:r>
      <w:r>
        <w:rPr>
          <w:rFonts w:ascii="Calibri" w:cs="Calibri" w:eastAsia="Calibri" w:hAnsi="Calibri"/>
          <w:sz w:val="20"/>
          <w:szCs w:val="20"/>
        </w:rPr>
        <w:t xml:space="preserve">Entendemos que es el pMAX-GFP que os enviamos hace unos meses, el mismo que hemos usado en el resto de muestras. ¿Nos lo confirmáis?</w:t>
      </w:r>
    </w:p>
    <w:p>
      <w:pPr>
        <w:pStyle w:val="ListParagraph"/>
        <w:numPr>
          <w:ilvl w:val="0"/>
          <w:numId w:val="2"/>
        </w:numPr>
        <w:spacing w:after="60" w:line="264"/>
      </w:pPr>
      <w:r>
        <w:rPr>
          <w:rFonts w:ascii="Calibri" w:cs="Calibri" w:eastAsia="Calibri" w:hAnsi="Calibri"/>
          <w:b/>
          <w:bCs/>
          <w:sz w:val="20"/>
          <w:szCs w:val="20"/>
        </w:rPr>
        <w:t xml:space="preserve">Muestra 4, volumen de resuspensión. </w:t>
      </w:r>
      <w:r>
        <w:rPr>
          <w:rFonts w:ascii="Calibri" w:cs="Calibri" w:eastAsia="Calibri" w:hAnsi="Calibri"/>
          <w:sz w:val="20"/>
          <w:szCs w:val="20"/>
        </w:rPr>
        <w:t xml:space="preserve">Resuspendimos el liofilizado en 10 µl, que quizá sea poco. ¿Qué volumen recomendáis?</w:t>
      </w:r>
    </w:p>
    <w:p>
      <w:pPr>
        <w:pStyle w:val="ListParagraph"/>
        <w:numPr>
          <w:ilvl w:val="0"/>
          <w:numId w:val="2"/>
        </w:numPr>
        <w:spacing w:after="60" w:line="264"/>
      </w:pPr>
      <w:r>
        <w:rPr>
          <w:rFonts w:ascii="Calibri" w:cs="Calibri" w:eastAsia="Calibri" w:hAnsi="Calibri"/>
          <w:b/>
          <w:bCs/>
          <w:sz w:val="20"/>
          <w:szCs w:val="20"/>
        </w:rPr>
        <w:t xml:space="preserve">Toxicidad de las microemulsiones. </w:t>
      </w:r>
      <w:r>
        <w:rPr>
          <w:rFonts w:ascii="Calibri" w:cs="Calibri" w:eastAsia="Calibri" w:hAnsi="Calibri"/>
          <w:sz w:val="20"/>
          <w:szCs w:val="20"/>
        </w:rPr>
        <w:t xml:space="preserve">Las muestras 1 y 2 resultaron tóxicas en todas las condiciones ensayadas, mientras que las formulaciones liposomales no lo fueron. Si consideráis que merece la pena seguir con ellas, podemos ensayar dosis por debajo de los 9,25 µg de ME por pocillo o tiempos de exposición más cortos; decidnos qué preferís.</w:t>
      </w:r>
    </w:p>
    <w:sectPr>
      <w:footerReference w:type="default" r:id="rId7"/>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2" w:space="5"/>
      </w:pBdr>
      <w:jc w:val="center"/>
    </w:pPr>
    <w:r>
      <w:rPr>
        <w:rFonts w:ascii="Calibri" w:cs="Calibri" w:eastAsia="Calibri" w:hAnsi="Calibri"/>
        <w:color w:val="808080"/>
        <w:sz w:val="16"/>
        <w:szCs w:val="16"/>
      </w:rPr>
      <w:t xml:space="preserve">Muestras UCM julio 2026 · ensayo 03/08/2026 · pág.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de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Muestras UCM julio 2026 — informe de tratamiento</dc:title>
  <dc:creator>María Zubieta Laseca</dc:creator>
  <dc:description>Condiciones ensayadas con las muestras UCM en el ensayo del 03/08/2026</dc:description>
  <cp:lastModifiedBy>Un-named</cp:lastModifiedBy>
  <cp:revision>1</cp:revision>
  <dcterms:created xsi:type="dcterms:W3CDTF">2026-09-17T10:45:57.437Z</dcterms:created>
  <dcterms:modified xsi:type="dcterms:W3CDTF">2026-09-17T10:45:57.447Z</dcterms:modified>
</cp:coreProperties>
</file>

<file path=docProps/custom.xml><?xml version="1.0" encoding="utf-8"?>
<Properties xmlns="http://schemas.openxmlformats.org/officeDocument/2006/custom-properties" xmlns:vt="http://schemas.openxmlformats.org/officeDocument/2006/docPropsVTypes"/>
</file>