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08080"/>
          <w:sz w:val="19"/>
          <w:szCs w:val="19"/>
        </w:rPr>
        <w:t xml:space="preserve">INFORME DE TRATAMIENTO DE MUESTRAS</w:t>
      </w:r>
    </w:p>
    <w:p>
      <w:pPr>
        <w:spacing w:after="100"/>
      </w:pPr>
      <w:r>
        <w:rPr>
          <w:rFonts w:ascii="Calibri" w:cs="Calibri" w:eastAsia="Calibri" w:hAnsi="Calibri"/>
          <w:b/>
          <w:bCs/>
          <w:color w:val="1F4E79"/>
          <w:sz w:val="40"/>
          <w:szCs w:val="40"/>
        </w:rPr>
        <w:t xml:space="preserve">Muestras UCM, tanda de julio de 2026</w:t>
      </w:r>
    </w:p>
    <w:p>
      <w:pPr>
        <w:pBdr>
          <w:bottom w:val="single" w:color="1F4E79" w:sz="12" w:space="8"/>
        </w:pBdr>
        <w:spacing w:after="240"/>
      </w:pPr>
      <w:r>
        <w:rPr>
          <w:rFonts w:ascii="Calibri" w:cs="Calibri" w:eastAsia="Calibri" w:hAnsi="Calibri"/>
          <w:color w:val="595959"/>
          <w:sz w:val="24"/>
          <w:szCs w:val="24"/>
        </w:rPr>
        <w:t xml:space="preserve">Condiciones ensayadas en transfección · ensayo del 3 de agosto de 2026</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2300"/>
        <w:gridCol w:w="6720"/>
      </w:tblGrid>
      <w:tr>
        <w:trPr>
          <w:tblHeader/>
        </w:trPr>
        <w:tc>
          <w:tcPr>
            <w:tcW w:type="dxa" w:w="23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Campo</w:t>
            </w:r>
          </w:p>
        </w:tc>
        <w:tc>
          <w:tcPr>
            <w:tcW w:type="dxa" w:w="67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Dato</w:t>
            </w:r>
          </w:p>
        </w:tc>
      </w:tr>
      <w:tr>
        <w:tc>
          <w:tcPr>
            <w:tcW w:type="dxa" w:w="2300"/>
            <w:tcMar>
              <w:top w:type="dxa" w:w="60"/>
              <w:left w:type="dxa" w:w="90"/>
              <w:bottom w:type="dxa" w:w="60"/>
              <w:right w:type="dxa" w:w="90"/>
            </w:tcMar>
          </w:tcPr>
          <w:p>
            <w:pPr>
              <w:spacing w:after="0" w:line="240"/>
              <w:jc w:val="left"/>
            </w:pPr>
            <w:r>
              <w:rPr>
                <w:rFonts w:ascii="Calibri" w:cs="Calibri" w:eastAsia="Calibri" w:hAnsi="Calibri"/>
                <w:sz w:val="19"/>
                <w:szCs w:val="19"/>
              </w:rPr>
              <w:t xml:space="preserve">Ensayo realizado el</w:t>
            </w:r>
          </w:p>
        </w:tc>
        <w:tc>
          <w:tcPr>
            <w:tcW w:type="dxa" w:w="6720"/>
            <w:tcMar>
              <w:top w:type="dxa" w:w="60"/>
              <w:left w:type="dxa" w:w="90"/>
              <w:bottom w:type="dxa" w:w="60"/>
              <w:right w:type="dxa" w:w="90"/>
            </w:tcMar>
          </w:tcPr>
          <w:p>
            <w:pPr>
              <w:spacing w:after="0" w:line="240"/>
              <w:jc w:val="left"/>
            </w:pPr>
            <w:r>
              <w:rPr>
                <w:rFonts w:ascii="Calibri" w:cs="Calibri" w:eastAsia="Calibri" w:hAnsi="Calibri"/>
                <w:sz w:val="19"/>
                <w:szCs w:val="19"/>
              </w:rPr>
              <w:t xml:space="preserve">3 de agosto de 2026</w:t>
            </w:r>
          </w:p>
        </w:tc>
      </w:tr>
      <w:tr>
        <w:tc>
          <w:tcPr>
            <w:tcW w:type="dxa" w:w="23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Responsable</w:t>
            </w:r>
          </w:p>
        </w:tc>
        <w:tc>
          <w:tcPr>
            <w:tcW w:type="dxa" w:w="67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María Zubieta Laseca — Universidad de Salamanca</w:t>
            </w:r>
          </w:p>
        </w:tc>
      </w:tr>
      <w:tr>
        <w:tc>
          <w:tcPr>
            <w:tcW w:type="dxa" w:w="2300"/>
            <w:tcMar>
              <w:top w:type="dxa" w:w="60"/>
              <w:left w:type="dxa" w:w="90"/>
              <w:bottom w:type="dxa" w:w="60"/>
              <w:right w:type="dxa" w:w="90"/>
            </w:tcMar>
          </w:tcPr>
          <w:p>
            <w:pPr>
              <w:spacing w:after="0" w:line="240"/>
              <w:jc w:val="left"/>
            </w:pPr>
            <w:r>
              <w:rPr>
                <w:rFonts w:ascii="Calibri" w:cs="Calibri" w:eastAsia="Calibri" w:hAnsi="Calibri"/>
                <w:sz w:val="19"/>
                <w:szCs w:val="19"/>
              </w:rPr>
              <w:t xml:space="preserve">Muestras recibidas</w:t>
            </w:r>
          </w:p>
        </w:tc>
        <w:tc>
          <w:tcPr>
            <w:tcW w:type="dxa" w:w="6720"/>
            <w:tcMar>
              <w:top w:type="dxa" w:w="60"/>
              <w:left w:type="dxa" w:w="90"/>
              <w:bottom w:type="dxa" w:w="60"/>
              <w:right w:type="dxa" w:w="90"/>
            </w:tcMar>
          </w:tcPr>
          <w:p>
            <w:pPr>
              <w:spacing w:after="0" w:line="240"/>
              <w:jc w:val="left"/>
            </w:pPr>
            <w:r>
              <w:rPr>
                <w:rFonts w:ascii="Calibri" w:cs="Calibri" w:eastAsia="Calibri" w:hAnsi="Calibri"/>
                <w:sz w:val="19"/>
                <w:szCs w:val="19"/>
              </w:rPr>
              <w:t xml:space="preserve">Envío de la UCM de 13 de julio de 2026 (muestras 1 a 5)</w:t>
            </w:r>
          </w:p>
        </w:tc>
      </w:tr>
      <w:tr>
        <w:tc>
          <w:tcPr>
            <w:tcW w:type="dxa" w:w="23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Muestras utilizadas</w:t>
            </w:r>
          </w:p>
        </w:tc>
        <w:tc>
          <w:tcPr>
            <w:tcW w:type="dxa" w:w="67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 2, 4 y 5. La muestra 3 no se ha utilizado todavía.</w:t>
            </w:r>
          </w:p>
        </w:tc>
      </w:tr>
      <w:tr>
        <w:tc>
          <w:tcPr>
            <w:tcW w:type="dxa" w:w="2300"/>
            <w:tcMar>
              <w:top w:type="dxa" w:w="60"/>
              <w:left w:type="dxa" w:w="90"/>
              <w:bottom w:type="dxa" w:w="60"/>
              <w:right w:type="dxa" w:w="90"/>
            </w:tcMar>
          </w:tcPr>
          <w:p>
            <w:pPr>
              <w:spacing w:after="0" w:line="240"/>
              <w:jc w:val="left"/>
            </w:pPr>
            <w:r>
              <w:rPr>
                <w:rFonts w:ascii="Calibri" w:cs="Calibri" w:eastAsia="Calibri" w:hAnsi="Calibri"/>
                <w:sz w:val="19"/>
                <w:szCs w:val="19"/>
              </w:rPr>
              <w:t xml:space="preserve">Plásmido empleado</w:t>
            </w:r>
          </w:p>
        </w:tc>
        <w:tc>
          <w:tcPr>
            <w:tcW w:type="dxa" w:w="6720"/>
            <w:tcMar>
              <w:top w:type="dxa" w:w="60"/>
              <w:left w:type="dxa" w:w="90"/>
              <w:bottom w:type="dxa" w:w="60"/>
              <w:right w:type="dxa" w:w="90"/>
            </w:tcMar>
          </w:tcPr>
          <w:p>
            <w:pPr>
              <w:spacing w:after="0" w:line="240"/>
              <w:jc w:val="left"/>
            </w:pPr>
            <w:r>
              <w:rPr>
                <w:rFonts w:ascii="Calibri" w:cs="Calibri" w:eastAsia="Calibri" w:hAnsi="Calibri"/>
                <w:sz w:val="19"/>
                <w:szCs w:val="19"/>
              </w:rPr>
              <w:t xml:space="preserve">Stock propio a 583 ng/µl (salvo la muestra 2, que ya incorpora pDNA)</w:t>
            </w:r>
          </w:p>
        </w:tc>
      </w:tr>
      <w:tr>
        <w:tc>
          <w:tcPr>
            <w:tcW w:type="dxa" w:w="23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Objeto</w:t>
            </w:r>
          </w:p>
        </w:tc>
        <w:tc>
          <w:tcPr>
            <w:tcW w:type="dxa" w:w="67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Detallar diluciones, concentraciones y dosis efectivamente ensayadas con cada muestra</w:t>
            </w:r>
          </w:p>
        </w:tc>
      </w:tr>
    </w:tbl>
    <w:p>
      <w:pPr>
        <w:spacing w:after="240"/>
      </w:pPr>
    </w:p>
    <w:p>
      <w:pPr>
        <w:pStyle w:val="Heading1"/>
        <w:pBdr>
          <w:bottom w:val="single" w:color="1F4E79" w:sz="6" w:space="4"/>
        </w:pBdr>
        <w:spacing w:after="160" w:before="360"/>
      </w:pPr>
      <w:r>
        <w:rPr>
          <w:rFonts w:ascii="Calibri" w:cs="Calibri" w:eastAsia="Calibri" w:hAnsi="Calibri"/>
          <w:b/>
          <w:bCs/>
          <w:color w:val="1F4E79"/>
          <w:sz w:val="28"/>
          <w:szCs w:val="28"/>
        </w:rPr>
        <w:t xml:space="preserve">1. Objeto</w:t>
      </w:r>
    </w:p>
    <w:p>
      <w:pPr>
        <w:spacing w:after="120" w:before="0" w:line="276"/>
      </w:pPr>
      <w:r>
        <w:rPr>
          <w:rFonts w:ascii="Calibri" w:cs="Calibri" w:eastAsia="Calibri" w:hAnsi="Calibri"/>
          <w:sz w:val="21"/>
          <w:szCs w:val="21"/>
        </w:rPr>
        <w:t xml:space="preserve">Este documento recoge, muestra por muestra, el tratamiento que se ha dado en nuestro laboratorio a las formulaciones enviadas por la UCM: cómo se han diluido, qué cantidades se han empleado, qué dosis recibe finalmente cada pocillo y a qué ratio DOTAP/pDNA corresponde cada condición.</w:t>
      </w:r>
    </w:p>
    <w:p>
      <w:pPr>
        <w:spacing w:after="120" w:before="0" w:line="276"/>
      </w:pPr>
      <w:r>
        <w:rPr>
          <w:rFonts w:ascii="Calibri" w:cs="Calibri" w:eastAsia="Calibri" w:hAnsi="Calibri"/>
          <w:sz w:val="21"/>
          <w:szCs w:val="21"/>
        </w:rPr>
        <w:t xml:space="preserve">Las cantidades se expresan de dos formas complementarias: tal como se pipetean en la práctica (lo que permite reproducir el ensayo) y como dosis efectiva por pocillo, que es la magnitud comparable entre muestras. Los ratios DOTAP/pDNA se calculan a partir de las concentraciones facilitadas por la UCM en el correo del 13 de julio, con la corrección del 15 de julio (DOTAP al 1 % en las muestras 2 y 3, no al 4 %).</w:t>
      </w:r>
    </w:p>
    <w:p>
      <w:pPr>
        <w:spacing w:after="80"/>
      </w:pPr>
    </w:p>
    <w:tbl>
      <w:tblPr>
        <w:tblW w:type="dxa" w:w="9020"/>
        <w:tblBorders>
          <w:top w:val="single" w:color="9CC2E5" w:sz="2"/>
          <w:left w:val="single" w:color="2E74B5" w:sz="18"/>
          <w:bottom w:val="single" w:color="9CC2E5" w:sz="2"/>
          <w:right w:val="single" w:color="9CC2E5" w:sz="2"/>
          <w:insideH w:val="none"/>
          <w:insideV w:val="none"/>
        </w:tblBorders>
      </w:tblPr>
      <w:tblGrid>
        <w:gridCol w:w="9020"/>
      </w:tblGrid>
      <w:tr>
        <w:tc>
          <w:tcPr>
            <w:tcW w:type="dxa" w:w="9020"/>
            <w:shd w:fill="EAF1F8" w:color="auto" w:val="clear"/>
            <w:tcMar>
              <w:top w:type="dxa" w:w="120"/>
              <w:left w:type="dxa" w:w="160"/>
              <w:bottom w:type="dxa" w:w="120"/>
              <w:right w:type="dxa" w:w="140"/>
            </w:tcMar>
          </w:tcPr>
          <w:p>
            <w:pPr>
              <w:spacing w:after="0" w:line="264"/>
            </w:pPr>
            <w:r>
              <w:rPr>
                <w:rFonts w:ascii="Calibri" w:cs="Calibri" w:eastAsia="Calibri" w:hAnsi="Calibri"/>
                <w:b/>
                <w:bCs/>
                <w:color w:val="1F4E79"/>
                <w:sz w:val="20"/>
                <w:szCs w:val="20"/>
              </w:rPr>
              <w:t xml:space="preserve">Comprobación previa: </w:t>
            </w:r>
            <w:r>
              <w:rPr>
                <w:rFonts w:ascii="Calibri" w:cs="Calibri" w:eastAsia="Calibri" w:hAnsi="Calibri"/>
                <w:sz w:val="20"/>
                <w:szCs w:val="20"/>
              </w:rPr>
              <w:t xml:space="preserve">las concentraciones que se dedujeron de nuestras propias anotaciones coinciden con las facilitadas por la UCM — 37 mg/mL de lípido total en la muestra 1 y 10 mg/mL de liposomas en la muestra 5 —, y el DOTAP al 1 % de la muestra 2 reproduce exactamente el ratio 1000:1 indicado en el correo. Los cálculos de este documento parten, por tanto, de datos verificados por partida doble.</w:t>
            </w:r>
          </w:p>
        </w:tc>
      </w:tr>
    </w:tbl>
    <w:p>
      <w:pPr>
        <w:pStyle w:val="Heading1"/>
        <w:pBdr>
          <w:bottom w:val="single" w:color="1F4E79" w:sz="6" w:space="4"/>
        </w:pBdr>
        <w:spacing w:after="160" w:before="360"/>
      </w:pPr>
      <w:r>
        <w:rPr>
          <w:rFonts w:ascii="Calibri" w:cs="Calibri" w:eastAsia="Calibri" w:hAnsi="Calibri"/>
          <w:b/>
          <w:bCs/>
          <w:color w:val="1F4E79"/>
          <w:sz w:val="28"/>
          <w:szCs w:val="28"/>
        </w:rPr>
        <w:t xml:space="preserve">2. Las muestras y el uso que se les ha dado</w:t>
      </w:r>
    </w:p>
    <w:p>
      <w:pPr>
        <w:spacing w:after="120" w:before="0" w:line="276"/>
      </w:pPr>
      <w:r>
        <w:rPr>
          <w:rFonts w:ascii="Calibri" w:cs="Calibri" w:eastAsia="Calibri" w:hAnsi="Calibri"/>
          <w:sz w:val="21"/>
          <w:szCs w:val="21"/>
        </w:rPr>
        <w:t xml:space="preserve">Resumen de las cinco formulaciones recibidas, con los datos de la UCM que se han utilizado para los cálculos:</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900"/>
        <w:gridCol w:w="2400"/>
        <w:gridCol w:w="3320"/>
        <w:gridCol w:w="2400"/>
      </w:tblGrid>
      <w:tr>
        <w:trPr>
          <w:tblHeader/>
        </w:trPr>
        <w:tc>
          <w:tcPr>
            <w:tcW w:type="dxa" w:w="9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Muestra</w:t>
            </w:r>
          </w:p>
        </w:tc>
        <w:tc>
          <w:tcPr>
            <w:tcW w:type="dxa" w:w="24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Formulación</w:t>
            </w:r>
          </w:p>
        </w:tc>
        <w:tc>
          <w:tcPr>
            <w:tcW w:type="dxa" w:w="33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Datos empleados en los cálculos</w:t>
            </w:r>
          </w:p>
        </w:tc>
        <w:tc>
          <w:tcPr>
            <w:tcW w:type="dxa" w:w="24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Uso</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2400"/>
            <w:tcMar>
              <w:top w:type="dxa" w:w="60"/>
              <w:left w:type="dxa" w:w="90"/>
              <w:bottom w:type="dxa" w:w="60"/>
              <w:right w:type="dxa" w:w="90"/>
            </w:tcMar>
          </w:tcPr>
          <w:p>
            <w:pPr>
              <w:spacing w:after="0" w:line="240"/>
              <w:jc w:val="left"/>
            </w:pPr>
            <w:r>
              <w:rPr>
                <w:rFonts w:ascii="Calibri" w:cs="Calibri" w:eastAsia="Calibri" w:hAnsi="Calibri"/>
                <w:sz w:val="19"/>
                <w:szCs w:val="19"/>
              </w:rPr>
              <w:t xml:space="preserve">Microemulsión O/A (fase externa acuosa), DOTAP + DOPE</w:t>
            </w:r>
          </w:p>
        </w:tc>
        <w:tc>
          <w:tcPr>
            <w:tcW w:type="dxa" w:w="3320"/>
            <w:tcMar>
              <w:top w:type="dxa" w:w="60"/>
              <w:left w:type="dxa" w:w="90"/>
              <w:bottom w:type="dxa" w:w="60"/>
              <w:right w:type="dxa" w:w="90"/>
            </w:tcMar>
          </w:tcPr>
          <w:p>
            <w:pPr>
              <w:spacing w:after="0" w:line="240"/>
              <w:jc w:val="left"/>
            </w:pPr>
            <w:r>
              <w:rPr>
                <w:rFonts w:ascii="Calibri" w:cs="Calibri" w:eastAsia="Calibri" w:hAnsi="Calibri"/>
                <w:sz w:val="19"/>
                <w:szCs w:val="19"/>
              </w:rPr>
              <w:t xml:space="preserve">Lípido total 37 mg/mL; DOTAP 3,4 mg/mL; ζ +38 mV; gotícula 32 nm</w:t>
            </w:r>
          </w:p>
        </w:tc>
        <w:tc>
          <w:tcPr>
            <w:tcW w:type="dxa" w:w="2400"/>
            <w:tcMar>
              <w:top w:type="dxa" w:w="60"/>
              <w:left w:type="dxa" w:w="90"/>
              <w:bottom w:type="dxa" w:w="60"/>
              <w:right w:type="dxa" w:w="90"/>
            </w:tcMar>
          </w:tcPr>
          <w:p>
            <w:pPr>
              <w:spacing w:after="0" w:line="240"/>
              <w:jc w:val="left"/>
            </w:pPr>
            <w:r>
              <w:rPr>
                <w:rFonts w:ascii="Calibri" w:cs="Calibri" w:eastAsia="Calibri" w:hAnsi="Calibri"/>
                <w:sz w:val="19"/>
                <w:szCs w:val="19"/>
              </w:rPr>
              <w:t xml:space="preserve">Ensayada: 12 condiciones</w:t>
            </w:r>
          </w:p>
        </w:tc>
      </w:tr>
      <w:tr>
        <w:tc>
          <w:tcPr>
            <w:tcW w:type="dxa" w:w="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24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Microemulsión A/O (fase externa oleosa) con pDNA encapsulado</w:t>
            </w:r>
          </w:p>
        </w:tc>
        <w:tc>
          <w:tcPr>
            <w:tcW w:type="dxa" w:w="33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pDNA 10 µg/mL; DOTAP 1 % (10 mg/mL); ratio fijo 1000:1; glóbulo ~20 nm</w:t>
            </w:r>
          </w:p>
        </w:tc>
        <w:tc>
          <w:tcPr>
            <w:tcW w:type="dxa" w:w="24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Ensayada: 4 condiciones</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3</w:t>
            </w:r>
          </w:p>
        </w:tc>
        <w:tc>
          <w:tcPr>
            <w:tcW w:type="dxa" w:w="2400"/>
            <w:tcMar>
              <w:top w:type="dxa" w:w="60"/>
              <w:left w:type="dxa" w:w="90"/>
              <w:bottom w:type="dxa" w:w="60"/>
              <w:right w:type="dxa" w:w="90"/>
            </w:tcMar>
          </w:tcPr>
          <w:p>
            <w:pPr>
              <w:spacing w:after="0" w:line="240"/>
              <w:jc w:val="left"/>
            </w:pPr>
            <w:r>
              <w:rPr>
                <w:rFonts w:ascii="Calibri" w:cs="Calibri" w:eastAsia="Calibri" w:hAnsi="Calibri"/>
                <w:sz w:val="19"/>
                <w:szCs w:val="19"/>
              </w:rPr>
              <w:t xml:space="preserve">Microemulsión A/O sin pDNA</w:t>
            </w:r>
          </w:p>
        </w:tc>
        <w:tc>
          <w:tcPr>
            <w:tcW w:type="dxa" w:w="3320"/>
            <w:tcMar>
              <w:top w:type="dxa" w:w="60"/>
              <w:left w:type="dxa" w:w="90"/>
              <w:bottom w:type="dxa" w:w="60"/>
              <w:right w:type="dxa" w:w="90"/>
            </w:tcMar>
          </w:tcPr>
          <w:p>
            <w:pPr>
              <w:spacing w:after="0" w:line="240"/>
              <w:jc w:val="left"/>
            </w:pPr>
            <w:r>
              <w:rPr>
                <w:rFonts w:ascii="Calibri" w:cs="Calibri" w:eastAsia="Calibri" w:hAnsi="Calibri"/>
                <w:sz w:val="19"/>
                <w:szCs w:val="19"/>
              </w:rPr>
              <w:t xml:space="preserve">DOTAP 1 %, igual que la muestra 2</w:t>
            </w:r>
          </w:p>
        </w:tc>
        <w:tc>
          <w:tcPr>
            <w:tcW w:type="dxa" w:w="2400"/>
            <w:tcMar>
              <w:top w:type="dxa" w:w="60"/>
              <w:left w:type="dxa" w:w="90"/>
              <w:bottom w:type="dxa" w:w="60"/>
              <w:right w:type="dxa" w:w="90"/>
            </w:tcMar>
          </w:tcPr>
          <w:p>
            <w:pPr>
              <w:spacing w:after="0" w:line="240"/>
              <w:jc w:val="left"/>
            </w:pPr>
            <w:r>
              <w:rPr>
                <w:rFonts w:ascii="Calibri" w:cs="Calibri" w:eastAsia="Calibri" w:hAnsi="Calibri"/>
                <w:sz w:val="19"/>
                <w:szCs w:val="19"/>
              </w:rPr>
              <w:t xml:space="preserve">No utilizada</w:t>
            </w:r>
          </w:p>
        </w:tc>
      </w:tr>
      <w:tr>
        <w:tc>
          <w:tcPr>
            <w:tcW w:type="dxa" w:w="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24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Liposomas catiónicos DOTAP + DOPE, liofilizados, trehalosa 10 %</w:t>
            </w:r>
          </w:p>
        </w:tc>
        <w:tc>
          <w:tcPr>
            <w:tcW w:type="dxa" w:w="33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µg de DOTAP por liofilizado; tamaño ~150 nm</w:t>
            </w:r>
          </w:p>
        </w:tc>
        <w:tc>
          <w:tcPr>
            <w:tcW w:type="dxa" w:w="24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Ensayada: 1 condición (datos incompletos, ver apartado 8)</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w:t>
            </w:r>
          </w:p>
        </w:tc>
        <w:tc>
          <w:tcPr>
            <w:tcW w:type="dxa" w:w="2400"/>
            <w:tcMar>
              <w:top w:type="dxa" w:w="60"/>
              <w:left w:type="dxa" w:w="90"/>
              <w:bottom w:type="dxa" w:w="60"/>
              <w:right w:type="dxa" w:w="90"/>
            </w:tcMar>
          </w:tcPr>
          <w:p>
            <w:pPr>
              <w:spacing w:after="0" w:line="240"/>
              <w:jc w:val="left"/>
            </w:pPr>
            <w:r>
              <w:rPr>
                <w:rFonts w:ascii="Calibri" w:cs="Calibri" w:eastAsia="Calibri" w:hAnsi="Calibri"/>
                <w:sz w:val="19"/>
                <w:szCs w:val="19"/>
              </w:rPr>
              <w:t xml:space="preserve">Liposomas catiónicos DOTAP + DOPE, sin liofilizar, trehalosa 10 %</w:t>
            </w:r>
          </w:p>
        </w:tc>
        <w:tc>
          <w:tcPr>
            <w:tcW w:type="dxa" w:w="3320"/>
            <w:tcMar>
              <w:top w:type="dxa" w:w="60"/>
              <w:left w:type="dxa" w:w="90"/>
              <w:bottom w:type="dxa" w:w="60"/>
              <w:right w:type="dxa" w:w="90"/>
            </w:tcMar>
          </w:tcPr>
          <w:p>
            <w:pPr>
              <w:spacing w:after="0" w:line="240"/>
              <w:jc w:val="left"/>
            </w:pPr>
            <w:r>
              <w:rPr>
                <w:rFonts w:ascii="Calibri" w:cs="Calibri" w:eastAsia="Calibri" w:hAnsi="Calibri"/>
                <w:sz w:val="19"/>
                <w:szCs w:val="19"/>
              </w:rPr>
              <w:t xml:space="preserve">Liposomas 10 mg/mL; DOTAP 1 mg/mL</w:t>
            </w:r>
          </w:p>
        </w:tc>
        <w:tc>
          <w:tcPr>
            <w:tcW w:type="dxa" w:w="2400"/>
            <w:tcMar>
              <w:top w:type="dxa" w:w="60"/>
              <w:left w:type="dxa" w:w="90"/>
              <w:bottom w:type="dxa" w:w="60"/>
              <w:right w:type="dxa" w:w="90"/>
            </w:tcMar>
          </w:tcPr>
          <w:p>
            <w:pPr>
              <w:spacing w:after="0" w:line="240"/>
              <w:jc w:val="left"/>
            </w:pPr>
            <w:r>
              <w:rPr>
                <w:rFonts w:ascii="Calibri" w:cs="Calibri" w:eastAsia="Calibri" w:hAnsi="Calibri"/>
                <w:sz w:val="19"/>
                <w:szCs w:val="19"/>
              </w:rPr>
              <w:t xml:space="preserve">Ensayada: 6 condiciones</w:t>
            </w:r>
          </w:p>
        </w:tc>
      </w:tr>
    </w:tbl>
    <w:p>
      <w:pPr>
        <w:spacing w:after="140"/>
      </w:pPr>
    </w:p>
    <w:p>
      <w:pPr>
        <w:spacing w:after="120" w:before="0" w:line="276"/>
      </w:pPr>
      <w:r>
        <w:rPr>
          <w:rFonts w:ascii="Calibri" w:cs="Calibri" w:eastAsia="Calibri" w:hAnsi="Calibri"/>
          <w:b/>
          <w:bCs/>
          <w:sz w:val="21"/>
          <w:szCs w:val="21"/>
        </w:rPr>
        <w:t xml:space="preserve">Nota sobre la terminología. </w:t>
      </w:r>
      <w:r>
        <w:rPr>
          <w:rFonts w:ascii="Calibri" w:cs="Calibri" w:eastAsia="Calibri" w:hAnsi="Calibri"/>
          <w:sz w:val="21"/>
          <w:szCs w:val="21"/>
        </w:rPr>
        <w:t xml:space="preserve">En nuestras anotaciones internas se empleó «ME» como abreviatura genérica para todas las muestras. En este documento cada una se nombra según su naturaleza real: microemulsión en las muestras 1 a 3 y liposomas catiónicos en las muestras 4 y 5.</w:t>
      </w:r>
    </w:p>
    <w:p>
      <w:pPr>
        <w:pStyle w:val="Heading1"/>
        <w:pBdr>
          <w:bottom w:val="single" w:color="1F4E79" w:sz="6" w:space="4"/>
        </w:pBdr>
        <w:spacing w:after="160" w:before="360"/>
      </w:pPr>
      <w:r>
        <w:rPr>
          <w:rFonts w:ascii="Calibri" w:cs="Calibri" w:eastAsia="Calibri" w:hAnsi="Calibri"/>
          <w:b/>
          <w:bCs/>
          <w:color w:val="1F4E79"/>
          <w:sz w:val="28"/>
          <w:szCs w:val="28"/>
        </w:rPr>
        <w:t xml:space="preserve">3. Datos comunes y forma de leer las tablas</w:t>
      </w:r>
    </w:p>
    <w:p>
      <w:pPr>
        <w:pStyle w:val="ListParagraph"/>
        <w:numPr>
          <w:ilvl w:val="0"/>
          <w:numId w:val="2"/>
        </w:numPr>
        <w:spacing w:after="70" w:line="276"/>
      </w:pPr>
      <w:r>
        <w:rPr>
          <w:rFonts w:ascii="Calibri" w:cs="Calibri" w:eastAsia="Calibri" w:hAnsi="Calibri"/>
          <w:b/>
          <w:bCs/>
          <w:sz w:val="21"/>
          <w:szCs w:val="21"/>
        </w:rPr>
        <w:t xml:space="preserve">Plásmido. </w:t>
      </w:r>
      <w:r>
        <w:rPr>
          <w:rFonts w:ascii="Calibri" w:cs="Calibri" w:eastAsia="Calibri" w:hAnsi="Calibri"/>
          <w:sz w:val="21"/>
          <w:szCs w:val="21"/>
        </w:rPr>
        <w:t xml:space="preserve">Stock propio a 583 ng/µl, el mismo en todas las condiciones. La muestra 2 es la excepción: el pDNA ya viene incorporado en la formulación y no se le añade ninguno.</w:t>
      </w:r>
    </w:p>
    <w:p>
      <w:pPr>
        <w:pStyle w:val="ListParagraph"/>
        <w:numPr>
          <w:ilvl w:val="0"/>
          <w:numId w:val="2"/>
        </w:numPr>
        <w:spacing w:after="70" w:line="276"/>
      </w:pPr>
      <w:r>
        <w:rPr>
          <w:rFonts w:ascii="Calibri" w:cs="Calibri" w:eastAsia="Calibri" w:hAnsi="Calibri"/>
          <w:b/>
          <w:bCs/>
          <w:sz w:val="21"/>
          <w:szCs w:val="21"/>
        </w:rPr>
        <w:t xml:space="preserve">Medio de dilución. </w:t>
      </w:r>
      <w:r>
        <w:rPr>
          <w:rFonts w:ascii="Calibri" w:cs="Calibri" w:eastAsia="Calibri" w:hAnsi="Calibri"/>
          <w:sz w:val="21"/>
          <w:szCs w:val="21"/>
        </w:rPr>
        <w:t xml:space="preserve">DMEM sin FBS en todos los casos en los que se forma complejo (muestras 1, 4 y 5) y en el control positivo.</w:t>
      </w:r>
    </w:p>
    <w:p>
      <w:pPr>
        <w:pStyle w:val="ListParagraph"/>
        <w:numPr>
          <w:ilvl w:val="0"/>
          <w:numId w:val="2"/>
        </w:numPr>
        <w:spacing w:after="70" w:line="276"/>
      </w:pPr>
      <w:r>
        <w:rPr>
          <w:rFonts w:ascii="Calibri" w:cs="Calibri" w:eastAsia="Calibri" w:hAnsi="Calibri"/>
          <w:b/>
          <w:bCs/>
          <w:sz w:val="21"/>
          <w:szCs w:val="21"/>
        </w:rPr>
        <w:t xml:space="preserve">Réplicas. </w:t>
      </w:r>
      <w:r>
        <w:rPr>
          <w:rFonts w:ascii="Calibri" w:cs="Calibri" w:eastAsia="Calibri" w:hAnsi="Calibri"/>
          <w:sz w:val="21"/>
          <w:szCs w:val="21"/>
        </w:rPr>
        <w:t xml:space="preserve">Las mezclas de las muestras 1 y 5 se preparan para 4 réplicas: se hace un volumen único de 40 µl y se reparten 10 µl a cada uno de los 4 pocillos.</w:t>
      </w:r>
    </w:p>
    <w:p>
      <w:pPr>
        <w:pStyle w:val="ListParagraph"/>
        <w:numPr>
          <w:ilvl w:val="0"/>
          <w:numId w:val="2"/>
        </w:numPr>
        <w:spacing w:after="70" w:line="276"/>
      </w:pPr>
      <w:r>
        <w:rPr>
          <w:rFonts w:ascii="Calibri" w:cs="Calibri" w:eastAsia="Calibri" w:hAnsi="Calibri"/>
          <w:b/>
          <w:bCs/>
          <w:sz w:val="21"/>
          <w:szCs w:val="21"/>
        </w:rPr>
        <w:t xml:space="preserve">Dosis por pocillo. </w:t>
      </w:r>
      <w:r>
        <w:rPr>
          <w:rFonts w:ascii="Calibri" w:cs="Calibri" w:eastAsia="Calibri" w:hAnsi="Calibri"/>
          <w:sz w:val="21"/>
          <w:szCs w:val="21"/>
        </w:rPr>
        <w:t xml:space="preserve">Es, por tanto, la cuarta parte de lo pipeteado. Las condiciones se nombran siempre por lo que recibe cada pocillo, no por lo que hay en el eppendorf.</w:t>
      </w:r>
    </w:p>
    <w:p>
      <w:pPr>
        <w:pStyle w:val="ListParagraph"/>
        <w:numPr>
          <w:ilvl w:val="0"/>
          <w:numId w:val="2"/>
        </w:numPr>
        <w:spacing w:after="70" w:line="276"/>
      </w:pPr>
      <w:r>
        <w:rPr>
          <w:rFonts w:ascii="Calibri" w:cs="Calibri" w:eastAsia="Calibri" w:hAnsi="Calibri"/>
          <w:b/>
          <w:bCs/>
          <w:sz w:val="21"/>
          <w:szCs w:val="21"/>
        </w:rPr>
        <w:t xml:space="preserve">Ratio DOTAP/pDNA. </w:t>
      </w:r>
      <w:r>
        <w:rPr>
          <w:rFonts w:ascii="Calibri" w:cs="Calibri" w:eastAsia="Calibri" w:hAnsi="Calibri"/>
          <w:sz w:val="21"/>
          <w:szCs w:val="21"/>
        </w:rPr>
        <w:t xml:space="preserve">Calculado en masa/masa a partir del contenido en DOTAP que indica la UCM para cada formulación, para poder compararlo directamente con los ratios que ellas han caracterizado.</w:t>
      </w:r>
    </w:p>
    <w:p>
      <w:pPr>
        <w:pStyle w:val="Heading1"/>
        <w:pBdr>
          <w:bottom w:val="single" w:color="1F4E79" w:sz="6" w:space="4"/>
        </w:pBdr>
        <w:spacing w:after="160" w:before="360"/>
      </w:pPr>
      <w:r>
        <w:rPr>
          <w:rFonts w:ascii="Calibri" w:cs="Calibri" w:eastAsia="Calibri" w:hAnsi="Calibri"/>
          <w:b/>
          <w:bCs/>
          <w:color w:val="1F4E79"/>
          <w:sz w:val="28"/>
          <w:szCs w:val="28"/>
        </w:rPr>
        <w:t xml:space="preserve">4. Procedimiento de formación de complejos (muestras 1 y 5)</w:t>
      </w:r>
    </w:p>
    <w:p>
      <w:pPr>
        <w:spacing w:after="120" w:before="0" w:line="276"/>
      </w:pPr>
      <w:r>
        <w:rPr>
          <w:rFonts w:ascii="Calibri" w:cs="Calibri" w:eastAsia="Calibri" w:hAnsi="Calibri"/>
          <w:sz w:val="21"/>
          <w:szCs w:val="21"/>
        </w:rPr>
        <w:t xml:space="preserve">Ambas muestras se han tratado con el mismo esquema; solo cambian las cantidades:</w:t>
      </w:r>
    </w:p>
    <w:p>
      <w:pPr>
        <w:pStyle w:val="ListParagraph"/>
        <w:numPr>
          <w:ilvl w:val="0"/>
          <w:numId w:val="3"/>
        </w:numPr>
        <w:spacing w:after="90" w:line="276"/>
      </w:pPr>
      <w:r>
        <w:rPr>
          <w:rFonts w:ascii="Calibri" w:cs="Calibri" w:eastAsia="Calibri" w:hAnsi="Calibri"/>
          <w:sz w:val="21"/>
          <w:szCs w:val="21"/>
        </w:rPr>
        <w:t xml:space="preserve">Eppendorf A: la muestra (microemulsión o liposomas) diluida en DMEM sin FBS hasta 20 µl.</w:t>
      </w:r>
    </w:p>
    <w:p>
      <w:pPr>
        <w:pStyle w:val="ListParagraph"/>
        <w:numPr>
          <w:ilvl w:val="0"/>
          <w:numId w:val="3"/>
        </w:numPr>
        <w:spacing w:after="90" w:line="276"/>
      </w:pPr>
      <w:r>
        <w:rPr>
          <w:rFonts w:ascii="Calibri" w:cs="Calibri" w:eastAsia="Calibri" w:hAnsi="Calibri"/>
          <w:sz w:val="21"/>
          <w:szCs w:val="21"/>
        </w:rPr>
        <w:t xml:space="preserve">Eppendorf B: el pDNA diluido en DMEM sin FBS hasta 20 µl.</w:t>
      </w:r>
    </w:p>
    <w:p>
      <w:pPr>
        <w:pStyle w:val="ListParagraph"/>
        <w:numPr>
          <w:ilvl w:val="0"/>
          <w:numId w:val="3"/>
        </w:numPr>
        <w:spacing w:after="90" w:line="276"/>
      </w:pPr>
      <w:r>
        <w:rPr>
          <w:rFonts w:ascii="Calibri" w:cs="Calibri" w:eastAsia="Calibri" w:hAnsi="Calibri"/>
          <w:sz w:val="21"/>
          <w:szCs w:val="21"/>
        </w:rPr>
        <w:t xml:space="preserve">Se añade A sobre B. Volumen final del complejo: 40 µl.</w:t>
      </w:r>
    </w:p>
    <w:p>
      <w:pPr>
        <w:pStyle w:val="ListParagraph"/>
        <w:numPr>
          <w:ilvl w:val="0"/>
          <w:numId w:val="3"/>
        </w:numPr>
        <w:spacing w:after="90" w:line="276"/>
      </w:pPr>
      <w:r>
        <w:rPr>
          <w:rFonts w:ascii="Calibri" w:cs="Calibri" w:eastAsia="Calibri" w:hAnsi="Calibri"/>
          <w:sz w:val="21"/>
          <w:szCs w:val="21"/>
        </w:rPr>
        <w:t xml:space="preserve">15 minutos en balanceo suave a temperatura ambiente.</w:t>
      </w:r>
    </w:p>
    <w:p>
      <w:pPr>
        <w:pStyle w:val="ListParagraph"/>
        <w:numPr>
          <w:ilvl w:val="0"/>
          <w:numId w:val="3"/>
        </w:numPr>
        <w:spacing w:after="90" w:line="276"/>
      </w:pPr>
      <w:r>
        <w:rPr>
          <w:rFonts w:ascii="Calibri" w:cs="Calibri" w:eastAsia="Calibri" w:hAnsi="Calibri"/>
          <w:sz w:val="21"/>
          <w:szCs w:val="21"/>
        </w:rPr>
        <w:t xml:space="preserve">10 µl del complejo a cada uno de los 4 pocillos.</w:t>
      </w:r>
    </w:p>
    <w:p>
      <w:pPr>
        <w:spacing w:after="60"/>
      </w:pPr>
    </w:p>
    <w:tbl>
      <w:tblPr>
        <w:tblW w:type="dxa" w:w="9020"/>
        <w:tblBorders>
          <w:top w:val="single" w:color="9CC2E5" w:sz="2"/>
          <w:left w:val="single" w:color="2E74B5" w:sz="18"/>
          <w:bottom w:val="single" w:color="9CC2E5" w:sz="2"/>
          <w:right w:val="single" w:color="9CC2E5" w:sz="2"/>
          <w:insideH w:val="none"/>
          <w:insideV w:val="none"/>
        </w:tblBorders>
      </w:tblPr>
      <w:tblGrid>
        <w:gridCol w:w="9020"/>
      </w:tblGrid>
      <w:tr>
        <w:tc>
          <w:tcPr>
            <w:tcW w:type="dxa" w:w="9020"/>
            <w:shd w:fill="EAF1F8" w:color="auto" w:val="clear"/>
            <w:tcMar>
              <w:top w:type="dxa" w:w="120"/>
              <w:left w:type="dxa" w:w="160"/>
              <w:bottom w:type="dxa" w:w="120"/>
              <w:right w:type="dxa" w:w="140"/>
            </w:tcMar>
          </w:tcPr>
          <w:p>
            <w:pPr>
              <w:spacing w:after="0" w:line="264"/>
            </w:pPr>
            <w:r>
              <w:rPr>
                <w:rFonts w:ascii="Calibri" w:cs="Calibri" w:eastAsia="Calibri" w:hAnsi="Calibri"/>
                <w:b/>
                <w:bCs/>
                <w:color w:val="1F4E79"/>
                <w:sz w:val="20"/>
                <w:szCs w:val="20"/>
              </w:rPr>
              <w:t xml:space="preserve">Desviación respecto a vuestro protocolo: </w:t>
            </w:r>
            <w:r>
              <w:rPr>
                <w:rFonts w:ascii="Calibri" w:cs="Calibri" w:eastAsia="Calibri" w:hAnsi="Calibri"/>
                <w:sz w:val="20"/>
                <w:szCs w:val="20"/>
              </w:rPr>
              <w:t xml:space="preserve">el tiempo de balanceo empleado ha sido de 15 minutos, frente a los 20 minutos que indicáis para las muestras 3, 4 y 5. Se detalla en el apartado 12.</w:t>
            </w:r>
          </w:p>
        </w:tc>
      </w:tr>
    </w:tbl>
    <w:p>
      <w:pPr>
        <w:pStyle w:val="Heading1"/>
        <w:pBdr>
          <w:bottom w:val="single" w:color="1F4E79" w:sz="6" w:space="4"/>
        </w:pBdr>
        <w:spacing w:after="160" w:before="360"/>
      </w:pPr>
      <w:r>
        <w:rPr>
          <w:rFonts w:ascii="Calibri" w:cs="Calibri" w:eastAsia="Calibri" w:hAnsi="Calibri"/>
          <w:b/>
          <w:bCs/>
          <w:color w:val="1F4E79"/>
          <w:sz w:val="28"/>
          <w:szCs w:val="28"/>
        </w:rPr>
        <w:t xml:space="preserve">5. Muestra 1 — Microemulsión O/A</w:t>
      </w:r>
    </w:p>
    <w:p>
      <w:pPr>
        <w:spacing w:after="120" w:before="0" w:line="276"/>
      </w:pPr>
      <w:r>
        <w:rPr>
          <w:rFonts w:ascii="Calibri" w:cs="Calibri" w:eastAsia="Calibri" w:hAnsi="Calibri"/>
          <w:sz w:val="21"/>
          <w:szCs w:val="21"/>
        </w:rPr>
        <w:t xml:space="preserve">Se han ensayado 6 volúmenes de microemulsión cruzados con 2 cantidades de pDNA, es decir, 12 condiciones por cuadruplicado.</w:t>
      </w:r>
    </w:p>
    <w:p>
      <w:pPr>
        <w:pStyle w:val="Heading2"/>
        <w:spacing w:after="100" w:before="240"/>
      </w:pPr>
      <w:r>
        <w:rPr>
          <w:rFonts w:ascii="Calibri" w:cs="Calibri" w:eastAsia="Calibri" w:hAnsi="Calibri"/>
          <w:b/>
          <w:bCs/>
          <w:color w:val="2E74B5"/>
          <w:sz w:val="23"/>
          <w:szCs w:val="23"/>
        </w:rPr>
        <w:t xml:space="preserve">5.1. Pipeteo (volúmenes en µl, para 4 réplicas)</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2620"/>
        <w:gridCol w:w="1800"/>
        <w:gridCol w:w="1000"/>
        <w:gridCol w:w="1900"/>
        <w:gridCol w:w="1700"/>
      </w:tblGrid>
      <w:tr>
        <w:trPr>
          <w:tblHeader/>
        </w:trPr>
        <w:tc>
          <w:tcPr>
            <w:tcW w:type="dxa" w:w="26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Condición (por pocillo)</w:t>
            </w:r>
          </w:p>
        </w:tc>
        <w:tc>
          <w:tcPr>
            <w:tcW w:type="dxa" w:w="18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DMEM para la ME</w:t>
            </w:r>
          </w:p>
        </w:tc>
        <w:tc>
          <w:tcPr>
            <w:tcW w:type="dxa" w:w="10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ME</w:t>
            </w:r>
          </w:p>
        </w:tc>
        <w:tc>
          <w:tcPr>
            <w:tcW w:type="dxa" w:w="19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pDNA (583 ng/µl)</w:t>
            </w:r>
          </w:p>
        </w:tc>
        <w:tc>
          <w:tcPr>
            <w:tcW w:type="dxa" w:w="17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DMEM para el pDNA</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0,25 µl + 0,3 µg</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19</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0,5 µl + 0,3 µg</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0,75 µl + 0,3 µg</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17</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3</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1,5 µl + 0,3 µg</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14</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6</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2 µl + 0,3 µg</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12</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8</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2,5 µl + 0,3 µg</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0,25 µl + 0,6 µg</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19</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0,5 µl + 0,6 µg</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0,75 µl + 0,6 µg</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17</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3</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1,5 µl + 0,6 µg</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14</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6</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2 µl + 0,6 µg</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12</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8</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2,5 µl + 0,6 µg</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r>
    </w:tbl>
    <w:p>
      <w:pPr>
        <w:spacing w:after="200"/>
      </w:pPr>
    </w:p>
    <w:p>
      <w:pPr>
        <w:pStyle w:val="Heading2"/>
        <w:spacing w:after="100" w:before="240"/>
      </w:pPr>
      <w:r>
        <w:rPr>
          <w:rFonts w:ascii="Calibri" w:cs="Calibri" w:eastAsia="Calibri" w:hAnsi="Calibri"/>
          <w:b/>
          <w:bCs/>
          <w:color w:val="2E74B5"/>
          <w:sz w:val="23"/>
          <w:szCs w:val="23"/>
        </w:rPr>
        <w:t xml:space="preserve">5.2. Dosis por pocillo y ratio DOTAP/pDNA</w:t>
      </w:r>
    </w:p>
    <w:p>
      <w:pPr>
        <w:spacing w:after="100" w:before="0" w:line="276"/>
      </w:pPr>
      <w:r>
        <w:rPr>
          <w:rFonts w:ascii="Calibri" w:cs="Calibri" w:eastAsia="Calibri" w:hAnsi="Calibri"/>
          <w:i/>
          <w:iCs/>
          <w:sz w:val="19"/>
          <w:szCs w:val="19"/>
        </w:rPr>
        <w:t xml:space="preserve">Calculado con lípido total 37 µg/µl y DOTAP 3,4 µg/µl de microemulsión.</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2020"/>
        <w:gridCol w:w="1000"/>
        <w:gridCol w:w="1700"/>
        <w:gridCol w:w="1500"/>
        <w:gridCol w:w="1400"/>
        <w:gridCol w:w="1400"/>
      </w:tblGrid>
      <w:tr>
        <w:trPr>
          <w:tblHeader/>
        </w:trPr>
        <w:tc>
          <w:tcPr>
            <w:tcW w:type="dxa" w:w="20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Condición</w:t>
            </w:r>
          </w:p>
        </w:tc>
        <w:tc>
          <w:tcPr>
            <w:tcW w:type="dxa" w:w="10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ME (µl)</w:t>
            </w:r>
          </w:p>
        </w:tc>
        <w:tc>
          <w:tcPr>
            <w:tcW w:type="dxa" w:w="17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Lípido total (µg)</w:t>
            </w:r>
          </w:p>
        </w:tc>
        <w:tc>
          <w:tcPr>
            <w:tcW w:type="dxa" w:w="15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DOTAP (µg)</w:t>
            </w:r>
          </w:p>
        </w:tc>
        <w:tc>
          <w:tcPr>
            <w:tcW w:type="dxa" w:w="14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pDNA (ng)</w:t>
            </w:r>
          </w:p>
        </w:tc>
        <w:tc>
          <w:tcPr>
            <w:tcW w:type="dxa" w:w="14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DOTAP/pDNA</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0,25 µl + 0,3 µg</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0,25</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9,25</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0,85</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291,5</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0,5 µl + 0,3 µg</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0,5</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18,5</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1,70</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291,5</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5,8:1</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0,75 µl + 0,3 µg</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0,75</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27,75</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2,55</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291,5</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8,7:1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1,5 µl + 0,3 µg</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1,5</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55,5</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5,10</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291,5</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17,5:1</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2 µl + 0,3 µg</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74</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6,80</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291,5</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23,3:1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2,5 µl + 0,3 µg</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2,5</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92,5</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8,50</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291,5</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29,2:1</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0,25 µl + 0,6 µg</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0,25</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9,25</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0,85</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583</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1,5:1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0,5 µl + 0,6 µg</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0,5</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18,5</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1,70</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583</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2,9:1</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0,75 µl + 0,6 µg</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0,75</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27,75</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2,55</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583</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4,4:1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1,5 µl + 0,6 µg</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1,5</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55,5</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5,10</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583</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8,7:1</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2 µl + 0,6 µg</w:t>
            </w:r>
          </w:p>
        </w:tc>
        <w:tc>
          <w:tcPr>
            <w:tcW w:type="dxa" w:w="10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74</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6,80</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583</w:t>
            </w:r>
          </w:p>
        </w:tc>
        <w:tc>
          <w:tcPr>
            <w:tcW w:type="dxa" w:w="14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11,7:1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2,5 µl + 0,6 µg</w:t>
            </w:r>
          </w:p>
        </w:tc>
        <w:tc>
          <w:tcPr>
            <w:tcW w:type="dxa" w:w="10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2,5</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92,5</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8,50</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583</w:t>
            </w:r>
          </w:p>
        </w:tc>
        <w:tc>
          <w:tcPr>
            <w:tcW w:type="dxa" w:w="14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14,6:1</w:t>
            </w:r>
          </w:p>
        </w:tc>
      </w:tr>
    </w:tbl>
    <w:p>
      <w:pPr>
        <w:spacing w:after="160"/>
      </w:pPr>
    </w:p>
    <w:tbl>
      <w:tblPr>
        <w:tblW w:type="dxa" w:w="9020"/>
        <w:tblBorders>
          <w:top w:val="single" w:color="9CC2E5" w:sz="2"/>
          <w:left w:val="single" w:color="2E74B5" w:sz="18"/>
          <w:bottom w:val="single" w:color="9CC2E5" w:sz="2"/>
          <w:right w:val="single" w:color="9CC2E5" w:sz="2"/>
          <w:insideH w:val="none"/>
          <w:insideV w:val="none"/>
        </w:tblBorders>
      </w:tblPr>
      <w:tblGrid>
        <w:gridCol w:w="9020"/>
      </w:tblGrid>
      <w:tr>
        <w:tc>
          <w:tcPr>
            <w:tcW w:type="dxa" w:w="9020"/>
            <w:shd w:fill="EAF1F8" w:color="auto" w:val="clear"/>
            <w:tcMar>
              <w:top w:type="dxa" w:w="120"/>
              <w:left w:type="dxa" w:w="160"/>
              <w:bottom w:type="dxa" w:w="120"/>
              <w:right w:type="dxa" w:w="140"/>
            </w:tcMar>
          </w:tcPr>
          <w:p>
            <w:pPr>
              <w:spacing w:after="0" w:line="264"/>
            </w:pPr>
            <w:r>
              <w:rPr>
                <w:rFonts w:ascii="Calibri" w:cs="Calibri" w:eastAsia="Calibri" w:hAnsi="Calibri"/>
                <w:b/>
                <w:bCs/>
                <w:color w:val="1F4E79"/>
                <w:sz w:val="20"/>
                <w:szCs w:val="20"/>
              </w:rPr>
              <w:t xml:space="preserve">Correspondencia con vuestros ratios de referencia: </w:t>
            </w:r>
            <w:r>
              <w:rPr>
                <w:rFonts w:ascii="Calibri" w:cs="Calibri" w:eastAsia="Calibri" w:hAnsi="Calibri"/>
                <w:sz w:val="20"/>
                <w:szCs w:val="20"/>
              </w:rPr>
              <w:t xml:space="preserve">la serie de 0,3 µg de pDNA cubre el intervalo que habéis caracterizado por retardo en gel. La condición de 1,5 µl equivale a 17,5:1 (vuestro 17:1) y la de 2,5 µl a 29,2:1 (próxima a vuestro 27:1); vuestro 7:1 queda entre las condiciones de 0,5 µl (5,8:1) y 0,75 µl (8,7:1). La serie de 0,6 µg de pDNA explora deliberadamente por debajo, entre 1,5:1 y 14,6:1.</w:t>
            </w:r>
          </w:p>
        </w:tc>
      </w:tr>
    </w:tbl>
    <w:p>
      <w:pPr>
        <w:pStyle w:val="Heading1"/>
        <w:pBdr>
          <w:bottom w:val="single" w:color="1F4E79" w:sz="6" w:space="4"/>
        </w:pBdr>
        <w:spacing w:after="160" w:before="360"/>
      </w:pPr>
      <w:r>
        <w:rPr>
          <w:rFonts w:ascii="Calibri" w:cs="Calibri" w:eastAsia="Calibri" w:hAnsi="Calibri"/>
          <w:b/>
          <w:bCs/>
          <w:color w:val="1F4E79"/>
          <w:sz w:val="28"/>
          <w:szCs w:val="28"/>
        </w:rPr>
        <w:t xml:space="preserve">6. Muestra 2 — Microemulsión A/O con pDNA encapsulado</w:t>
      </w:r>
    </w:p>
    <w:p>
      <w:pPr>
        <w:spacing w:after="120" w:before="0" w:line="276"/>
      </w:pPr>
      <w:r>
        <w:rPr>
          <w:rFonts w:ascii="Calibri" w:cs="Calibri" w:eastAsia="Calibri" w:hAnsi="Calibri"/>
          <w:sz w:val="21"/>
          <w:szCs w:val="21"/>
        </w:rPr>
        <w:t xml:space="preserve">Al llevar el pDNA ya incorporado en la fase acuosa interna, esta muestra no requiere formación previa de complejo: se ha añadido directamente sobre el medio del pocillo. Lo que se ha variado es el volumen de microemulsión y el volumen de medio en el que queda diluida.</w:t>
      </w:r>
    </w:p>
    <w:p>
      <w:pPr>
        <w:spacing w:after="120" w:before="0" w:line="276"/>
      </w:pPr>
      <w:r>
        <w:rPr>
          <w:rFonts w:ascii="Calibri" w:cs="Calibri" w:eastAsia="Calibri" w:hAnsi="Calibri"/>
          <w:b/>
          <w:bCs/>
          <w:sz w:val="21"/>
          <w:szCs w:val="21"/>
        </w:rPr>
        <w:t xml:space="preserve">Comprobación previa. </w:t>
      </w:r>
      <w:r>
        <w:rPr>
          <w:rFonts w:ascii="Calibri" w:cs="Calibri" w:eastAsia="Calibri" w:hAnsi="Calibri"/>
          <w:sz w:val="21"/>
          <w:szCs w:val="21"/>
        </w:rPr>
        <w:t xml:space="preserve">Antes de nada se verificó que, al añadirla al medio, la microemulsión no quedaba flotando en la superficie por su carácter oleoso.</w:t>
      </w:r>
    </w:p>
    <w:p>
      <w:pPr>
        <w:pStyle w:val="Heading2"/>
        <w:spacing w:after="100" w:before="240"/>
      </w:pPr>
      <w:r>
        <w:rPr>
          <w:rFonts w:ascii="Calibri" w:cs="Calibri" w:eastAsia="Calibri" w:hAnsi="Calibri"/>
          <w:b/>
          <w:bCs/>
          <w:color w:val="2E74B5"/>
          <w:sz w:val="23"/>
          <w:szCs w:val="23"/>
        </w:rPr>
        <w:t xml:space="preserve">6.1. Preparación de los pocillos</w:t>
      </w:r>
    </w:p>
    <w:p>
      <w:pPr>
        <w:spacing w:after="100" w:before="0" w:line="276"/>
      </w:pPr>
      <w:r>
        <w:rPr>
          <w:rFonts w:ascii="Calibri" w:cs="Calibri" w:eastAsia="Calibri" w:hAnsi="Calibri"/>
          <w:sz w:val="21"/>
          <w:szCs w:val="21"/>
        </w:rPr>
        <w:t xml:space="preserve">Partiendo de pocillos con 100 µl de medio, se ajustó el volumen antes de incorporar la muestra. Las condiciones se nombran «µl de microemulsión + µl de medio».</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1900"/>
        <w:gridCol w:w="2700"/>
        <w:gridCol w:w="2100"/>
        <w:gridCol w:w="2320"/>
      </w:tblGrid>
      <w:tr>
        <w:trPr>
          <w:tblHeader/>
        </w:trPr>
        <w:tc>
          <w:tcPr>
            <w:tcW w:type="dxa" w:w="19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Condición</w:t>
            </w:r>
          </w:p>
        </w:tc>
        <w:tc>
          <w:tcPr>
            <w:tcW w:type="dxa" w:w="27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Ajuste del medio</w:t>
            </w:r>
          </w:p>
        </w:tc>
        <w:tc>
          <w:tcPr>
            <w:tcW w:type="dxa" w:w="21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ME añadida</w:t>
            </w:r>
          </w:p>
        </w:tc>
        <w:tc>
          <w:tcPr>
            <w:tcW w:type="dxa" w:w="23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Volumen final</w:t>
            </w:r>
          </w:p>
        </w:tc>
      </w:tr>
      <w:tr>
        <w:tc>
          <w:tcPr>
            <w:tcW w:type="dxa" w:w="1900"/>
            <w:tcMar>
              <w:top w:type="dxa" w:w="60"/>
              <w:left w:type="dxa" w:w="90"/>
              <w:bottom w:type="dxa" w:w="60"/>
              <w:right w:type="dxa" w:w="90"/>
            </w:tcMar>
          </w:tcPr>
          <w:p>
            <w:pPr>
              <w:spacing w:after="0" w:line="240"/>
              <w:jc w:val="left"/>
            </w:pPr>
            <w:r>
              <w:rPr>
                <w:rFonts w:ascii="Calibri" w:cs="Calibri" w:eastAsia="Calibri" w:hAnsi="Calibri"/>
                <w:sz w:val="19"/>
                <w:szCs w:val="19"/>
              </w:rPr>
              <w:t xml:space="preserve">100 + 100</w:t>
            </w:r>
          </w:p>
        </w:tc>
        <w:tc>
          <w:tcPr>
            <w:tcW w:type="dxa" w:w="2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No se retira nada</w:t>
            </w:r>
          </w:p>
        </w:tc>
        <w:tc>
          <w:tcPr>
            <w:tcW w:type="dxa" w:w="21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 µl</w:t>
            </w:r>
          </w:p>
        </w:tc>
        <w:tc>
          <w:tcPr>
            <w:tcW w:type="dxa" w:w="2320"/>
            <w:tcMar>
              <w:top w:type="dxa" w:w="60"/>
              <w:left w:type="dxa" w:w="90"/>
              <w:bottom w:type="dxa" w:w="60"/>
              <w:right w:type="dxa" w:w="90"/>
            </w:tcMar>
          </w:tcPr>
          <w:p>
            <w:pPr>
              <w:spacing w:after="0" w:line="240"/>
              <w:jc w:val="center"/>
            </w:pPr>
            <w:r>
              <w:rPr>
                <w:rFonts w:ascii="Calibri" w:cs="Calibri" w:eastAsia="Calibri" w:hAnsi="Calibri"/>
                <w:sz w:val="19"/>
                <w:szCs w:val="19"/>
              </w:rPr>
              <w:t xml:space="preserve">200 µl</w:t>
            </w:r>
          </w:p>
        </w:tc>
      </w:tr>
      <w:tr>
        <w:tc>
          <w:tcPr>
            <w:tcW w:type="dxa" w:w="19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50 + 50</w:t>
            </w:r>
          </w:p>
        </w:tc>
        <w:tc>
          <w:tcPr>
            <w:tcW w:type="dxa" w:w="2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Retirar 50 µl</w:t>
            </w:r>
          </w:p>
        </w:tc>
        <w:tc>
          <w:tcPr>
            <w:tcW w:type="dxa" w:w="21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50 µl</w:t>
            </w:r>
          </w:p>
        </w:tc>
        <w:tc>
          <w:tcPr>
            <w:tcW w:type="dxa" w:w="232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 µl</w:t>
            </w:r>
          </w:p>
        </w:tc>
      </w:tr>
      <w:tr>
        <w:tc>
          <w:tcPr>
            <w:tcW w:type="dxa" w:w="1900"/>
            <w:tcMar>
              <w:top w:type="dxa" w:w="60"/>
              <w:left w:type="dxa" w:w="90"/>
              <w:bottom w:type="dxa" w:w="60"/>
              <w:right w:type="dxa" w:w="90"/>
            </w:tcMar>
          </w:tcPr>
          <w:p>
            <w:pPr>
              <w:spacing w:after="0" w:line="240"/>
              <w:jc w:val="left"/>
            </w:pPr>
            <w:r>
              <w:rPr>
                <w:rFonts w:ascii="Calibri" w:cs="Calibri" w:eastAsia="Calibri" w:hAnsi="Calibri"/>
                <w:sz w:val="19"/>
                <w:szCs w:val="19"/>
              </w:rPr>
              <w:t xml:space="preserve">50 + 150</w:t>
            </w:r>
          </w:p>
        </w:tc>
        <w:tc>
          <w:tcPr>
            <w:tcW w:type="dxa" w:w="2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Añadir 50 µl</w:t>
            </w:r>
          </w:p>
        </w:tc>
        <w:tc>
          <w:tcPr>
            <w:tcW w:type="dxa" w:w="21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50 µl</w:t>
            </w:r>
          </w:p>
        </w:tc>
        <w:tc>
          <w:tcPr>
            <w:tcW w:type="dxa" w:w="2320"/>
            <w:tcMar>
              <w:top w:type="dxa" w:w="60"/>
              <w:left w:type="dxa" w:w="90"/>
              <w:bottom w:type="dxa" w:w="60"/>
              <w:right w:type="dxa" w:w="90"/>
            </w:tcMar>
          </w:tcPr>
          <w:p>
            <w:pPr>
              <w:spacing w:after="0" w:line="240"/>
              <w:jc w:val="center"/>
            </w:pPr>
            <w:r>
              <w:rPr>
                <w:rFonts w:ascii="Calibri" w:cs="Calibri" w:eastAsia="Calibri" w:hAnsi="Calibri"/>
                <w:sz w:val="19"/>
                <w:szCs w:val="19"/>
              </w:rPr>
              <w:t xml:space="preserve">200 µl</w:t>
            </w:r>
          </w:p>
        </w:tc>
      </w:tr>
      <w:tr>
        <w:tc>
          <w:tcPr>
            <w:tcW w:type="dxa" w:w="19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25 + 75</w:t>
            </w:r>
          </w:p>
        </w:tc>
        <w:tc>
          <w:tcPr>
            <w:tcW w:type="dxa" w:w="2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Retirar 25 µl</w:t>
            </w:r>
          </w:p>
        </w:tc>
        <w:tc>
          <w:tcPr>
            <w:tcW w:type="dxa" w:w="21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25 µl</w:t>
            </w:r>
          </w:p>
        </w:tc>
        <w:tc>
          <w:tcPr>
            <w:tcW w:type="dxa" w:w="232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 µl</w:t>
            </w:r>
          </w:p>
        </w:tc>
      </w:tr>
    </w:tbl>
    <w:p>
      <w:pPr>
        <w:spacing w:after="200"/>
      </w:pPr>
    </w:p>
    <w:p>
      <w:pPr>
        <w:pStyle w:val="Heading2"/>
        <w:spacing w:after="100" w:before="240"/>
      </w:pPr>
      <w:r>
        <w:rPr>
          <w:rFonts w:ascii="Calibri" w:cs="Calibri" w:eastAsia="Calibri" w:hAnsi="Calibri"/>
          <w:b/>
          <w:bCs/>
          <w:color w:val="2E74B5"/>
          <w:sz w:val="23"/>
          <w:szCs w:val="23"/>
        </w:rPr>
        <w:t xml:space="preserve">6.2. Dosis por pocillo</w:t>
      </w:r>
    </w:p>
    <w:p>
      <w:pPr>
        <w:spacing w:after="100" w:before="0" w:line="276"/>
      </w:pPr>
      <w:r>
        <w:rPr>
          <w:rFonts w:ascii="Calibri" w:cs="Calibri" w:eastAsia="Calibri" w:hAnsi="Calibri"/>
          <w:i/>
          <w:iCs/>
          <w:sz w:val="19"/>
          <w:szCs w:val="19"/>
        </w:rPr>
        <w:t xml:space="preserve">Calculado con pDNA 10 µg/mL y DOTAP al 1 % (10 µg/µl).</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1900"/>
        <w:gridCol w:w="1600"/>
        <w:gridCol w:w="1800"/>
        <w:gridCol w:w="1800"/>
        <w:gridCol w:w="1920"/>
      </w:tblGrid>
      <w:tr>
        <w:trPr>
          <w:tblHeader/>
        </w:trPr>
        <w:tc>
          <w:tcPr>
            <w:tcW w:type="dxa" w:w="19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Condición</w:t>
            </w:r>
          </w:p>
        </w:tc>
        <w:tc>
          <w:tcPr>
            <w:tcW w:type="dxa" w:w="16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ME (µl)</w:t>
            </w:r>
          </w:p>
        </w:tc>
        <w:tc>
          <w:tcPr>
            <w:tcW w:type="dxa" w:w="18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pDNA (µg)</w:t>
            </w:r>
          </w:p>
        </w:tc>
        <w:tc>
          <w:tcPr>
            <w:tcW w:type="dxa" w:w="18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DOTAP (µg)</w:t>
            </w:r>
          </w:p>
        </w:tc>
        <w:tc>
          <w:tcPr>
            <w:tcW w:type="dxa" w:w="19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DOTAP/pDNA</w:t>
            </w:r>
          </w:p>
        </w:tc>
      </w:tr>
      <w:tr>
        <w:tc>
          <w:tcPr>
            <w:tcW w:type="dxa" w:w="1900"/>
            <w:tcMar>
              <w:top w:type="dxa" w:w="60"/>
              <w:left w:type="dxa" w:w="90"/>
              <w:bottom w:type="dxa" w:w="60"/>
              <w:right w:type="dxa" w:w="90"/>
            </w:tcMar>
          </w:tcPr>
          <w:p>
            <w:pPr>
              <w:spacing w:after="0" w:line="240"/>
              <w:jc w:val="left"/>
            </w:pPr>
            <w:r>
              <w:rPr>
                <w:rFonts w:ascii="Calibri" w:cs="Calibri" w:eastAsia="Calibri" w:hAnsi="Calibri"/>
                <w:sz w:val="19"/>
                <w:szCs w:val="19"/>
              </w:rPr>
              <w:t xml:space="preserve">100 + 100</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1.000</w:t>
            </w:r>
          </w:p>
        </w:tc>
        <w:tc>
          <w:tcPr>
            <w:tcW w:type="dxa" w:w="192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1000:1</w:t>
            </w:r>
          </w:p>
        </w:tc>
      </w:tr>
      <w:tr>
        <w:tc>
          <w:tcPr>
            <w:tcW w:type="dxa" w:w="19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50 + 50</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50</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0,50</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500</w:t>
            </w:r>
          </w:p>
        </w:tc>
        <w:tc>
          <w:tcPr>
            <w:tcW w:type="dxa" w:w="192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1000:1</w:t>
            </w:r>
          </w:p>
        </w:tc>
      </w:tr>
      <w:tr>
        <w:tc>
          <w:tcPr>
            <w:tcW w:type="dxa" w:w="1900"/>
            <w:tcMar>
              <w:top w:type="dxa" w:w="60"/>
              <w:left w:type="dxa" w:w="90"/>
              <w:bottom w:type="dxa" w:w="60"/>
              <w:right w:type="dxa" w:w="90"/>
            </w:tcMar>
          </w:tcPr>
          <w:p>
            <w:pPr>
              <w:spacing w:after="0" w:line="240"/>
              <w:jc w:val="left"/>
            </w:pPr>
            <w:r>
              <w:rPr>
                <w:rFonts w:ascii="Calibri" w:cs="Calibri" w:eastAsia="Calibri" w:hAnsi="Calibri"/>
                <w:sz w:val="19"/>
                <w:szCs w:val="19"/>
              </w:rPr>
              <w:t xml:space="preserve">50 + 150</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50</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0,50</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500</w:t>
            </w:r>
          </w:p>
        </w:tc>
        <w:tc>
          <w:tcPr>
            <w:tcW w:type="dxa" w:w="192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1000:1</w:t>
            </w:r>
          </w:p>
        </w:tc>
      </w:tr>
      <w:tr>
        <w:tc>
          <w:tcPr>
            <w:tcW w:type="dxa" w:w="19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25 + 75</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25</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0,25</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250</w:t>
            </w:r>
          </w:p>
        </w:tc>
        <w:tc>
          <w:tcPr>
            <w:tcW w:type="dxa" w:w="192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1000:1</w:t>
            </w:r>
          </w:p>
        </w:tc>
      </w:tr>
    </w:tbl>
    <w:p>
      <w:pPr>
        <w:spacing w:after="140"/>
      </w:pPr>
    </w:p>
    <w:p>
      <w:pPr>
        <w:spacing w:after="120" w:before="0" w:line="276"/>
      </w:pPr>
      <w:r>
        <w:rPr>
          <w:rFonts w:ascii="Calibri" w:cs="Calibri" w:eastAsia="Calibri" w:hAnsi="Calibri"/>
          <w:sz w:val="21"/>
          <w:szCs w:val="21"/>
        </w:rPr>
        <w:t xml:space="preserve">El ratio es fijo, al venir determinado por la propia formulación; lo que varía entre condiciones es la dosis absoluta y la dilución. Las parejas 100+100 / 50+50 y 50+150 / 25+75 comparten dilución (1:1 y 1:3 respectivamente) pero difieren en cantidad absoluta, lo que permite separar ambos efectos.</w:t>
      </w:r>
    </w:p>
    <w:p>
      <w:pPr>
        <w:spacing w:after="60"/>
      </w:pPr>
    </w:p>
    <w:tbl>
      <w:tblPr>
        <w:tblW w:type="dxa" w:w="9020"/>
        <w:tblBorders>
          <w:top w:val="single" w:color="9CC2E5" w:sz="2"/>
          <w:left w:val="single" w:color="2E74B5" w:sz="18"/>
          <w:bottom w:val="single" w:color="9CC2E5" w:sz="2"/>
          <w:right w:val="single" w:color="9CC2E5" w:sz="2"/>
          <w:insideH w:val="none"/>
          <w:insideV w:val="none"/>
        </w:tblBorders>
      </w:tblPr>
      <w:tblGrid>
        <w:gridCol w:w="9020"/>
      </w:tblGrid>
      <w:tr>
        <w:tc>
          <w:tcPr>
            <w:tcW w:type="dxa" w:w="9020"/>
            <w:shd w:fill="EAF1F8" w:color="auto" w:val="clear"/>
            <w:tcMar>
              <w:top w:type="dxa" w:w="120"/>
              <w:left w:type="dxa" w:w="160"/>
              <w:bottom w:type="dxa" w:w="120"/>
              <w:right w:type="dxa" w:w="140"/>
            </w:tcMar>
          </w:tcPr>
          <w:p>
            <w:pPr>
              <w:spacing w:after="0" w:line="264"/>
            </w:pPr>
            <w:r>
              <w:rPr>
                <w:rFonts w:ascii="Calibri" w:cs="Calibri" w:eastAsia="Calibri" w:hAnsi="Calibri"/>
                <w:b/>
                <w:bCs/>
                <w:color w:val="1F4E79"/>
                <w:sz w:val="20"/>
                <w:szCs w:val="20"/>
              </w:rPr>
              <w:t xml:space="preserve">Observación: </w:t>
            </w:r>
            <w:r>
              <w:rPr>
                <w:rFonts w:ascii="Calibri" w:cs="Calibri" w:eastAsia="Calibri" w:hAnsi="Calibri"/>
                <w:sz w:val="20"/>
                <w:szCs w:val="20"/>
              </w:rPr>
              <w:t xml:space="preserve">la carga de DOTAP por pocillo de esta muestra (250–1.000 µg) es dos o tres órdenes de magnitud superior a la de la muestra 1 (0,85–8,5 µg), consecuencia directa del ratio 1000:1 de la formulación. Lo señalamos porque condiciona la lectura de cualquier resultado de viabilidad.</w:t>
            </w:r>
          </w:p>
        </w:tc>
      </w:tr>
    </w:tbl>
    <w:p>
      <w:pPr>
        <w:pStyle w:val="Heading1"/>
        <w:pBdr>
          <w:bottom w:val="single" w:color="1F4E79" w:sz="6" w:space="4"/>
        </w:pBdr>
        <w:spacing w:after="160" w:before="360"/>
      </w:pPr>
      <w:r>
        <w:rPr>
          <w:rFonts w:ascii="Calibri" w:cs="Calibri" w:eastAsia="Calibri" w:hAnsi="Calibri"/>
          <w:b/>
          <w:bCs/>
          <w:color w:val="1F4E79"/>
          <w:sz w:val="28"/>
          <w:szCs w:val="28"/>
        </w:rPr>
        <w:t xml:space="preserve">7. Muestra 3 — Microemulsión A/O sin pDNA</w:t>
      </w:r>
    </w:p>
    <w:p>
      <w:pPr>
        <w:spacing w:after="120" w:before="0" w:line="276"/>
      </w:pPr>
      <w:r>
        <w:rPr>
          <w:rFonts w:ascii="Calibri" w:cs="Calibri" w:eastAsia="Calibri" w:hAnsi="Calibri"/>
          <w:sz w:val="21"/>
          <w:szCs w:val="21"/>
        </w:rPr>
        <w:t xml:space="preserve">No se ha utilizado en este ensayo; se conserva íntegra.</w:t>
      </w:r>
    </w:p>
    <w:p>
      <w:pPr>
        <w:spacing w:after="120" w:before="0" w:line="276"/>
      </w:pPr>
      <w:r>
        <w:rPr>
          <w:rFonts w:ascii="Calibri" w:cs="Calibri" w:eastAsia="Calibri" w:hAnsi="Calibri"/>
          <w:sz w:val="21"/>
          <w:szCs w:val="21"/>
        </w:rPr>
        <w:t xml:space="preserve">Queda pendiente emplearla como control sin material genético y para ensayar la formación de complejos por interacción electrostática siguiendo el procedimiento que describís (volumen determinado de muestra más la cantidad deseada de pDNA, 20 minutos de balanceo suave).</w:t>
      </w:r>
    </w:p>
    <w:p>
      <w:pPr>
        <w:pStyle w:val="Heading1"/>
        <w:pBdr>
          <w:bottom w:val="single" w:color="1F4E79" w:sz="6" w:space="4"/>
        </w:pBdr>
        <w:spacing w:after="160" w:before="360"/>
      </w:pPr>
      <w:r>
        <w:rPr>
          <w:rFonts w:ascii="Calibri" w:cs="Calibri" w:eastAsia="Calibri" w:hAnsi="Calibri"/>
          <w:b/>
          <w:bCs/>
          <w:color w:val="1F4E79"/>
          <w:sz w:val="28"/>
          <w:szCs w:val="28"/>
        </w:rPr>
        <w:t xml:space="preserve">8. Muestra 4 — Liposomas liofilizados</w:t>
      </w:r>
    </w:p>
    <w:p>
      <w:pPr>
        <w:spacing w:after="120" w:before="0" w:line="276"/>
      </w:pPr>
      <w:r>
        <w:rPr>
          <w:rFonts w:ascii="Calibri" w:cs="Calibri" w:eastAsia="Calibri" w:hAnsi="Calibri"/>
          <w:sz w:val="21"/>
          <w:szCs w:val="21"/>
        </w:rPr>
        <w:t xml:space="preserve">De esta muestra se ensayó una única condición. La anotación de laboratorio recoge que se tomó 1 µl de la mezcla liposomas + pDNA y se llevó a 10 µl de DMEM sin FBS.</w:t>
      </w:r>
    </w:p>
    <w:p>
      <w:pPr>
        <w:spacing w:after="60"/>
      </w:pPr>
    </w:p>
    <w:tbl>
      <w:tblPr>
        <w:tblW w:type="dxa" w:w="9020"/>
        <w:tblBorders>
          <w:top w:val="single" w:color="9CC2E5" w:sz="2"/>
          <w:left w:val="single" w:color="2E74B5" w:sz="18"/>
          <w:bottom w:val="single" w:color="9CC2E5" w:sz="2"/>
          <w:right w:val="single" w:color="9CC2E5" w:sz="2"/>
          <w:insideH w:val="none"/>
          <w:insideV w:val="none"/>
        </w:tblBorders>
      </w:tblPr>
      <w:tblGrid>
        <w:gridCol w:w="9020"/>
      </w:tblGrid>
      <w:tr>
        <w:tc>
          <w:tcPr>
            <w:tcW w:type="dxa" w:w="9020"/>
            <w:shd w:fill="EAF1F8" w:color="auto" w:val="clear"/>
            <w:tcMar>
              <w:top w:type="dxa" w:w="120"/>
              <w:left w:type="dxa" w:w="160"/>
              <w:bottom w:type="dxa" w:w="120"/>
              <w:right w:type="dxa" w:w="140"/>
            </w:tcMar>
          </w:tcPr>
          <w:p>
            <w:pPr>
              <w:spacing w:after="0" w:line="264"/>
            </w:pPr>
            <w:r>
              <w:rPr>
                <w:rFonts w:ascii="Calibri" w:cs="Calibri" w:eastAsia="Calibri" w:hAnsi="Calibri"/>
                <w:b/>
                <w:bCs/>
                <w:color w:val="1F4E79"/>
                <w:sz w:val="20"/>
                <w:szCs w:val="20"/>
              </w:rPr>
              <w:t xml:space="preserve">Información incompleta: </w:t>
            </w:r>
            <w:r>
              <w:rPr>
                <w:rFonts w:ascii="Calibri" w:cs="Calibri" w:eastAsia="Calibri" w:hAnsi="Calibri"/>
                <w:sz w:val="20"/>
                <w:szCs w:val="20"/>
              </w:rPr>
              <w:t xml:space="preserve">no quedó registrado el volumen en el que se resuspendió el liofilizado ni la cantidad de pDNA empleada en esa resuspensión, por lo que no podemos calcular con fiabilidad la dosis por pocillo ni el ratio DOTAP/pDNA de esta condición. Preferimos indicarlo antes que dar una cifra que no podemos sostener. La condición se repetirá dejando constancia de ambos datos.</w:t>
            </w:r>
          </w:p>
        </w:tc>
      </w:tr>
    </w:tbl>
    <w:p>
      <w:pPr>
        <w:pStyle w:val="Heading1"/>
        <w:pBdr>
          <w:bottom w:val="single" w:color="1F4E79" w:sz="6" w:space="4"/>
        </w:pBdr>
        <w:spacing w:after="160" w:before="360"/>
      </w:pPr>
      <w:r>
        <w:rPr>
          <w:rFonts w:ascii="Calibri" w:cs="Calibri" w:eastAsia="Calibri" w:hAnsi="Calibri"/>
          <w:b/>
          <w:bCs/>
          <w:color w:val="1F4E79"/>
          <w:sz w:val="28"/>
          <w:szCs w:val="28"/>
        </w:rPr>
        <w:t xml:space="preserve">9. Muestra 5 — Liposomas sin liofilizar</w:t>
      </w:r>
    </w:p>
    <w:p>
      <w:pPr>
        <w:spacing w:after="120" w:before="0" w:line="276"/>
      </w:pPr>
      <w:r>
        <w:rPr>
          <w:rFonts w:ascii="Calibri" w:cs="Calibri" w:eastAsia="Calibri" w:hAnsi="Calibri"/>
          <w:sz w:val="21"/>
          <w:szCs w:val="21"/>
        </w:rPr>
        <w:t xml:space="preserve">Se han ensayado 2 cantidades de liposomas cruzadas con 3 de pDNA, es decir, 6 condiciones por cuadruplicado. El procedimiento es el del apartado 4.</w:t>
      </w:r>
    </w:p>
    <w:p>
      <w:pPr>
        <w:pStyle w:val="Heading2"/>
        <w:spacing w:after="100" w:before="240"/>
      </w:pPr>
      <w:r>
        <w:rPr>
          <w:rFonts w:ascii="Calibri" w:cs="Calibri" w:eastAsia="Calibri" w:hAnsi="Calibri"/>
          <w:b/>
          <w:bCs/>
          <w:color w:val="2E74B5"/>
          <w:sz w:val="23"/>
          <w:szCs w:val="23"/>
        </w:rPr>
        <w:t xml:space="preserve">9.1. Pipeteo (volúmenes en µl, para 4 réplicas)</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2620"/>
        <w:gridCol w:w="1900"/>
        <w:gridCol w:w="1300"/>
        <w:gridCol w:w="1700"/>
        <w:gridCol w:w="1500"/>
      </w:tblGrid>
      <w:tr>
        <w:trPr>
          <w:tblHeader/>
        </w:trPr>
        <w:tc>
          <w:tcPr>
            <w:tcW w:type="dxa" w:w="26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Condición (por pocillo)</w:t>
            </w:r>
          </w:p>
        </w:tc>
        <w:tc>
          <w:tcPr>
            <w:tcW w:type="dxa" w:w="19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DMEM para liposomas</w:t>
            </w:r>
          </w:p>
        </w:tc>
        <w:tc>
          <w:tcPr>
            <w:tcW w:type="dxa" w:w="13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Liposomas</w:t>
            </w:r>
          </w:p>
        </w:tc>
        <w:tc>
          <w:tcPr>
            <w:tcW w:type="dxa" w:w="17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pDNA (583 ng/µl)</w:t>
            </w:r>
          </w:p>
        </w:tc>
        <w:tc>
          <w:tcPr>
            <w:tcW w:type="dxa" w:w="15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DMEM para el pDNA</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µg + 0,1 µg</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0,7</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19,3</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µg + 0,2 µg</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1,4</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18,6</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20 µg + 0,2 µg</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12</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8</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1,4</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18,6</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20 µg + 0,4 µg</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12</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8</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2,7</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17,3</w:t>
            </w:r>
          </w:p>
        </w:tc>
      </w:tr>
      <w:tr>
        <w:tc>
          <w:tcPr>
            <w:tcW w:type="dxa" w:w="2620"/>
            <w:tcMar>
              <w:top w:type="dxa" w:w="60"/>
              <w:left w:type="dxa" w:w="90"/>
              <w:bottom w:type="dxa" w:w="60"/>
              <w:right w:type="dxa" w:w="90"/>
            </w:tcMar>
          </w:tcPr>
          <w:p>
            <w:pPr>
              <w:spacing w:after="0" w:line="240"/>
              <w:jc w:val="left"/>
            </w:pPr>
            <w:r>
              <w:rPr>
                <w:rFonts w:ascii="Calibri" w:cs="Calibri" w:eastAsia="Calibri" w:hAnsi="Calibri"/>
                <w:sz w:val="19"/>
                <w:szCs w:val="19"/>
              </w:rPr>
              <w:t xml:space="preserve">20 µg + 0,1 µg</w:t>
            </w:r>
          </w:p>
        </w:tc>
        <w:tc>
          <w:tcPr>
            <w:tcW w:type="dxa" w:w="1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12</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8</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0,7</w:t>
            </w:r>
          </w:p>
        </w:tc>
        <w:tc>
          <w:tcPr>
            <w:tcW w:type="dxa" w:w="15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19,3</w:t>
            </w:r>
          </w:p>
        </w:tc>
      </w:tr>
      <w:tr>
        <w:tc>
          <w:tcPr>
            <w:tcW w:type="dxa" w:w="2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µg + 0,4 µg</w:t>
            </w:r>
          </w:p>
        </w:tc>
        <w:tc>
          <w:tcPr>
            <w:tcW w:type="dxa" w:w="1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16</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2,7</w:t>
            </w:r>
          </w:p>
        </w:tc>
        <w:tc>
          <w:tcPr>
            <w:tcW w:type="dxa" w:w="15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17,3</w:t>
            </w:r>
          </w:p>
        </w:tc>
      </w:tr>
    </w:tbl>
    <w:p>
      <w:pPr>
        <w:spacing w:after="200"/>
      </w:pPr>
    </w:p>
    <w:p>
      <w:pPr>
        <w:pStyle w:val="Heading2"/>
        <w:spacing w:after="100" w:before="240"/>
      </w:pPr>
      <w:r>
        <w:rPr>
          <w:rFonts w:ascii="Calibri" w:cs="Calibri" w:eastAsia="Calibri" w:hAnsi="Calibri"/>
          <w:b/>
          <w:bCs/>
          <w:color w:val="2E74B5"/>
          <w:sz w:val="23"/>
          <w:szCs w:val="23"/>
        </w:rPr>
        <w:t xml:space="preserve">9.2. Dosis por pocillo y ratio DOTAP/pDNA</w:t>
      </w:r>
    </w:p>
    <w:p>
      <w:pPr>
        <w:spacing w:after="100" w:before="0" w:line="276"/>
      </w:pPr>
      <w:r>
        <w:rPr>
          <w:rFonts w:ascii="Calibri" w:cs="Calibri" w:eastAsia="Calibri" w:hAnsi="Calibri"/>
          <w:i/>
          <w:iCs/>
          <w:sz w:val="19"/>
          <w:szCs w:val="19"/>
        </w:rPr>
        <w:t xml:space="preserve">Calculado con liposomas 10 µg/µl y DOTAP 1 µg/µl.</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2020"/>
        <w:gridCol w:w="1600"/>
        <w:gridCol w:w="1600"/>
        <w:gridCol w:w="1300"/>
        <w:gridCol w:w="1200"/>
        <w:gridCol w:w="1300"/>
      </w:tblGrid>
      <w:tr>
        <w:trPr>
          <w:tblHeader/>
        </w:trPr>
        <w:tc>
          <w:tcPr>
            <w:tcW w:type="dxa" w:w="20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Condición</w:t>
            </w:r>
          </w:p>
        </w:tc>
        <w:tc>
          <w:tcPr>
            <w:tcW w:type="dxa" w:w="16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Liposomas (µl)</w:t>
            </w:r>
          </w:p>
        </w:tc>
        <w:tc>
          <w:tcPr>
            <w:tcW w:type="dxa" w:w="16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Liposomas (µg)</w:t>
            </w:r>
          </w:p>
        </w:tc>
        <w:tc>
          <w:tcPr>
            <w:tcW w:type="dxa" w:w="13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DOTAP (µg)</w:t>
            </w:r>
          </w:p>
        </w:tc>
        <w:tc>
          <w:tcPr>
            <w:tcW w:type="dxa" w:w="12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pDNA (ng)</w:t>
            </w:r>
          </w:p>
        </w:tc>
        <w:tc>
          <w:tcPr>
            <w:tcW w:type="dxa" w:w="13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DOTAP/pDNA</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µg + 0,1 µg</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2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102</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9,8:1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µg + 0,2 µg</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2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204</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4,9:1</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20 µg + 0,2 µg</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20</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2,0</w:t>
            </w:r>
          </w:p>
        </w:tc>
        <w:tc>
          <w:tcPr>
            <w:tcW w:type="dxa" w:w="12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204</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9,8:1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20 µg + 0,4 µg</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20</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2,0</w:t>
            </w:r>
          </w:p>
        </w:tc>
        <w:tc>
          <w:tcPr>
            <w:tcW w:type="dxa" w:w="12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393,5</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5,1:1</w:t>
            </w:r>
          </w:p>
        </w:tc>
      </w:tr>
      <w:tr>
        <w:tc>
          <w:tcPr>
            <w:tcW w:type="dxa" w:w="2020"/>
            <w:tcMar>
              <w:top w:type="dxa" w:w="60"/>
              <w:left w:type="dxa" w:w="90"/>
              <w:bottom w:type="dxa" w:w="60"/>
              <w:right w:type="dxa" w:w="90"/>
            </w:tcMar>
          </w:tcPr>
          <w:p>
            <w:pPr>
              <w:spacing w:after="0" w:line="240"/>
              <w:jc w:val="left"/>
            </w:pPr>
            <w:r>
              <w:rPr>
                <w:rFonts w:ascii="Calibri" w:cs="Calibri" w:eastAsia="Calibri" w:hAnsi="Calibri"/>
                <w:sz w:val="19"/>
                <w:szCs w:val="19"/>
              </w:rPr>
              <w:t xml:space="preserve">20 µg + 0,1 µg</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20</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2,0</w:t>
            </w:r>
          </w:p>
        </w:tc>
        <w:tc>
          <w:tcPr>
            <w:tcW w:type="dxa" w:w="12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102</w:t>
            </w:r>
          </w:p>
        </w:tc>
        <w:tc>
          <w:tcPr>
            <w:tcW w:type="dxa" w:w="13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19,6:1</w:t>
            </w:r>
          </w:p>
        </w:tc>
      </w:tr>
      <w:tr>
        <w:tc>
          <w:tcPr>
            <w:tcW w:type="dxa" w:w="20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µg + 0,4 µg</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16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w:t>
            </w:r>
          </w:p>
        </w:tc>
        <w:tc>
          <w:tcPr>
            <w:tcW w:type="dxa" w:w="12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393,5</w:t>
            </w:r>
          </w:p>
        </w:tc>
        <w:tc>
          <w:tcPr>
            <w:tcW w:type="dxa" w:w="13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2,5:1</w:t>
            </w:r>
          </w:p>
        </w:tc>
      </w:tr>
    </w:tbl>
    <w:p>
      <w:pPr>
        <w:spacing w:after="160"/>
      </w:pPr>
    </w:p>
    <w:tbl>
      <w:tblPr>
        <w:tblW w:type="dxa" w:w="9020"/>
        <w:tblBorders>
          <w:top w:val="single" w:color="9CC2E5" w:sz="2"/>
          <w:left w:val="single" w:color="2E74B5" w:sz="18"/>
          <w:bottom w:val="single" w:color="9CC2E5" w:sz="2"/>
          <w:right w:val="single" w:color="9CC2E5" w:sz="2"/>
          <w:insideH w:val="none"/>
          <w:insideV w:val="none"/>
        </w:tblBorders>
      </w:tblPr>
      <w:tblGrid>
        <w:gridCol w:w="9020"/>
      </w:tblGrid>
      <w:tr>
        <w:tc>
          <w:tcPr>
            <w:tcW w:type="dxa" w:w="9020"/>
            <w:shd w:fill="EAF1F8" w:color="auto" w:val="clear"/>
            <w:tcMar>
              <w:top w:type="dxa" w:w="120"/>
              <w:left w:type="dxa" w:w="160"/>
              <w:bottom w:type="dxa" w:w="120"/>
              <w:right w:type="dxa" w:w="140"/>
            </w:tcMar>
          </w:tcPr>
          <w:p>
            <w:pPr>
              <w:spacing w:after="0" w:line="264"/>
            </w:pPr>
            <w:r>
              <w:rPr>
                <w:rFonts w:ascii="Calibri" w:cs="Calibri" w:eastAsia="Calibri" w:hAnsi="Calibri"/>
                <w:b/>
                <w:bCs/>
                <w:color w:val="1F4E79"/>
                <w:sz w:val="20"/>
                <w:szCs w:val="20"/>
              </w:rPr>
              <w:t xml:space="preserve">Correspondencia con vuestro ratio de referencia: </w:t>
            </w:r>
            <w:r>
              <w:rPr>
                <w:rFonts w:ascii="Calibri" w:cs="Calibri" w:eastAsia="Calibri" w:hAnsi="Calibri"/>
                <w:sz w:val="20"/>
                <w:szCs w:val="20"/>
              </w:rPr>
              <w:t xml:space="preserve">dos de las seis condiciones (10 µg + 0,1 µg y 20 µg + 0,2 µg) equivalen a 9,8:1, es decir, al 10:1 que habéis evaluado. Las demás lo flanquean: 19,6:1 por encima y 5,1:1, 4,9:1 y 2,5:1 por debajo.</w:t>
            </w:r>
          </w:p>
        </w:tc>
      </w:tr>
    </w:tbl>
    <w:p>
      <w:pPr>
        <w:pStyle w:val="Heading1"/>
        <w:pBdr>
          <w:bottom w:val="single" w:color="1F4E79" w:sz="6" w:space="4"/>
        </w:pBdr>
        <w:spacing w:after="160" w:before="360"/>
      </w:pPr>
      <w:r>
        <w:rPr>
          <w:rFonts w:ascii="Calibri" w:cs="Calibri" w:eastAsia="Calibri" w:hAnsi="Calibri"/>
          <w:b/>
          <w:bCs/>
          <w:color w:val="1F4E79"/>
          <w:sz w:val="28"/>
          <w:szCs w:val="28"/>
        </w:rPr>
        <w:t xml:space="preserve">10. Control positivo</w:t>
      </w:r>
    </w:p>
    <w:p>
      <w:pPr>
        <w:spacing w:after="120" w:before="0" w:line="276"/>
      </w:pPr>
      <w:r>
        <w:rPr>
          <w:rFonts w:ascii="Calibri" w:cs="Calibri" w:eastAsia="Calibri" w:hAnsi="Calibri"/>
          <w:sz w:val="21"/>
          <w:szCs w:val="21"/>
        </w:rPr>
        <w:t xml:space="preserve">Como referencia de transfección se empleó ViaFect:</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3400"/>
        <w:gridCol w:w="5620"/>
      </w:tblGrid>
      <w:tr>
        <w:trPr>
          <w:tblHeader/>
        </w:trPr>
        <w:tc>
          <w:tcPr>
            <w:tcW w:type="dxa" w:w="34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Componente / paso</w:t>
            </w:r>
          </w:p>
        </w:tc>
        <w:tc>
          <w:tcPr>
            <w:tcW w:type="dxa" w:w="56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Cantidad</w:t>
            </w:r>
          </w:p>
        </w:tc>
      </w:tr>
      <w:tr>
        <w:tc>
          <w:tcPr>
            <w:tcW w:type="dxa" w:w="3400"/>
            <w:tcMar>
              <w:top w:type="dxa" w:w="60"/>
              <w:left w:type="dxa" w:w="90"/>
              <w:bottom w:type="dxa" w:w="60"/>
              <w:right w:type="dxa" w:w="90"/>
            </w:tcMar>
          </w:tcPr>
          <w:p>
            <w:pPr>
              <w:spacing w:after="0" w:line="240"/>
              <w:jc w:val="left"/>
            </w:pPr>
            <w:r>
              <w:rPr>
                <w:rFonts w:ascii="Calibri" w:cs="Calibri" w:eastAsia="Calibri" w:hAnsi="Calibri"/>
                <w:sz w:val="19"/>
                <w:szCs w:val="19"/>
              </w:rPr>
              <w:t xml:space="preserve">ViaFect</w:t>
            </w:r>
          </w:p>
        </w:tc>
        <w:tc>
          <w:tcPr>
            <w:tcW w:type="dxa" w:w="5620"/>
            <w:tcMar>
              <w:top w:type="dxa" w:w="60"/>
              <w:left w:type="dxa" w:w="90"/>
              <w:bottom w:type="dxa" w:w="60"/>
              <w:right w:type="dxa" w:w="90"/>
            </w:tcMar>
          </w:tcPr>
          <w:p>
            <w:pPr>
              <w:spacing w:after="0" w:line="240"/>
              <w:jc w:val="left"/>
            </w:pPr>
            <w:r>
              <w:rPr>
                <w:rFonts w:ascii="Calibri" w:cs="Calibri" w:eastAsia="Calibri" w:hAnsi="Calibri"/>
                <w:sz w:val="19"/>
                <w:szCs w:val="19"/>
              </w:rPr>
              <w:t xml:space="preserve">2,4 µl</w:t>
            </w:r>
          </w:p>
        </w:tc>
      </w:tr>
      <w:tr>
        <w:tc>
          <w:tcPr>
            <w:tcW w:type="dxa" w:w="34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pDNA (583 ng/µl)</w:t>
            </w:r>
          </w:p>
        </w:tc>
        <w:tc>
          <w:tcPr>
            <w:tcW w:type="dxa" w:w="5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0,7 µl (≈ 408 ng)</w:t>
            </w:r>
          </w:p>
        </w:tc>
      </w:tr>
      <w:tr>
        <w:tc>
          <w:tcPr>
            <w:tcW w:type="dxa" w:w="3400"/>
            <w:tcMar>
              <w:top w:type="dxa" w:w="60"/>
              <w:left w:type="dxa" w:w="90"/>
              <w:bottom w:type="dxa" w:w="60"/>
              <w:right w:type="dxa" w:w="90"/>
            </w:tcMar>
          </w:tcPr>
          <w:p>
            <w:pPr>
              <w:spacing w:after="0" w:line="240"/>
              <w:jc w:val="left"/>
            </w:pPr>
            <w:r>
              <w:rPr>
                <w:rFonts w:ascii="Calibri" w:cs="Calibri" w:eastAsia="Calibri" w:hAnsi="Calibri"/>
                <w:sz w:val="19"/>
                <w:szCs w:val="19"/>
              </w:rPr>
              <w:t xml:space="preserve">DMEM sin FBS</w:t>
            </w:r>
          </w:p>
        </w:tc>
        <w:tc>
          <w:tcPr>
            <w:tcW w:type="dxa" w:w="5620"/>
            <w:tcMar>
              <w:top w:type="dxa" w:w="60"/>
              <w:left w:type="dxa" w:w="90"/>
              <w:bottom w:type="dxa" w:w="60"/>
              <w:right w:type="dxa" w:w="90"/>
            </w:tcMar>
          </w:tcPr>
          <w:p>
            <w:pPr>
              <w:spacing w:after="0" w:line="240"/>
              <w:jc w:val="left"/>
            </w:pPr>
            <w:r>
              <w:rPr>
                <w:rFonts w:ascii="Calibri" w:cs="Calibri" w:eastAsia="Calibri" w:hAnsi="Calibri"/>
                <w:sz w:val="19"/>
                <w:szCs w:val="19"/>
              </w:rPr>
              <w:t xml:space="preserve">37 µl</w:t>
            </w:r>
          </w:p>
        </w:tc>
      </w:tr>
      <w:tr>
        <w:tc>
          <w:tcPr>
            <w:tcW w:type="dxa" w:w="34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Incubación</w:t>
            </w:r>
          </w:p>
        </w:tc>
        <w:tc>
          <w:tcPr>
            <w:tcW w:type="dxa" w:w="5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10 minutos</w:t>
            </w:r>
          </w:p>
        </w:tc>
      </w:tr>
      <w:tr>
        <w:tc>
          <w:tcPr>
            <w:tcW w:type="dxa" w:w="3400"/>
            <w:tcMar>
              <w:top w:type="dxa" w:w="60"/>
              <w:left w:type="dxa" w:w="90"/>
              <w:bottom w:type="dxa" w:w="60"/>
              <w:right w:type="dxa" w:w="90"/>
            </w:tcMar>
          </w:tcPr>
          <w:p>
            <w:pPr>
              <w:spacing w:after="0" w:line="240"/>
              <w:jc w:val="left"/>
            </w:pPr>
            <w:r>
              <w:rPr>
                <w:rFonts w:ascii="Calibri" w:cs="Calibri" w:eastAsia="Calibri" w:hAnsi="Calibri"/>
                <w:sz w:val="19"/>
                <w:szCs w:val="19"/>
              </w:rPr>
              <w:t xml:space="preserve">Volumen aplicado</w:t>
            </w:r>
          </w:p>
        </w:tc>
        <w:tc>
          <w:tcPr>
            <w:tcW w:type="dxa" w:w="5620"/>
            <w:tcMar>
              <w:top w:type="dxa" w:w="60"/>
              <w:left w:type="dxa" w:w="90"/>
              <w:bottom w:type="dxa" w:w="60"/>
              <w:right w:type="dxa" w:w="90"/>
            </w:tcMar>
          </w:tcPr>
          <w:p>
            <w:pPr>
              <w:spacing w:after="0" w:line="240"/>
              <w:jc w:val="left"/>
            </w:pPr>
            <w:r>
              <w:rPr>
                <w:rFonts w:ascii="Calibri" w:cs="Calibri" w:eastAsia="Calibri" w:hAnsi="Calibri"/>
                <w:sz w:val="19"/>
                <w:szCs w:val="19"/>
              </w:rPr>
              <w:t xml:space="preserve">10 µl por pocillo</w:t>
            </w:r>
          </w:p>
        </w:tc>
      </w:tr>
      <w:tr>
        <w:tc>
          <w:tcPr>
            <w:tcW w:type="dxa" w:w="340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Dosis por pocillo</w:t>
            </w:r>
          </w:p>
        </w:tc>
        <w:tc>
          <w:tcPr>
            <w:tcW w:type="dxa" w:w="5620"/>
            <w:shd w:fill="F2F2F2" w:color="auto" w:val="clear"/>
            <w:tcMar>
              <w:top w:type="dxa" w:w="60"/>
              <w:left w:type="dxa" w:w="90"/>
              <w:bottom w:type="dxa" w:w="60"/>
              <w:right w:type="dxa" w:w="90"/>
            </w:tcMar>
          </w:tcPr>
          <w:p>
            <w:pPr>
              <w:spacing w:after="0" w:line="240"/>
              <w:jc w:val="left"/>
            </w:pPr>
            <w:r>
              <w:rPr>
                <w:rFonts w:ascii="Calibri" w:cs="Calibri" w:eastAsia="Calibri" w:hAnsi="Calibri"/>
                <w:sz w:val="19"/>
                <w:szCs w:val="19"/>
              </w:rPr>
              <w:t xml:space="preserve">≈ 0,6 µl de ViaFect y ≈ 102 ng de pDNA</w:t>
            </w:r>
          </w:p>
        </w:tc>
      </w:tr>
    </w:tbl>
    <w:p>
      <w:pPr>
        <w:spacing w:after="140"/>
      </w:pPr>
    </w:p>
    <w:p>
      <w:pPr>
        <w:spacing w:after="120" w:before="0" w:line="276"/>
      </w:pPr>
      <w:r>
        <w:rPr>
          <w:rFonts w:ascii="Calibri" w:cs="Calibri" w:eastAsia="Calibri" w:hAnsi="Calibri"/>
          <w:sz w:val="21"/>
          <w:szCs w:val="21"/>
        </w:rPr>
        <w:t xml:space="preserve">La dosis de pDNA del control (≈ 0,1 µg por pocillo) coincide con la más baja de la muestra 5, de modo que ambas condiciones son directamente comparables.</w:t>
      </w:r>
    </w:p>
    <w:p>
      <w:pPr>
        <w:pStyle w:val="Heading1"/>
        <w:pBdr>
          <w:bottom w:val="single" w:color="1F4E79" w:sz="6" w:space="4"/>
        </w:pBdr>
        <w:spacing w:after="160" w:before="360"/>
      </w:pPr>
      <w:r>
        <w:rPr>
          <w:rFonts w:ascii="Calibri" w:cs="Calibri" w:eastAsia="Calibri" w:hAnsi="Calibri"/>
          <w:b/>
          <w:bCs/>
          <w:color w:val="1F4E79"/>
          <w:sz w:val="28"/>
          <w:szCs w:val="28"/>
        </w:rPr>
        <w:t xml:space="preserve">11. Resumen de los ratios DOTAP/pDNA ensayados</w:t>
      </w:r>
    </w:p>
    <w:tbl>
      <w:tblPr>
        <w:tblW w:type="dxa" w:w="9020"/>
        <w:tblBorders>
          <w:top w:val="single" w:color="1F4E79" w:sz="4"/>
          <w:left w:val="single" w:color="BFBFBF" w:sz="2"/>
          <w:bottom w:val="single" w:color="1F4E79" w:sz="4"/>
          <w:right w:val="single" w:color="BFBFBF" w:sz="2"/>
          <w:insideH w:val="single" w:color="BFBFBF" w:sz="2"/>
          <w:insideV w:val="single" w:color="BFBFBF" w:sz="2"/>
        </w:tblBorders>
      </w:tblPr>
      <w:tblGrid>
        <w:gridCol w:w="900"/>
        <w:gridCol w:w="1200"/>
        <w:gridCol w:w="1800"/>
        <w:gridCol w:w="1700"/>
        <w:gridCol w:w="1700"/>
        <w:gridCol w:w="1720"/>
      </w:tblGrid>
      <w:tr>
        <w:trPr>
          <w:tblHeader/>
        </w:trPr>
        <w:tc>
          <w:tcPr>
            <w:tcW w:type="dxa" w:w="9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Muestra</w:t>
            </w:r>
          </w:p>
        </w:tc>
        <w:tc>
          <w:tcPr>
            <w:tcW w:type="dxa" w:w="12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Condiciones</w:t>
            </w:r>
          </w:p>
        </w:tc>
        <w:tc>
          <w:tcPr>
            <w:tcW w:type="dxa" w:w="18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DOTAP por pocillo</w:t>
            </w:r>
          </w:p>
        </w:tc>
        <w:tc>
          <w:tcPr>
            <w:tcW w:type="dxa" w:w="17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pDNA por pocillo</w:t>
            </w:r>
          </w:p>
        </w:tc>
        <w:tc>
          <w:tcPr>
            <w:tcW w:type="dxa" w:w="170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Ratio DOTAP/pDNA</w:t>
            </w:r>
          </w:p>
        </w:tc>
        <w:tc>
          <w:tcPr>
            <w:tcW w:type="dxa" w:w="1720"/>
            <w:shd w:fill="1F4E79"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Vuestra referencia</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12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12</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0,85 – 8,5 µg</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0,29 y 0,58 µg</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1,5:1 – 29,2:1</w:t>
            </w:r>
          </w:p>
        </w:tc>
        <w:tc>
          <w:tcPr>
            <w:tcW w:type="dxa" w:w="1720"/>
            <w:tcMar>
              <w:top w:type="dxa" w:w="60"/>
              <w:left w:type="dxa" w:w="90"/>
              <w:bottom w:type="dxa" w:w="60"/>
              <w:right w:type="dxa" w:w="90"/>
            </w:tcMar>
          </w:tcPr>
          <w:p>
            <w:pPr>
              <w:spacing w:after="0" w:line="240"/>
              <w:jc w:val="center"/>
            </w:pPr>
            <w:r>
              <w:rPr>
                <w:rFonts w:ascii="Calibri" w:cs="Calibri" w:eastAsia="Calibri" w:hAnsi="Calibri"/>
                <w:sz w:val="19"/>
                <w:szCs w:val="19"/>
              </w:rPr>
              <w:t xml:space="preserve">7:1, 17:1, 27:1</w:t>
            </w:r>
          </w:p>
        </w:tc>
      </w:tr>
      <w:tr>
        <w:tc>
          <w:tcPr>
            <w:tcW w:type="dxa" w:w="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w:t>
            </w:r>
          </w:p>
        </w:tc>
        <w:tc>
          <w:tcPr>
            <w:tcW w:type="dxa" w:w="12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250 – 1.000 µg</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0,25 – 1,0 µg</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1000:1 (fijo)</w:t>
            </w:r>
          </w:p>
        </w:tc>
        <w:tc>
          <w:tcPr>
            <w:tcW w:type="dxa" w:w="172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1000:1</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3</w:t>
            </w:r>
          </w:p>
        </w:tc>
        <w:tc>
          <w:tcPr>
            <w:tcW w:type="dxa" w:w="1200"/>
            <w:tcMar>
              <w:top w:type="dxa" w:w="60"/>
              <w:left w:type="dxa" w:w="90"/>
              <w:bottom w:type="dxa" w:w="60"/>
              <w:right w:type="dxa" w:w="90"/>
            </w:tcMar>
          </w:tcPr>
          <w:p>
            <w:pPr>
              <w:spacing w:after="0" w:line="240"/>
              <w:jc w:val="center"/>
            </w:pPr>
            <w:r>
              <w:rPr>
                <w:rFonts w:ascii="Calibri" w:cs="Calibri" w:eastAsia="Calibri" w:hAnsi="Calibri"/>
                <w:sz w:val="19"/>
                <w:szCs w:val="19"/>
              </w:rPr>
              <w:t xml:space="preserve">—</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No utilizada</w:t>
            </w:r>
          </w:p>
        </w:tc>
        <w:tc>
          <w:tcPr>
            <w:tcW w:type="dxa" w:w="1720"/>
            <w:tcMar>
              <w:top w:type="dxa" w:w="60"/>
              <w:left w:type="dxa" w:w="90"/>
              <w:bottom w:type="dxa" w:w="60"/>
              <w:right w:type="dxa" w:w="90"/>
            </w:tcMar>
          </w:tcPr>
          <w:p>
            <w:pPr>
              <w:spacing w:after="0" w:line="240"/>
              <w:jc w:val="center"/>
            </w:pPr>
            <w:r>
              <w:rPr>
                <w:rFonts w:ascii="Calibri" w:cs="Calibri" w:eastAsia="Calibri" w:hAnsi="Calibri"/>
                <w:sz w:val="19"/>
                <w:szCs w:val="19"/>
              </w:rPr>
              <w:t xml:space="preserve">—</w:t>
            </w:r>
          </w:p>
        </w:tc>
      </w:tr>
      <w:tr>
        <w:tc>
          <w:tcPr>
            <w:tcW w:type="dxa" w:w="9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4</w:t>
            </w:r>
          </w:p>
        </w:tc>
        <w:tc>
          <w:tcPr>
            <w:tcW w:type="dxa" w:w="12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w:t>
            </w:r>
          </w:p>
        </w:tc>
        <w:tc>
          <w:tcPr>
            <w:tcW w:type="dxa" w:w="18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Sin determinar</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Sin determinar</w:t>
            </w:r>
          </w:p>
        </w:tc>
        <w:tc>
          <w:tcPr>
            <w:tcW w:type="dxa" w:w="170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Sin determinar</w:t>
            </w:r>
          </w:p>
        </w:tc>
        <w:tc>
          <w:tcPr>
            <w:tcW w:type="dxa" w:w="1720"/>
            <w:shd w:fill="F2F2F2" w:color="auto" w:val="clear"/>
            <w:tcMar>
              <w:top w:type="dxa" w:w="60"/>
              <w:left w:type="dxa" w:w="90"/>
              <w:bottom w:type="dxa" w:w="60"/>
              <w:right w:type="dxa" w:w="90"/>
            </w:tcMar>
          </w:tcPr>
          <w:p>
            <w:pPr>
              <w:spacing w:after="0" w:line="240"/>
              <w:jc w:val="center"/>
            </w:pPr>
            <w:r>
              <w:rPr>
                <w:rFonts w:ascii="Calibri" w:cs="Calibri" w:eastAsia="Calibri" w:hAnsi="Calibri"/>
                <w:sz w:val="19"/>
                <w:szCs w:val="19"/>
              </w:rPr>
              <w:t xml:space="preserve">10:1</w:t>
            </w:r>
          </w:p>
        </w:tc>
      </w:tr>
      <w:tr>
        <w:tc>
          <w:tcPr>
            <w:tcW w:type="dxa" w:w="900"/>
            <w:tcMar>
              <w:top w:type="dxa" w:w="60"/>
              <w:left w:type="dxa" w:w="90"/>
              <w:bottom w:type="dxa" w:w="60"/>
              <w:right w:type="dxa" w:w="90"/>
            </w:tcMar>
          </w:tcPr>
          <w:p>
            <w:pPr>
              <w:spacing w:after="0" w:line="240"/>
              <w:jc w:val="center"/>
            </w:pPr>
            <w:r>
              <w:rPr>
                <w:rFonts w:ascii="Calibri" w:cs="Calibri" w:eastAsia="Calibri" w:hAnsi="Calibri"/>
                <w:sz w:val="19"/>
                <w:szCs w:val="19"/>
              </w:rPr>
              <w:t xml:space="preserve">5</w:t>
            </w:r>
          </w:p>
        </w:tc>
        <w:tc>
          <w:tcPr>
            <w:tcW w:type="dxa" w:w="1200"/>
            <w:tcMar>
              <w:top w:type="dxa" w:w="60"/>
              <w:left w:type="dxa" w:w="90"/>
              <w:bottom w:type="dxa" w:w="60"/>
              <w:right w:type="dxa" w:w="90"/>
            </w:tcMar>
          </w:tcPr>
          <w:p>
            <w:pPr>
              <w:spacing w:after="0" w:line="240"/>
              <w:jc w:val="center"/>
            </w:pPr>
            <w:r>
              <w:rPr>
                <w:rFonts w:ascii="Calibri" w:cs="Calibri" w:eastAsia="Calibri" w:hAnsi="Calibri"/>
                <w:sz w:val="19"/>
                <w:szCs w:val="19"/>
              </w:rPr>
              <w:t xml:space="preserve">6</w:t>
            </w:r>
          </w:p>
        </w:tc>
        <w:tc>
          <w:tcPr>
            <w:tcW w:type="dxa" w:w="180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 y 2,0 µg</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0,10 – 0,39 µg</w:t>
            </w:r>
          </w:p>
        </w:tc>
        <w:tc>
          <w:tcPr>
            <w:tcW w:type="dxa" w:w="1700"/>
            <w:tcMar>
              <w:top w:type="dxa" w:w="60"/>
              <w:left w:type="dxa" w:w="90"/>
              <w:bottom w:type="dxa" w:w="60"/>
              <w:right w:type="dxa" w:w="90"/>
            </w:tcMar>
          </w:tcPr>
          <w:p>
            <w:pPr>
              <w:spacing w:after="0" w:line="240"/>
              <w:jc w:val="center"/>
            </w:pPr>
            <w:r>
              <w:rPr>
                <w:rFonts w:ascii="Calibri" w:cs="Calibri" w:eastAsia="Calibri" w:hAnsi="Calibri"/>
                <w:sz w:val="19"/>
                <w:szCs w:val="19"/>
              </w:rPr>
              <w:t xml:space="preserve">2,5:1 – 19,6:1</w:t>
            </w:r>
          </w:p>
        </w:tc>
        <w:tc>
          <w:tcPr>
            <w:tcW w:type="dxa" w:w="1720"/>
            <w:tcMar>
              <w:top w:type="dxa" w:w="60"/>
              <w:left w:type="dxa" w:w="90"/>
              <w:bottom w:type="dxa" w:w="60"/>
              <w:right w:type="dxa" w:w="90"/>
            </w:tcMar>
          </w:tcPr>
          <w:p>
            <w:pPr>
              <w:spacing w:after="0" w:line="240"/>
              <w:jc w:val="center"/>
            </w:pPr>
            <w:r>
              <w:rPr>
                <w:rFonts w:ascii="Calibri" w:cs="Calibri" w:eastAsia="Calibri" w:hAnsi="Calibri"/>
                <w:sz w:val="19"/>
                <w:szCs w:val="19"/>
              </w:rPr>
              <w:t xml:space="preserve">10:1</w:t>
            </w:r>
          </w:p>
        </w:tc>
      </w:tr>
    </w:tbl>
    <w:p>
      <w:pPr>
        <w:spacing w:after="140"/>
      </w:pPr>
    </w:p>
    <w:p>
      <w:pPr>
        <w:spacing w:after="120" w:before="0" w:line="276"/>
      </w:pPr>
      <w:r>
        <w:rPr>
          <w:rFonts w:ascii="Calibri" w:cs="Calibri" w:eastAsia="Calibri" w:hAnsi="Calibri"/>
          <w:sz w:val="21"/>
          <w:szCs w:val="21"/>
        </w:rPr>
        <w:t xml:space="preserve">En las muestras 1 y 5 el diseño se ha construido de modo que los ratios que vosotras habéis caracterizado queden dentro del intervalo ensayado, con condiciones por encima y por debajo que permitan situarlos.</w:t>
      </w:r>
    </w:p>
    <w:p>
      <w:pPr>
        <w:pStyle w:val="Heading1"/>
        <w:pBdr>
          <w:bottom w:val="single" w:color="1F4E79" w:sz="6" w:space="4"/>
        </w:pBdr>
        <w:spacing w:after="160" w:before="360"/>
      </w:pPr>
      <w:r>
        <w:rPr>
          <w:rFonts w:ascii="Calibri" w:cs="Calibri" w:eastAsia="Calibri" w:hAnsi="Calibri"/>
          <w:b/>
          <w:bCs/>
          <w:color w:val="1F4E79"/>
          <w:sz w:val="28"/>
          <w:szCs w:val="28"/>
        </w:rPr>
        <w:t xml:space="preserve">12. Desviaciones respecto a lo indicado por la UCM</w:t>
      </w:r>
    </w:p>
    <w:p>
      <w:pPr>
        <w:pStyle w:val="ListParagraph"/>
        <w:numPr>
          <w:ilvl w:val="0"/>
          <w:numId w:val="2"/>
        </w:numPr>
        <w:spacing w:after="70" w:line="276"/>
      </w:pPr>
      <w:r>
        <w:rPr>
          <w:rFonts w:ascii="Calibri" w:cs="Calibri" w:eastAsia="Calibri" w:hAnsi="Calibri"/>
          <w:b/>
          <w:bCs/>
          <w:sz w:val="21"/>
          <w:szCs w:val="21"/>
        </w:rPr>
        <w:t xml:space="preserve">Tiempo de balanceo: 15 minutos en lugar de 20. </w:t>
      </w:r>
      <w:r>
        <w:rPr>
          <w:rFonts w:ascii="Calibri" w:cs="Calibri" w:eastAsia="Calibri" w:hAnsi="Calibri"/>
          <w:sz w:val="21"/>
          <w:szCs w:val="21"/>
        </w:rPr>
        <w:t xml:space="preserve">Para las muestras 1 y 5 se emplearon 15 minutos de balanceo suave a temperatura ambiente. Vuestro procedimiento indica 20 minutos para las muestras 3, 4 y 5. Si consideráis que la diferencia puede afectar a la formación del complejo, repetiremos las condiciones con el tiempo que nos indiquéis.</w:t>
      </w:r>
    </w:p>
    <w:p>
      <w:pPr>
        <w:pStyle w:val="ListParagraph"/>
        <w:numPr>
          <w:ilvl w:val="0"/>
          <w:numId w:val="2"/>
        </w:numPr>
        <w:spacing w:after="70" w:line="276"/>
      </w:pPr>
      <w:r>
        <w:rPr>
          <w:rFonts w:ascii="Calibri" w:cs="Calibri" w:eastAsia="Calibri" w:hAnsi="Calibri"/>
          <w:b/>
          <w:bCs/>
          <w:sz w:val="21"/>
          <w:szCs w:val="21"/>
        </w:rPr>
        <w:t xml:space="preserve">Muestra 4: registro incompleto. </w:t>
      </w:r>
      <w:r>
        <w:rPr>
          <w:rFonts w:ascii="Calibri" w:cs="Calibri" w:eastAsia="Calibri" w:hAnsi="Calibri"/>
          <w:sz w:val="21"/>
          <w:szCs w:val="21"/>
        </w:rPr>
        <w:t xml:space="preserve">No se anotó el volumen de resuspensión del liofilizado ni la cantidad de pDNA empleada, por lo que la condición no es interpretable cuantitativamente y se repetirá.</w:t>
      </w:r>
    </w:p>
    <w:p>
      <w:pPr>
        <w:pStyle w:val="ListParagraph"/>
        <w:numPr>
          <w:ilvl w:val="0"/>
          <w:numId w:val="2"/>
        </w:numPr>
        <w:spacing w:after="70" w:line="276"/>
      </w:pPr>
      <w:r>
        <w:rPr>
          <w:rFonts w:ascii="Calibri" w:cs="Calibri" w:eastAsia="Calibri" w:hAnsi="Calibri"/>
          <w:b/>
          <w:bCs/>
          <w:sz w:val="21"/>
          <w:szCs w:val="21"/>
        </w:rPr>
        <w:t xml:space="preserve">Muestra 3: no ensayada. </w:t>
      </w:r>
      <w:r>
        <w:rPr>
          <w:rFonts w:ascii="Calibri" w:cs="Calibri" w:eastAsia="Calibri" w:hAnsi="Calibri"/>
          <w:sz w:val="21"/>
          <w:szCs w:val="21"/>
        </w:rPr>
        <w:t xml:space="preserve">Se conserva íntegra para los ensayos de formación de complejo y como control sin material genético.</w:t>
      </w:r>
    </w:p>
    <w:p>
      <w:pPr>
        <w:pStyle w:val="ListParagraph"/>
        <w:numPr>
          <w:ilvl w:val="0"/>
          <w:numId w:val="2"/>
        </w:numPr>
        <w:spacing w:after="70" w:line="276"/>
      </w:pPr>
      <w:r>
        <w:rPr>
          <w:rFonts w:ascii="Calibri" w:cs="Calibri" w:eastAsia="Calibri" w:hAnsi="Calibri"/>
          <w:b/>
          <w:bCs/>
          <w:sz w:val="21"/>
          <w:szCs w:val="21"/>
        </w:rPr>
        <w:t xml:space="preserve">Corrección del DOTAP. </w:t>
      </w:r>
      <w:r>
        <w:rPr>
          <w:rFonts w:ascii="Calibri" w:cs="Calibri" w:eastAsia="Calibri" w:hAnsi="Calibri"/>
          <w:sz w:val="21"/>
          <w:szCs w:val="21"/>
        </w:rPr>
        <w:t xml:space="preserve">Todos los cálculos de las muestras 2 y 3 se han hecho con el DOTAP al 1 % que nos indicasteis el 15 de julio, no con el 4 % del correo inicial.</w:t>
      </w:r>
    </w:p>
    <w:p>
      <w:pPr>
        <w:pStyle w:val="Heading1"/>
        <w:pBdr>
          <w:bottom w:val="single" w:color="1F4E79" w:sz="6" w:space="4"/>
        </w:pBdr>
        <w:spacing w:after="160" w:before="360"/>
      </w:pPr>
      <w:r>
        <w:rPr>
          <w:rFonts w:ascii="Calibri" w:cs="Calibri" w:eastAsia="Calibri" w:hAnsi="Calibri"/>
          <w:b/>
          <w:bCs/>
          <w:color w:val="1F4E79"/>
          <w:sz w:val="28"/>
          <w:szCs w:val="28"/>
        </w:rPr>
        <w:t xml:space="preserve">13. Consultas</w:t>
      </w:r>
    </w:p>
    <w:p>
      <w:pPr>
        <w:pStyle w:val="ListParagraph"/>
        <w:numPr>
          <w:ilvl w:val="0"/>
          <w:numId w:val="2"/>
        </w:numPr>
        <w:spacing w:after="70" w:line="276"/>
      </w:pPr>
      <w:r>
        <w:rPr>
          <w:rFonts w:ascii="Calibri" w:cs="Calibri" w:eastAsia="Calibri" w:hAnsi="Calibri"/>
          <w:b/>
          <w:bCs/>
          <w:sz w:val="21"/>
          <w:szCs w:val="21"/>
        </w:rPr>
        <w:t xml:space="preserve">Muestra 4: contenido real del liofilizado. </w:t>
      </w:r>
      <w:r>
        <w:rPr>
          <w:rFonts w:ascii="Calibri" w:cs="Calibri" w:eastAsia="Calibri" w:hAnsi="Calibri"/>
          <w:sz w:val="21"/>
          <w:szCs w:val="21"/>
        </w:rPr>
        <w:t xml:space="preserve">En la descripción figura que cada liofilizado contiene 10 µg de DOTAP y, más abajo, que la cantidad enviada es «liofilizado equivalente a 10 µg de liposomas liofilizados». Con liposomas a 10 mg/mL y DOTAP a 1 mg/mL, 10 µg de liposomas contendrían 1 µg de DOTAP, no 10 µg. ¿Nos confirmáis cuál de las dos cifras es la correcta? De ello depende el ratio al que estemos trabajando, con un factor de 10 de diferencia.</w:t>
      </w:r>
    </w:p>
    <w:p>
      <w:pPr>
        <w:pStyle w:val="ListParagraph"/>
        <w:numPr>
          <w:ilvl w:val="0"/>
          <w:numId w:val="2"/>
        </w:numPr>
        <w:spacing w:after="70" w:line="276"/>
      </w:pPr>
      <w:r>
        <w:rPr>
          <w:rFonts w:ascii="Calibri" w:cs="Calibri" w:eastAsia="Calibri" w:hAnsi="Calibri"/>
          <w:b/>
          <w:bCs/>
          <w:sz w:val="21"/>
          <w:szCs w:val="21"/>
        </w:rPr>
        <w:t xml:space="preserve">Muestra 4: volumen de resuspensión recomendado. </w:t>
      </w:r>
      <w:r>
        <w:rPr>
          <w:rFonts w:ascii="Calibri" w:cs="Calibri" w:eastAsia="Calibri" w:hAnsi="Calibri"/>
          <w:sz w:val="21"/>
          <w:szCs w:val="21"/>
        </w:rPr>
        <w:t xml:space="preserve">Al repetir la condición, ¿hay algún volumen de resuspensión que recomendéis, o es indiferente mientras se respete el ratio?</w:t>
      </w:r>
    </w:p>
    <w:p>
      <w:pPr>
        <w:pStyle w:val="ListParagraph"/>
        <w:numPr>
          <w:ilvl w:val="0"/>
          <w:numId w:val="2"/>
        </w:numPr>
        <w:spacing w:after="70" w:line="276"/>
      </w:pPr>
      <w:r>
        <w:rPr>
          <w:rFonts w:ascii="Calibri" w:cs="Calibri" w:eastAsia="Calibri" w:hAnsi="Calibri"/>
          <w:b/>
          <w:bCs/>
          <w:sz w:val="21"/>
          <w:szCs w:val="21"/>
        </w:rPr>
        <w:t xml:space="preserve">Muestra 2: identidad del pDNA encapsulado. </w:t>
      </w:r>
      <w:r>
        <w:rPr>
          <w:rFonts w:ascii="Calibri" w:cs="Calibri" w:eastAsia="Calibri" w:hAnsi="Calibri"/>
          <w:sz w:val="21"/>
          <w:szCs w:val="21"/>
        </w:rPr>
        <w:t xml:space="preserve">¿Nos confirmáis qué plásmido se encapsuló, para asegurarnos de que la lectura es comparable con la de las demás muestras, en las que empleamos nuestro stock propio?</w:t>
      </w:r>
    </w:p>
    <w:p>
      <w:pPr>
        <w:pStyle w:val="ListParagraph"/>
        <w:numPr>
          <w:ilvl w:val="0"/>
          <w:numId w:val="2"/>
        </w:numPr>
        <w:spacing w:after="70" w:line="276"/>
      </w:pPr>
      <w:r>
        <w:rPr>
          <w:rFonts w:ascii="Calibri" w:cs="Calibri" w:eastAsia="Calibri" w:hAnsi="Calibri"/>
          <w:b/>
          <w:bCs/>
          <w:sz w:val="21"/>
          <w:szCs w:val="21"/>
        </w:rPr>
        <w:t xml:space="preserve">Tiempo de complejación en la muestra 1. </w:t>
      </w:r>
      <w:r>
        <w:rPr>
          <w:rFonts w:ascii="Calibri" w:cs="Calibri" w:eastAsia="Calibri" w:hAnsi="Calibri"/>
          <w:sz w:val="21"/>
          <w:szCs w:val="21"/>
        </w:rPr>
        <w:t xml:space="preserve">El correo no especifica tiempo de balanceo para esta muestra. ¿Recomendáis también 20 minutos?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2" w:space="6"/>
      </w:pBdr>
      <w:jc w:val="center"/>
    </w:pPr>
    <w:r>
      <w:rPr>
        <w:rFonts w:ascii="Calibri" w:cs="Calibri" w:eastAsia="Calibri" w:hAnsi="Calibri"/>
        <w:color w:val="808080"/>
        <w:sz w:val="17"/>
        <w:szCs w:val="17"/>
      </w:rPr>
      <w:t xml:space="preserve">Muestras UCM julio 2026 · ensayo 03/08/2026 · pág. </w:t>
    </w:r>
    <w:r>
      <w:rPr>
        <w:rFonts w:ascii="Calibri" w:cs="Calibri" w:eastAsia="Calibri" w:hAnsi="Calibri"/>
        <w:color w:val="808080"/>
        <w:sz w:val="17"/>
        <w:szCs w:val="17"/>
      </w:rPr>
      <w:fldChar w:fldCharType="begin"/>
      <w:instrText xml:space="preserve">PAGE</w:instrText>
      <w:fldChar w:fldCharType="separate"/>
      <w:fldChar w:fldCharType="end"/>
    </w:r>
    <w:r>
      <w:rPr>
        <w:rFonts w:ascii="Calibri" w:cs="Calibri" w:eastAsia="Calibri" w:hAnsi="Calibri"/>
        <w:color w:val="808080"/>
        <w:sz w:val="17"/>
        <w:szCs w:val="17"/>
      </w:rPr>
      <w:t xml:space="preserve"> de </w:t>
    </w:r>
    <w:r>
      <w:rPr>
        <w:rFonts w:ascii="Calibri" w:cs="Calibri" w:eastAsia="Calibri" w:hAnsi="Calibri"/>
        <w:color w:val="808080"/>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Muestras UCM julio 2026 — informe de tratamiento</dc:title>
  <dc:creator>María Zubieta Laseca</dc:creator>
  <dc:description>Condiciones ensayadas con las muestras UCM en el ensayo del 03/08/2026</dc:description>
  <cp:lastModifiedBy>Un-named</cp:lastModifiedBy>
  <cp:revision>1</cp:revision>
  <dcterms:created xsi:type="dcterms:W3CDTF">2026-09-17T08:32:09.158Z</dcterms:created>
  <dcterms:modified xsi:type="dcterms:W3CDTF">2026-09-17T08:32:09.158Z</dcterms:modified>
</cp:coreProperties>
</file>

<file path=docProps/custom.xml><?xml version="1.0" encoding="utf-8"?>
<Properties xmlns="http://schemas.openxmlformats.org/officeDocument/2006/custom-properties" xmlns:vt="http://schemas.openxmlformats.org/officeDocument/2006/docPropsVTypes"/>
</file>