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La educación inclusiva: reflexiones principales</w:t>
      </w:r>
    </w:p>
    <w:p>
      <w:pPr>
        <w:ind w:firstLine="567"/>
        <w:jc w:val="both"/>
      </w:pPr>
      <w:r>
        <w:t>La primera idea que saco de las lecturas es que la inclusión no es lo mismo que la integración. La integración incorporaba al alumnado con discapacidad a la escuela ordinaria, pero sin cambiar nada de ella; la inclusión pretende reestructurar la escuela según las necesidades de todos. No se dirige solo al alumnado con discapacidad: abarca a cualquier estudiante vulnerable por género, cultura, lengua o nivel socioeconómico. Además, es un derecho reconocido en la Declaración de Salamanca y en el artículo 24 de la Convención de la ONU de 2006. La UNESCO añade que la exclusión no es solo no estar escolarizado, sino también quedarse sin experiencias de aprendizaje valiosas.</w:t>
      </w:r>
    </w:p>
    <w:p>
      <w:pPr>
        <w:ind w:firstLine="567"/>
        <w:jc w:val="both"/>
      </w:pPr>
      <w:r>
        <w:t>La segunda reflexión es el «dilema de las diferencias»: dar a cada alumno lo que necesita sin separarlo de los demás. La parábola del invitado a cenar lo resume: la escuela selectiva no lo invita, la integración le sirve un plato aparte y la escuela inclusiva cambia el menú para que todos coman juntos. Por eso la inclusión se mide en presencia, aprendizaje y participación. Con el género ya resolvimos un dilema parecido: hoy nadie discute la coeducación, aunque antes los profesores decían «no estar preparados».</w:t>
      </w:r>
    </w:p>
    <w:p>
      <w:pPr>
        <w:ind w:firstLine="567"/>
        <w:jc w:val="both"/>
      </w:pPr>
      <w:r>
        <w:t>En tercer lugar, el problema no está en el alumno sino en las barreras del entorno. El Index para la Inclusión evita hablar de «necesidades educativas especiales» porque esa etiqueta rebaja las expectativas. Del mismo modo, la guía de FEVAS entiende la discapacidad intelectual como el resultado de la interacción entre la persona y su entorno. Y como esas barreras nacen de creencias profundas, el Index sitúa las culturas inclusivas en la base del cambio. También me ha parecido clave escuchar la voz del alumnado: en la Declaración de Lisboa, jóvenes con discapacidad dicen «no deseamos compasión, queremos ser considerados futuros adultos».</w:t>
      </w:r>
    </w:p>
    <w:p>
      <w:pPr>
        <w:ind w:firstLine="567"/>
        <w:jc w:val="both"/>
      </w:pPr>
      <w:r>
        <w:t>En el aula, la inclusión se traduce en romper con que todos hagan lo mismo, al mismo tiempo y de la misma forma: enseñanza multinivel, aprendizaje cooperativo, Diseño Universal para el Aprendizaje y horarios y agrupamientos flexibles. La guía de accesibilidad cognitiva añade que el centro debe ser comprensible, porque un entorno que no se entiende genera ansiedad y dependencia. El proyecto INCLUD-ED aporta datos: agrupar por niveles baja el rendimiento de quien va más atrasado, mientras que los grupos heterogéneos con más adultos dentro del aula, como los grupos interactivos, mejoran los resultados de todos. También ayuda que las familias participen decidiendo y educando.</w:t>
      </w:r>
    </w:p>
    <w:p>
      <w:pPr>
        <w:ind w:firstLine="567"/>
        <w:jc w:val="both"/>
      </w:pPr>
      <w:r>
        <w:t>Por último, el reportaje de la revista Escuela recuerda que, más de veinte años después de la LISMI, las buenas intenciones no bastan: faltan recursos, formación y datos. Mi conclusión es que la inclusión es un proceso que nunca termina («no hay ningún centro totalmente inclusivo», dice el Index) y depende sobre todo de la actitud del profesorado, que es un modelo para sus alumnos. Como dice la guía de FEVAS, es más enriquecedor plantear que todos somos diferentes que decir que todos somos iguales «excepto Pedro».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