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La educación inclusiva: reflexiones principales</w:t>
      </w:r>
    </w:p>
    <w:p>
      <w:pPr>
        <w:ind w:firstLine="567"/>
        <w:jc w:val="both"/>
      </w:pPr>
      <w:r>
        <w:t>Antes de estas lecturas pensaba que inclusión e integración eran casi lo mismo, y no lo son. En clase vimos el recorrido de exclusión, separación, integración e inclusión, y los textos me han ayudado a entender ese último salto. Con la integración, el alumnado con NEE ya estaba en el centro ordinario, pero el sistema seguía igual y era el alumno quien tenía que encajar. La inclusión le da la vuelta: cambia la escuela, y no solo pensando en la discapacidad, sino en cualquiera que pueda quedarse fuera por su origen, su lengua o la situación de su familia. La UNESCO va más allá: también está excluido quien está matriculado pero no vive experiencias de aprendizaje que merezcan la pena.</w:t>
      </w:r>
    </w:p>
    <w:p>
      <w:pPr>
        <w:ind w:firstLine="567"/>
        <w:jc w:val="both"/>
      </w:pPr>
      <w:r>
        <w:t>La parábola del invitado a cenar me pareció la forma más clara de verlo. Un anfitrión no invita a su amigo porque no puede comer de todo, otro le prepara un plato aparte y el tercero cambia el menú para que todos coman lo mismo. Me recordó a la imagen del árbol: dar a cada uno una escalera distinta es equidad, pero arreglar el árbol para que nadie la necesite es justicia. Eso busca la inclusión, y por eso se mide en presencia, aprendizaje y participación, no solo en estar sentado en el aula.</w:t>
      </w:r>
    </w:p>
    <w:p>
      <w:pPr>
        <w:ind w:firstLine="567"/>
        <w:jc w:val="both"/>
      </w:pPr>
      <w:r>
        <w:t>Casi todos los textos insisten en que el problema no está en el alumno, sino en su interacción con el contexto, que es lo que separa el modelo del déficit del modelo de la diversidad. El Index evita hablar de «necesidades educativas especiales» porque la etiqueta baja las expectativas, algo que encaja con el círculo vicioso que estudiamos: se espera menos, se enseña menos, el alumno rinde menos y la etiqueta parece confirmarse. Por eso el Index pone la cultura del centro en la base de todo. Me impactó la Declaración de Lisboa, donde jóvenes con discapacidad dicen: «no deseamos compasión».</w:t>
      </w:r>
    </w:p>
    <w:p>
      <w:pPr>
        <w:ind w:firstLine="567"/>
        <w:jc w:val="both"/>
      </w:pPr>
      <w:r>
        <w:t>En el aula, se trata de romper con que todos hagan lo mismo, al mismo tiempo y de la misma manera: enseñanza multinivel, aprendizaje cooperativo, Diseño Universal para el Aprendizaje y agrupamientos flexibles. La guía de accesibilidad cognitiva me hizo pensar en algo que nunca me había planteado: un centro que no se entiende genera ansiedad y dependencia. Y el informe INCLUD-ED da datos que me sorprendieron: separar por niveles empeora los resultados de quien va más atrasado, mientras que los grupos heterogéneos con más adultos en el aula, como los grupos interactivos, mejoran los de todos.</w:t>
      </w:r>
    </w:p>
    <w:p>
      <w:pPr>
        <w:ind w:firstLine="567"/>
        <w:jc w:val="both"/>
      </w:pPr>
      <w:r>
        <w:t>Aun así, no basta con la buena voluntad. El reportaje de Escuela recordaba que, más de veinte años después de la LISMI, seguían faltando recursos y formación. Pensando en mi futuro como docente de secundaria, me quedo con que la inclusión es un camino que no se acaba («no hay ningún centro totalmente inclusivo», dice el Index) y con que nuestra actitud pesa mucho. Como dice la guía de FEVAS, es más enriquecedor plantear que todos somos diferentes que decir que todos somos iguales «excepto Pedro».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