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La educación inclusiva: reflexiones principales</w:t>
      </w:r>
    </w:p>
    <w:p>
      <w:pPr>
        <w:ind w:firstLine="567"/>
        <w:jc w:val="both"/>
      </w:pPr>
      <w:r>
        <w:t>Antes de estas lecturas pensaba que inclusión e integración eran casi lo mismo, y no lo son. En clase vimos cómo se pasó de institucionalizar a las personas con discapacidad, dándoles cobijo y poco más, a la integración, en buena parte gracias a familias que querían que sus hijos fueran ciudadanos de primera y convivieran con los demás. Pero hoy seguimos, como se dijo en clase, entre la integración y la inclusión. Con la integración el alumnado con NEE ya está en el centro ordinario, pero es él quien tiene que encajar. La inclusión le da la vuelta: cambia la escuela, y no solo pensando en la discapacidad, sino en cualquiera que pueda quedarse fuera por su origen, su lengua o la situación de su familia.</w:t>
      </w:r>
    </w:p>
    <w:p>
      <w:pPr>
        <w:ind w:firstLine="567"/>
        <w:jc w:val="both"/>
      </w:pPr>
      <w:r>
        <w:t>La parábola del invitado a cenar me pareció la forma más clara de verlo. Un anfitrión no invita a su amigo porque no puede comer de todo, otro le prepara un plato aparte y el tercero cambia el menú para que todos coman lo mismo. Me recordó a la imagen del árbol: dar a cada uno una escalera distinta es equidad, pero arreglar el árbol para que nadie la necesite es justicia. Eso busca la inclusión, y por eso se mide en presencia, aprendizaje y participación, no solo en estar sentado en el aula.</w:t>
      </w:r>
    </w:p>
    <w:p>
      <w:pPr>
        <w:ind w:firstLine="567"/>
        <w:jc w:val="both"/>
      </w:pPr>
      <w:r>
        <w:t>Casi todos los textos insisten en lo que en clase llamamos el paso del modelo clínico al pedagógico: la raíz del problema no está en el alumno, sino en su interacción con el ambiente. El Index evita hablar de «necesidades educativas especiales» porque la etiqueta baja las expectativas, y eso es la profecía autocumplida: se espera menos, se enseña menos, el alumno rinde menos y la etiqueta parece confirmarse. Me acordé del ejemplo de las faltas de ortografía, que no tienen por qué ser dislexia: a veces lo que falta es lectura. Por eso importa más saber qué sabe hacer el alumno y cómo aprende mejor que ponerle un nombre.</w:t>
      </w:r>
    </w:p>
    <w:p>
      <w:pPr>
        <w:ind w:firstLine="567"/>
        <w:jc w:val="both"/>
      </w:pPr>
      <w:r>
        <w:t>En el aula, se trata de romper con que todos hagan lo mismo, al mismo tiempo y de la misma manera: enseñanza multinivel, aprendizaje cooperativo, Diseño Universal para el Aprendizaje y agrupamientos flexibles. La guía de accesibilidad cognitiva me hizo pensar en algo que nunca me había planteado: un centro que no se entiende genera ansiedad y dependencia. Y el informe INCLUD-ED da datos que me sorprendieron: separar por niveles empeora los resultados de quien va más atrasado, mientras que los grupos heterogéneos con más adultos en el aula, como los grupos interactivos, mejoran los de todos.</w:t>
      </w:r>
    </w:p>
    <w:p>
      <w:pPr>
        <w:ind w:firstLine="567"/>
        <w:jc w:val="both"/>
      </w:pPr>
      <w:r>
        <w:t>Aun así, no basta con la buena voluntad. El reportaje de Escuela recordaba que, más de veinte años después de la LISMI, seguían faltando recursos y formación, y ahí cobra sentido la idea de ver la educación como una inversión y no como un gasto. Pensando en mi futuro como docente de secundaria, me quedo con que la inclusión es un camino que no se acaba («no hay ningún centro totalmente inclusivo», dice el Index). Como dice la guía de FEVAS, es más enriquecedor plantear que todos somos diferentes que decir que todos somos iguales «excepto Pedro».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