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Calendario</w:t>
      </w:r>
      <w:r>
        <w:t xml:space="preserve"> </w:t>
      </w:r>
      <w:r>
        <w:t xml:space="preserve">único</w:t>
      </w:r>
      <w:r>
        <w:t xml:space="preserve"> </w:t>
      </w:r>
      <w:r>
        <w:t xml:space="preserve">de</w:t>
      </w:r>
      <w:r>
        <w:t xml:space="preserve"> </w:t>
      </w:r>
      <w:r>
        <w:t xml:space="preserve">exigibilidad</w:t>
      </w:r>
    </w:p>
    <w:p>
      <w:pPr>
        <w:pStyle w:val="Subtitle"/>
      </w:pPr>
      <w:r>
        <w:t xml:space="preserve">Qué</w:t>
      </w:r>
      <w:r>
        <w:t xml:space="preserve"> </w:t>
      </w:r>
      <w:r>
        <w:t xml:space="preserve">se</w:t>
      </w:r>
      <w:r>
        <w:t xml:space="preserve"> </w:t>
      </w:r>
      <w:r>
        <w:t xml:space="preserve">exige,</w:t>
      </w:r>
      <w:r>
        <w:t xml:space="preserve"> </w:t>
      </w:r>
      <w:r>
        <w:t xml:space="preserve">desde</w:t>
      </w:r>
      <w:r>
        <w:t xml:space="preserve"> </w:t>
      </w:r>
      <w:r>
        <w:t xml:space="preserve">cuándo</w:t>
      </w:r>
      <w:r>
        <w:t xml:space="preserve"> </w:t>
      </w:r>
      <w:r>
        <w:t xml:space="preserve">y</w:t>
      </w:r>
      <w:r>
        <w:t xml:space="preserve"> </w:t>
      </w:r>
      <w:r>
        <w:t xml:space="preserve">con</w:t>
      </w:r>
      <w:r>
        <w:t xml:space="preserve"> </w:t>
      </w:r>
      <w:r>
        <w:t xml:space="preserve">qué</w:t>
      </w:r>
      <w:r>
        <w:t xml:space="preserve"> </w:t>
      </w:r>
      <w:r>
        <w:t xml:space="preserve">fundamento</w:t>
      </w:r>
      <w:r>
        <w:t xml:space="preserve"> </w:t>
      </w:r>
      <w:r>
        <w:t xml:space="preserve">·</w:t>
      </w:r>
      <w:r>
        <w:t xml:space="preserve"> </w:t>
      </w:r>
      <w:r>
        <w:t xml:space="preserve">LFPIORPI</w:t>
      </w:r>
      <w:r>
        <w:t xml:space="preserve"> </w:t>
      </w:r>
      <w:r>
        <w:t xml:space="preserve">tras</w:t>
      </w:r>
      <w:r>
        <w:t xml:space="preserve"> </w:t>
      </w:r>
      <w:r>
        <w:t xml:space="preserve">la</w:t>
      </w:r>
      <w:r>
        <w:t xml:space="preserve"> </w:t>
      </w:r>
      <w:r>
        <w:t xml:space="preserve">reforma</w:t>
      </w:r>
    </w:p>
    <w:p>
      <w:pPr>
        <w:pStyle w:val="Author"/>
      </w:pPr>
      <w:r>
        <w:t xml:space="preserve">GMC360</w:t>
      </w:r>
      <w:r>
        <w:t xml:space="preserve"> </w:t>
      </w:r>
      <w:r>
        <w:t xml:space="preserve">·</w:t>
      </w:r>
      <w:r>
        <w:t xml:space="preserve"> </w:t>
      </w:r>
      <w:r>
        <w:t xml:space="preserve">360Educa</w:t>
      </w:r>
    </w:p>
    <w:p>
      <w:pPr>
        <w:pStyle w:val="Date"/>
      </w:pPr>
      <w:r>
        <w:t xml:space="preserve">25</w:t>
      </w:r>
      <w:r>
        <w:t xml:space="preserve"> </w:t>
      </w:r>
      <w:r>
        <w:t xml:space="preserve">de</w:t>
      </w:r>
      <w:r>
        <w:t xml:space="preserve"> </w:t>
      </w:r>
      <w:r>
        <w:t xml:space="preserve">agosto</w:t>
      </w:r>
      <w:r>
        <w:t xml:space="preserve"> </w:t>
      </w:r>
      <w:r>
        <w:t xml:space="preserve">de</w:t>
      </w:r>
      <w:r>
        <w:t xml:space="preserve"> </w:t>
      </w:r>
      <w:r>
        <w:t xml:space="preserve">2026</w:t>
      </w:r>
      <w:r>
        <w:t xml:space="preserve"> </w:t>
      </w:r>
      <w:r>
        <w:t xml:space="preserve">·</w:t>
      </w:r>
      <w:r>
        <w:t xml:space="preserve"> </w:t>
      </w:r>
      <w:r>
        <w:t xml:space="preserve">LFPIORPI</w:t>
      </w:r>
      <w:r>
        <w:t xml:space="preserve"> </w:t>
      </w:r>
      <w:r>
        <w:t xml:space="preserve">·</w:t>
      </w:r>
      <w:r>
        <w:t xml:space="preserve"> </w:t>
      </w:r>
      <w:r>
        <w:t xml:space="preserve">Reglamento</w:t>
      </w:r>
      <w:r>
        <w:t xml:space="preserve"> </w:t>
      </w:r>
      <w:r>
        <w:t xml:space="preserve">·</w:t>
      </w:r>
      <w:r>
        <w:t xml:space="preserve"> </w:t>
      </w:r>
      <w:r>
        <w:t xml:space="preserve">ACUERDO</w:t>
      </w:r>
      <w:r>
        <w:t xml:space="preserve"> </w:t>
      </w:r>
      <w:r>
        <w:t xml:space="preserve">115/2026</w:t>
      </w:r>
    </w:p>
    <w:p>
      <w:pPr>
        <w:pStyle w:val="FirstParagraph"/>
      </w:pPr>
      <w:r>
        <w:rPr>
          <w:iCs/>
          <w:i/>
        </w:rPr>
        <w:t xml:space="preserve">Una sola tabla de fechas. Se desprende del compendio «Preguntas del sector sobre el ACUERDO 115/2026» y allá lleva el nombre de Anexo A. Cuando esta tabla y la</w:t>
      </w:r>
      <w:r>
        <w:rPr>
          <w:iCs/>
          <w:i/>
        </w:rPr>
        <w:t xml:space="preserve"> </w:t>
      </w:r>
      <w:r>
        <w:rPr>
          <w:bCs/>
          <w:b/>
          <w:iCs/>
          <w:i/>
        </w:rPr>
        <w:t xml:space="preserve">Tabla única de plazos</w:t>
      </w:r>
      <w:r>
        <w:rPr>
          <w:iCs/>
          <w:i/>
        </w:rPr>
        <w:t xml:space="preserve"> </w:t>
      </w:r>
      <w:r>
        <w:rPr>
          <w:iCs/>
          <w:i/>
        </w:rPr>
        <w:t xml:space="preserve">discrepen,</w:t>
      </w:r>
      <w:r>
        <w:rPr>
          <w:iCs/>
          <w:i/>
        </w:rPr>
        <w:t xml:space="preserve"> </w:t>
      </w:r>
      <w:r>
        <w:rPr>
          <w:bCs/>
          <w:b/>
          <w:iCs/>
          <w:i/>
        </w:rPr>
        <w:t xml:space="preserve">prevalece esta en materia de fechas de exigibilidad y aquélla en materia de duración de plazos</w:t>
      </w:r>
      <w:r>
        <w:rPr>
          <w:iCs/>
          <w:i/>
        </w:rPr>
        <w:t xml:space="preserve">: aquí se dice desde cuándo es exigible una obligación; allá, cuánto dura el plazo para cumplirla.</w:t>
      </w:r>
    </w:p>
    <w:tbl>
      <w:tblPr>
        <w:tblStyle w:val="Table"/>
        <w:tblW w:type="pct" w:w="5000"/>
        <w:tblLook w:firstRow="1" w:lastRow="0" w:firstColumn="0" w:lastColumn="0" w:noHBand="0" w:noVBand="0" w:val="0020"/>
        <w:jc w:val="start"/>
      </w:tblPr>
      <w:tblGrid>
        <w:gridCol w:w="1760"/>
        <w:gridCol w:w="3960"/>
        <w:gridCol w:w="2200"/>
      </w:tblGrid>
      <w:tr>
        <w:trPr>
          <w:tblHeader w:val="true"/>
        </w:trPr>
        <w:tc>
          <w:tcPr/>
          <w:p>
            <w:pPr>
              <w:pStyle w:val="Compact"/>
              <w:jc w:val="left"/>
            </w:pPr>
            <w:r>
              <w:t xml:space="preserve">Fecha</w:t>
            </w:r>
          </w:p>
        </w:tc>
        <w:tc>
          <w:tcPr/>
          <w:p>
            <w:pPr>
              <w:pStyle w:val="Compact"/>
              <w:jc w:val="left"/>
            </w:pPr>
            <w:r>
              <w:t xml:space="preserve">Qué es exigible</w:t>
            </w:r>
          </w:p>
        </w:tc>
        <w:tc>
          <w:tcPr/>
          <w:p>
            <w:pPr>
              <w:pStyle w:val="Compact"/>
              <w:jc w:val="left"/>
            </w:pPr>
            <w:r>
              <w:t xml:space="preserve">Fundamento</w:t>
            </w:r>
          </w:p>
        </w:tc>
      </w:tr>
      <w:tr>
        <w:tc>
          <w:tcPr/>
          <w:p>
            <w:pPr>
              <w:pStyle w:val="Compact"/>
              <w:jc w:val="left"/>
            </w:pPr>
            <w:r>
              <w:t xml:space="preserve">17 de julio de 2025</w:t>
            </w:r>
          </w:p>
        </w:tc>
        <w:tc>
          <w:tcPr/>
          <w:p>
            <w:pPr>
              <w:pStyle w:val="Compact"/>
              <w:jc w:val="left"/>
            </w:pPr>
            <w:r>
              <w:t xml:space="preserve">Entrada en vigor general de la reforma a la Ley: definiciones de Beneficiario Controlador, Persona Políticamente Expuesta, Riesgo y persona Representante Encargada de Cumplimiento; fracción V Bis de nueva creación y reforma sustantiva de la fracción XVI —activos virtuales, adicionada por decreto DOF 9-mar-2018— del artículo 17; umbrales de fe pública del artículo 17, fracción XII, Apartado A, incisos a), c) y d) de la Ley, aplicables a los actos u operaciones realizados a partir de ese día;</w:t>
            </w:r>
            <w:r>
              <w:t xml:space="preserve"> </w:t>
            </w:r>
            <w:r>
              <w:rPr>
                <w:bCs/>
                <w:b/>
              </w:rPr>
              <w:t xml:space="preserve">la presentación del Aviso por las protocolizaciones y formalizaciones de los Apartados A y B, y la de las personas facilitadoras del Apartado D, están condicionadas y no tienen fecha cierta: véase la fila «Condicionado» de esta misma tabla</w:t>
            </w:r>
            <w:r>
              <w:t xml:space="preserve">; fracciones I a VI del artículo 18; artículo 20; supervisión de la Secretaría del artículo 22 Bis; artículos 33 Bis a 33 Quáter y 51 Ter; régimen de sanciones, suspensión y autocorrección de los artículos 53 a 55.</w:t>
            </w:r>
          </w:p>
        </w:tc>
        <w:tc>
          <w:tcPr/>
          <w:p>
            <w:pPr>
              <w:pStyle w:val="Compact"/>
              <w:jc w:val="left"/>
            </w:pPr>
            <w:r>
              <w:t xml:space="preserve">Decreto DOF 16-jul-2025, Transitorio Primero · Transitorio Sexto, fracciones III, IV y V del decreto DOF 27-mar-2026</w:t>
            </w:r>
          </w:p>
        </w:tc>
      </w:tr>
      <w:tr>
        <w:tc>
          <w:tcPr/>
          <w:p>
            <w:pPr>
              <w:pStyle w:val="Compact"/>
              <w:jc w:val="left"/>
            </w:pPr>
            <w:r>
              <w:t xml:space="preserve">17 de julio de 2025</w:t>
            </w:r>
            <w:r>
              <w:t xml:space="preserve"> </w:t>
            </w:r>
            <w:r>
              <w:rPr>
                <w:iCs/>
                <w:i/>
              </w:rPr>
              <w:t xml:space="preserve">(regla de escalonamiento)</w:t>
            </w:r>
          </w:p>
        </w:tc>
        <w:tc>
          <w:tcPr/>
          <w:p>
            <w:pPr>
              <w:pStyle w:val="Compact"/>
              <w:jc w:val="left"/>
            </w:pPr>
            <w:r>
              <w:t xml:space="preserve">Las obligaciones de las fracciones VII a XI del artículo 18 de la Ley —enfoque basado en Riesgos, Manual de Políticas Internas, selección de personal y capacitación, mecanismos automatizados y auditoría—</w:t>
            </w:r>
            <w:r>
              <w:t xml:space="preserve"> </w:t>
            </w:r>
            <w:r>
              <w:rPr>
                <w:bCs/>
                <w:b/>
              </w:rPr>
              <w:t xml:space="preserve">no son exigibles desde esa fecha</w:t>
            </w:r>
            <w:r>
              <w:t xml:space="preserve">: entran en vigor en los plazos que fijen las Reglas de Carácter General. Esta remisión sostiene todo el calendario escalonado de 2027 y 2028 y desplaza el primer periodo anual de 2026 que había fijado el Transitorio Segundo del propio decreto.</w:t>
            </w:r>
          </w:p>
        </w:tc>
        <w:tc>
          <w:tcPr/>
          <w:p>
            <w:pPr>
              <w:pStyle w:val="Compact"/>
              <w:jc w:val="left"/>
            </w:pPr>
            <w:r>
              <w:t xml:space="preserve">Decreto DOF 16-jul-2025, Transitorios Segundo y Tercero</w:t>
            </w:r>
          </w:p>
        </w:tc>
      </w:tr>
      <w:tr>
        <w:tc>
          <w:tcPr/>
          <w:p>
            <w:pPr>
              <w:pStyle w:val="Compact"/>
              <w:jc w:val="left"/>
            </w:pPr>
            <w:r>
              <w:t xml:space="preserve">17 de julio de 2025</w:t>
            </w:r>
          </w:p>
        </w:tc>
        <w:tc>
          <w:tcPr/>
          <w:p>
            <w:pPr>
              <w:pStyle w:val="Compact"/>
              <w:jc w:val="left"/>
            </w:pPr>
            <w:r>
              <w:t xml:space="preserve">Fecha bisagra del plazo de conservación de diez años. Para Avisos, Informes, su soporte y acuses, el cómputo arranca con los actos u operaciones realizados a partir de ese día por disposición transitoria expresa. Para los expedientes de identificación, los diez años rigen por la entrada en vigor de la reforma en esa fecha:</w:t>
            </w:r>
            <w:r>
              <w:t xml:space="preserve"> </w:t>
            </w:r>
            <w:r>
              <w:rPr>
                <w:bCs/>
                <w:b/>
              </w:rPr>
              <w:t xml:space="preserve">ningún transitorio fija el arranque del cómputo</w:t>
            </w:r>
            <w:r>
              <w:t xml:space="preserve">, aunque el Transitorio Cuarto del decreto DOF 27-mar-2026 sí ordena cumplir la fracción IV «en términos de las reglas de carácter general vigentes al 17 de julio de 2025 y sus posteriores modificaciones». Los actos anteriores se rigen por el texto del artículo 18, fracción IV vigente hasta el 16 de julio de 2025, que fijaba cinco años.</w:t>
            </w:r>
          </w:p>
        </w:tc>
        <w:tc>
          <w:tcPr/>
          <w:p>
            <w:pPr>
              <w:pStyle w:val="Compact"/>
              <w:jc w:val="left"/>
            </w:pPr>
            <w:r>
              <w:t xml:space="preserve">Decreto DOF 16-jul-2025, Transitorio Primero</w:t>
            </w:r>
            <w:r>
              <w:t xml:space="preserve"> </w:t>
            </w:r>
            <w:r>
              <w:rPr>
                <w:iCs/>
                <w:i/>
              </w:rPr>
              <w:t xml:space="preserve">(Ley art. 18, fr. IV)</w:t>
            </w:r>
            <w:r>
              <w:t xml:space="preserve"> </w:t>
            </w:r>
            <w:r>
              <w:t xml:space="preserve">· Reglamento, Transitorio Séptimo del decreto DOF 27-mar-2026</w:t>
            </w:r>
            <w:r>
              <w:t xml:space="preserve"> </w:t>
            </w:r>
            <w:r>
              <w:rPr>
                <w:iCs/>
                <w:i/>
              </w:rPr>
              <w:t xml:space="preserve">(art. 20 del Reglamento)</w:t>
            </w:r>
            <w:r>
              <w:t xml:space="preserve"> </w:t>
            </w:r>
            <w:r>
              <w:t xml:space="preserve">· Transitorio Cuarto del decreto DOF 27-mar-2026</w:t>
            </w:r>
          </w:p>
        </w:tc>
      </w:tr>
      <w:tr>
        <w:tc>
          <w:tcPr/>
          <w:p>
            <w:pPr>
              <w:pStyle w:val="Compact"/>
              <w:jc w:val="left"/>
            </w:pPr>
            <w:r>
              <w:t xml:space="preserve">Martes 13 de enero de 2026</w:t>
            </w:r>
          </w:p>
        </w:tc>
        <w:tc>
          <w:tcPr/>
          <w:p>
            <w:pPr>
              <w:pStyle w:val="Compact"/>
              <w:jc w:val="left"/>
            </w:pPr>
            <w:r>
              <w:t xml:space="preserve">Vencimiento del plazo de ciento ochenta días naturales otorgado a los Congresos de las Entidades Federativas para realizar las reformas que permitan aplicar el artículo 58 de la Ley: régimen sancionador de notarios y corredores ante la autoridad que supervisa la fe pública.</w:t>
            </w:r>
          </w:p>
        </w:tc>
        <w:tc>
          <w:tcPr/>
          <w:p>
            <w:pPr>
              <w:pStyle w:val="Compact"/>
              <w:jc w:val="left"/>
            </w:pPr>
            <w:r>
              <w:t xml:space="preserve">Decreto DOF 16-jul-2025, Transitorio Quinto · Ley art. 58</w:t>
            </w:r>
          </w:p>
        </w:tc>
      </w:tr>
      <w:tr>
        <w:tc>
          <w:tcPr/>
          <w:p>
            <w:pPr>
              <w:pStyle w:val="Compact"/>
              <w:jc w:val="left"/>
            </w:pPr>
            <w:r>
              <w:t xml:space="preserve">28 de marzo de 2026</w:t>
            </w:r>
          </w:p>
        </w:tc>
        <w:tc>
          <w:tcPr/>
          <w:p>
            <w:pPr>
              <w:pStyle w:val="Compact"/>
              <w:jc w:val="left"/>
            </w:pPr>
            <w:r>
              <w:t xml:space="preserve">Entrada en vigor del Reglamento reformado: montos sin contribuciones ni accesorios y Aviso con montos totales; acumulación de hasta seis meses con Aviso al alcanzarse el umbral aunque no se agote el periodo; plazos de requerimiento de los artículos 8 y 9; artículo 10 Bis; ventana de veinticuatro horas en juegos con apuesta del artículo 21 Bis; fideicomisos y otras figuras jurídicas con firma electrónica propia; procedimiento de autocorrección del artículo 55 Bis. El artículo 7 Bis —Aviso de veinticuatro horas aun por operación no celebrada— queda vigente pero no operativo: su presentación está sujeta a la actualización de los Anexos de la Resolución de formatos. La obligación de obtener y conservar el dictamen del artículo 12 Bis y la facultad de requerirlo del artículo 4, fracción XI remiten a las reglas de carácter general, cuyo primer periodo revisado es 2028.</w:t>
            </w:r>
          </w:p>
        </w:tc>
        <w:tc>
          <w:tcPr/>
          <w:p>
            <w:pPr>
              <w:pStyle w:val="Compact"/>
              <w:jc w:val="left"/>
            </w:pPr>
            <w:r>
              <w:t xml:space="preserve">Decreto DOF 27-mar-2026, Transitorio Primero · Reglamento arts. 4, fr. XI, 6, 7, 7 Bis, 8, 9, 10 Bis, 12, 12 Bis, 21 Bis y 55 Bis · Transitorio Quinto del decreto DOF 27-mar-2026</w:t>
            </w:r>
          </w:p>
        </w:tc>
      </w:tr>
      <w:tr>
        <w:tc>
          <w:tcPr/>
          <w:p>
            <w:pPr>
              <w:pStyle w:val="Compact"/>
              <w:jc w:val="left"/>
            </w:pPr>
            <w:r>
              <w:t xml:space="preserve">Viernes 17 de julio de 2026</w:t>
            </w:r>
          </w:p>
        </w:tc>
        <w:tc>
          <w:tcPr/>
          <w:p>
            <w:pPr>
              <w:pStyle w:val="Compact"/>
              <w:jc w:val="left"/>
            </w:pPr>
            <w:r>
              <w:t xml:space="preserve">Vencimiento del plazo de doce meses que tenía la Secretaría para modificar las Reglas de Carácter General. El ACUERDO 115/2026 se publicó el 7 de agosto de 2026, veintiún días después del vencimiento. El dato explica la compresión del calendario posterior.</w:t>
            </w:r>
          </w:p>
        </w:tc>
        <w:tc>
          <w:tcPr/>
          <w:p>
            <w:pPr>
              <w:pStyle w:val="Compact"/>
              <w:jc w:val="left"/>
            </w:pPr>
            <w:r>
              <w:t xml:space="preserve">Decreto DOF 16-jul-2025, Transitorio Segundo, primer párrafo</w:t>
            </w:r>
          </w:p>
        </w:tc>
      </w:tr>
      <w:tr>
        <w:tc>
          <w:tcPr/>
          <w:p>
            <w:pPr>
              <w:pStyle w:val="Compact"/>
              <w:jc w:val="left"/>
            </w:pPr>
            <w:r>
              <w:t xml:space="preserve">7 de agosto de 2026</w:t>
            </w:r>
          </w:p>
        </w:tc>
        <w:tc>
          <w:tcPr/>
          <w:p>
            <w:pPr>
              <w:pStyle w:val="Compact"/>
              <w:jc w:val="left"/>
            </w:pPr>
            <w:r>
              <w:t xml:space="preserve">Publicación del ACUERDO 115/2026 en el Diario Oficial de la Federación. Abre una ventana de preparación de 115 días naturales.</w:t>
            </w:r>
          </w:p>
        </w:tc>
        <w:tc>
          <w:tcPr/>
          <w:p>
            <w:pPr>
              <w:pStyle w:val="Compact"/>
              <w:jc w:val="left"/>
            </w:pPr>
            <w:r>
              <w:t xml:space="preserve">ACUERDO 115/2026</w:t>
            </w:r>
          </w:p>
        </w:tc>
      </w:tr>
      <w:tr>
        <w:tc>
          <w:tcPr/>
          <w:p>
            <w:pPr>
              <w:pStyle w:val="Compact"/>
              <w:jc w:val="left"/>
            </w:pPr>
            <w:r>
              <w:rPr>
                <w:bCs/>
                <w:b/>
              </w:rPr>
              <w:t xml:space="preserve">Lunes 30 de noviembre de 2026</w:t>
            </w:r>
          </w:p>
        </w:tc>
        <w:tc>
          <w:tcPr/>
          <w:p>
            <w:pPr>
              <w:pStyle w:val="Compact"/>
              <w:jc w:val="left"/>
            </w:pPr>
            <w:r>
              <w:rPr>
                <w:bCs/>
                <w:b/>
              </w:rPr>
              <w:t xml:space="preserve">Entrada en vigor general de las Reglas.</w:t>
            </w:r>
            <w:r>
              <w:t xml:space="preserve"> </w:t>
            </w:r>
            <w:r>
              <w:t xml:space="preserve">Definiciones operativas; padrón —el alta y registro de quienes actúen por medio de fideicomisos u otras figuras jurídicas, de las agencias aduanales, de las personas morales del artículo 17, fracción XIV de la Ley y de quienes realicen la Actividad Vulnerable del artículo 17, fracción XII, Apartado D</w:t>
            </w:r>
            <w:r>
              <w:t xml:space="preserve"> </w:t>
            </w:r>
            <w:r>
              <w:rPr>
                <w:bCs/>
                <w:b/>
              </w:rPr>
              <w:t xml:space="preserve">no es exigible en esa fecha</w:t>
            </w:r>
            <w:r>
              <w:t xml:space="preserve">: el Transitorio Tercero del decreto DOF 27-mar-2026 lo difiere «hasta que el referido formato los identifique expresamente»; las Reglas ya prevén los datos, pero</w:t>
            </w:r>
            <w:r>
              <w:t xml:space="preserve"> </w:t>
            </w:r>
            <w:r>
              <w:rPr>
                <w:bCs/>
                <w:b/>
              </w:rPr>
              <w:t xml:space="preserve">no hay fecha cierta</w:t>
            </w:r>
            <w:r>
              <w:t xml:space="preserve">—; alta reforzada de proveedores de servicios con activos virtuales; consulta del buzón al menos una vez cada día hábil, con notificación tenida por realizada al cuarto día hábil; fecha del acto u operación por Actividad Vulnerable; Informe sin operaciones inmodificable; Capítulo III Quáter, que define a la Persona Políticamente Expuesta; medidas para asociaciones y sociedades sin fines de lucro; confidencialidad ampliada; Entidades Colegiadas; Manual de Políticas Internas con el contenido mínimo del artículo 37 Bis.</w:t>
            </w:r>
          </w:p>
        </w:tc>
        <w:tc>
          <w:tcPr/>
          <w:p>
            <w:pPr>
              <w:pStyle w:val="Compact"/>
              <w:jc w:val="left"/>
            </w:pPr>
            <w:r>
              <w:t xml:space="preserve">Transitorio Primero del ACUERDO 115/2026 · Transitorio Tercero del decreto DOF 27-mar-2026 · RCG arts. 4, fracciones III y IV, y 10 Sexies, y Anexos 2 Bis y 2 Ter</w:t>
            </w:r>
          </w:p>
        </w:tc>
      </w:tr>
      <w:tr>
        <w:tc>
          <w:tcPr/>
          <w:p>
            <w:pPr>
              <w:pStyle w:val="Compact"/>
              <w:jc w:val="left"/>
            </w:pPr>
            <w:r>
              <w:t xml:space="preserve">Viernes 1 de enero de 2027</w:t>
            </w:r>
          </w:p>
        </w:tc>
        <w:tc>
          <w:tcPr/>
          <w:p>
            <w:pPr>
              <w:pStyle w:val="Compact"/>
              <w:jc w:val="left"/>
            </w:pPr>
            <w:r>
              <w:t xml:space="preserve">Inicio del primer periodo anual de capacitación.</w:t>
            </w:r>
          </w:p>
        </w:tc>
        <w:tc>
          <w:tcPr/>
          <w:p>
            <w:pPr>
              <w:pStyle w:val="Compact"/>
              <w:jc w:val="left"/>
            </w:pPr>
            <w:r>
              <w:t xml:space="preserve">Transitorio Séptimo del ACUERDO 115/2026 · RCG arts. 39 Bis y 39 Bis 1</w:t>
            </w:r>
          </w:p>
        </w:tc>
      </w:tr>
      <w:tr>
        <w:tc>
          <w:tcPr/>
          <w:p>
            <w:pPr>
              <w:pStyle w:val="Compact"/>
              <w:jc w:val="left"/>
            </w:pPr>
            <w:r>
              <w:rPr>
                <w:bCs/>
                <w:b/>
              </w:rPr>
              <w:t xml:space="preserve">Lunes 1 de marzo de 2027</w:t>
            </w:r>
          </w:p>
        </w:tc>
        <w:tc>
          <w:tcPr/>
          <w:p>
            <w:pPr>
              <w:pStyle w:val="Compact"/>
              <w:jc w:val="left"/>
            </w:pPr>
            <w:r>
              <w:t xml:space="preserve">Evaluación con enfoque basado en Riesgo a disposición de las autoridades previo requerimiento, con información y factores del año inmediato anterior. Si no se cuenta con el año completo, se usa la información disponible desde el inicio de la Actividad Vulnerable; y quien no tenga doce meses de operaciones implementa su metodología inicial con datos proyectados.</w:t>
            </w:r>
          </w:p>
        </w:tc>
        <w:tc>
          <w:tcPr/>
          <w:p>
            <w:pPr>
              <w:pStyle w:val="Compact"/>
              <w:jc w:val="left"/>
            </w:pPr>
            <w:r>
              <w:t xml:space="preserve">Transitorio Segundo del ACUERDO 115/2026 · RCG arts. 10 Septies a 10 Septies 6, en particular 10 Septies 2, fr. II y segundo párrafo</w:t>
            </w:r>
          </w:p>
        </w:tc>
      </w:tr>
      <w:tr>
        <w:tc>
          <w:tcPr/>
          <w:p>
            <w:pPr>
              <w:pStyle w:val="Compact"/>
              <w:jc w:val="left"/>
            </w:pPr>
            <w:r>
              <w:t xml:space="preserve">1 de marzo de 2027</w:t>
            </w:r>
          </w:p>
        </w:tc>
        <w:tc>
          <w:tcPr/>
          <w:p>
            <w:pPr>
              <w:pStyle w:val="Compact"/>
              <w:jc w:val="left"/>
            </w:pPr>
            <w:r>
              <w:t xml:space="preserve">Manual de Políticas Internas que incorpore la metodología del Capítulo II Quáter, para quienes ya agotaron los noventa días naturales del artículo 37.</w:t>
            </w:r>
          </w:p>
        </w:tc>
        <w:tc>
          <w:tcPr/>
          <w:p>
            <w:pPr>
              <w:pStyle w:val="Compact"/>
              <w:jc w:val="left"/>
            </w:pPr>
            <w:r>
              <w:t xml:space="preserve">Transitorio Tercero del ACUERDO 115/2026</w:t>
            </w:r>
          </w:p>
        </w:tc>
      </w:tr>
      <w:tr>
        <w:tc>
          <w:tcPr/>
          <w:p>
            <w:pPr>
              <w:pStyle w:val="Compact"/>
              <w:jc w:val="left"/>
            </w:pPr>
            <w:r>
              <w:t xml:space="preserve">1 de marzo de 2027</w:t>
            </w:r>
          </w:p>
        </w:tc>
        <w:tc>
          <w:tcPr/>
          <w:p>
            <w:pPr>
              <w:pStyle w:val="Compact"/>
              <w:jc w:val="left"/>
            </w:pPr>
            <w:r>
              <w:t xml:space="preserve">Capítulos III Bis (Grado de Riesgo del Cliente o Usuaria), III Ter (conocimiento del Cliente o Usuaria y Perfil transaccional) y III Quinquies (Beneficiario Controlador), respecto de los actos u operaciones realizados a partir de ese día.</w:t>
            </w:r>
          </w:p>
        </w:tc>
        <w:tc>
          <w:tcPr/>
          <w:p>
            <w:pPr>
              <w:pStyle w:val="Compact"/>
              <w:jc w:val="left"/>
            </w:pPr>
            <w:r>
              <w:t xml:space="preserve">Transitorio Cuarto del ACUERDO 115/2026</w:t>
            </w:r>
          </w:p>
        </w:tc>
      </w:tr>
      <w:tr>
        <w:tc>
          <w:tcPr/>
          <w:p>
            <w:pPr>
              <w:pStyle w:val="Compact"/>
              <w:jc w:val="left"/>
            </w:pPr>
            <w:r>
              <w:t xml:space="preserve">1 de marzo de 2027</w:t>
            </w:r>
          </w:p>
        </w:tc>
        <w:tc>
          <w:tcPr/>
          <w:p>
            <w:pPr>
              <w:pStyle w:val="Compact"/>
              <w:jc w:val="left"/>
            </w:pPr>
            <w:r>
              <w:t xml:space="preserve">Procedimientos de selección de personal, aplicables a las nuevas contrataciones.</w:t>
            </w:r>
          </w:p>
        </w:tc>
        <w:tc>
          <w:tcPr/>
          <w:p>
            <w:pPr>
              <w:pStyle w:val="Compact"/>
              <w:jc w:val="left"/>
            </w:pPr>
            <w:r>
              <w:t xml:space="preserve">Transitorio Sexto del ACUERDO 115/2026 · RCG art. 39 Bis 2</w:t>
            </w:r>
          </w:p>
        </w:tc>
      </w:tr>
      <w:tr>
        <w:tc>
          <w:tcPr/>
          <w:p>
            <w:pPr>
              <w:pStyle w:val="Compact"/>
              <w:jc w:val="left"/>
            </w:pPr>
            <w:r>
              <w:t xml:space="preserve">Domingo 30 de mayo de 2027</w:t>
            </w:r>
          </w:p>
        </w:tc>
        <w:tc>
          <w:tcPr/>
          <w:p>
            <w:pPr>
              <w:pStyle w:val="Compact"/>
              <w:jc w:val="left"/>
            </w:pPr>
            <w:r>
              <w:t xml:space="preserve">Fecha límite para que la UIF, en coordinación con el SAT, implemente el programa de capacitación y orientación dirigido a las asociaciones y sociedades sin fines de lucro y las medidas simplificadas de cumplimiento según su nivel de riesgo. Es obligación de la autoridad.</w:t>
            </w:r>
          </w:p>
        </w:tc>
        <w:tc>
          <w:tcPr/>
          <w:p>
            <w:pPr>
              <w:pStyle w:val="Compact"/>
              <w:jc w:val="left"/>
            </w:pPr>
            <w:r>
              <w:t xml:space="preserve">Decreto DOF 16-jul-2025, Transitorio Cuarto</w:t>
            </w:r>
          </w:p>
        </w:tc>
      </w:tr>
      <w:tr>
        <w:tc>
          <w:tcPr/>
          <w:p>
            <w:pPr>
              <w:pStyle w:val="Compact"/>
              <w:jc w:val="left"/>
            </w:pPr>
            <w:r>
              <w:rPr>
                <w:bCs/>
                <w:b/>
              </w:rPr>
              <w:t xml:space="preserve">Lunes 31 de mayo de 2027</w:t>
            </w:r>
            <w:r>
              <w:t xml:space="preserve"> </w:t>
            </w:r>
            <w:r>
              <w:rPr>
                <w:iCs/>
                <w:i/>
              </w:rPr>
              <w:t xml:space="preserve">(vencimiento formal: domingo 30)</w:t>
            </w:r>
          </w:p>
        </w:tc>
        <w:tc>
          <w:tcPr/>
          <w:p>
            <w:pPr>
              <w:pStyle w:val="Compact"/>
              <w:jc w:val="left"/>
            </w:pPr>
            <w:r>
              <w:t xml:space="preserve">Los proveedores de servicios con activos virtuales ya dados de alta actualizan y entregan de forma física al SAT la información y documentación del artículo 10 Bis. Los seis meses vencen en domingo y la entrega es física ante el SAT, que sólo actúa en días y horas hábiles, por lo que el vencimiento se recorre al día hábil siguiente.</w:t>
            </w:r>
          </w:p>
        </w:tc>
        <w:tc>
          <w:tcPr/>
          <w:p>
            <w:pPr>
              <w:pStyle w:val="Compact"/>
              <w:jc w:val="left"/>
            </w:pPr>
            <w:r>
              <w:t xml:space="preserve">Transitorio Décimo Segundo del ACUERDO 115/2026 · RCG arts. 10 Bis y 36 Bis, primer párrafo · LFPA de aplicación supletoria, Ley art. 4, fr. III</w:t>
            </w:r>
          </w:p>
        </w:tc>
      </w:tr>
      <w:tr>
        <w:tc>
          <w:tcPr/>
          <w:p>
            <w:pPr>
              <w:pStyle w:val="Compact"/>
              <w:jc w:val="left"/>
            </w:pPr>
            <w:r>
              <w:t xml:space="preserve">Martes 1 de junio de 2027</w:t>
            </w:r>
          </w:p>
        </w:tc>
        <w:tc>
          <w:tcPr/>
          <w:p>
            <w:pPr>
              <w:pStyle w:val="Compact"/>
              <w:jc w:val="left"/>
            </w:pPr>
            <w:r>
              <w:t xml:space="preserve">Mecanismos automatizados, con la información de los actos u operaciones realizados a partir de esa fecha.</w:t>
            </w:r>
          </w:p>
        </w:tc>
        <w:tc>
          <w:tcPr/>
          <w:p>
            <w:pPr>
              <w:pStyle w:val="Compact"/>
              <w:jc w:val="left"/>
            </w:pPr>
            <w:r>
              <w:t xml:space="preserve">Transitorio Noveno del ACUERDO 115/2026 · RCG art. 41</w:t>
            </w:r>
          </w:p>
        </w:tc>
      </w:tr>
      <w:tr>
        <w:tc>
          <w:tcPr/>
          <w:p>
            <w:pPr>
              <w:pStyle w:val="Compact"/>
              <w:jc w:val="left"/>
            </w:pPr>
            <w:r>
              <w:t xml:space="preserve">Viernes 30 de julio de 2027</w:t>
            </w:r>
          </w:p>
        </w:tc>
        <w:tc>
          <w:tcPr/>
          <w:p>
            <w:pPr>
              <w:pStyle w:val="Compact"/>
              <w:jc w:val="left"/>
            </w:pPr>
            <w:r>
              <w:t xml:space="preserve">Fecha límite para que la Secretaría implemente los mecanismos tecnológicos del sistema de notificaciones electrónicas. Es obligación de la autoridad.</w:t>
            </w:r>
            <w:r>
              <w:t xml:space="preserve"> </w:t>
            </w:r>
            <w:r>
              <w:rPr>
                <w:bCs/>
                <w:b/>
              </w:rPr>
              <w:t xml:space="preserve">Ningún precepto resuelve qué ocurre con el deber de consulta del buzón —exigible desde el 30 de noviembre de 2026— durante los ocho meses en que la Secretaría puede aún no tener implementado el sistema.</w:t>
            </w:r>
            <w:r>
              <w:t xml:space="preserve"> </w:t>
            </w:r>
            <w:r>
              <w:t xml:space="preserve">La lectura sistemática es que el deber subsiste y que la imposibilidad por causa imputable a la autoridad se rige por el sexto párrafo del artículo 6 de las Reglas; es interpretación, no texto</w:t>
            </w:r>
            <w:r>
              <w:t xml:space="preserve"> </w:t>
            </w:r>
            <w:r>
              <w:rPr>
                <w:iCs/>
                <w:i/>
              </w:rPr>
              <w:t xml:space="preserve">(ámbar)</w:t>
            </w:r>
            <w:r>
              <w:t xml:space="preserve">.</w:t>
            </w:r>
          </w:p>
        </w:tc>
        <w:tc>
          <w:tcPr/>
          <w:p>
            <w:pPr>
              <w:pStyle w:val="Compact"/>
              <w:jc w:val="left"/>
            </w:pPr>
            <w:r>
              <w:t xml:space="preserve">Transitorio Décimo Primero del ACUERDO 115/2026 · RCG art. 6, párrafo sexto</w:t>
            </w:r>
          </w:p>
        </w:tc>
      </w:tr>
      <w:tr>
        <w:tc>
          <w:tcPr/>
          <w:p>
            <w:pPr>
              <w:pStyle w:val="Compact"/>
              <w:jc w:val="left"/>
            </w:pPr>
            <w:r>
              <w:t xml:space="preserve">Lunes 30 de agosto de 2027</w:t>
            </w:r>
          </w:p>
        </w:tc>
        <w:tc>
          <w:tcPr/>
          <w:p>
            <w:pPr>
              <w:pStyle w:val="Compact"/>
              <w:jc w:val="left"/>
            </w:pPr>
            <w:r>
              <w:t xml:space="preserve">Queda disponible, para quienes realicen Actividades Vulnerables y para las Entidades Financieras, la consulta sobre Personas Políticamente Expuestas nacionales en la aplicación Consulta PEP 2.0. Es habilitación de la herramienta. La definición de Persona Políticamente Expuesta y las reglas del Capítulo III Quáter son exigibles desde el 30 de noviembre de 2026 —ese Capítulo no figura en el Transitorio Cuarto del ACUERDO 115/2026—; lo que se difiere al 1 de marzo de 2027 es el tratamiento reforzado alojado en los Capítulos III Bis y III Ter.</w:t>
            </w:r>
          </w:p>
        </w:tc>
        <w:tc>
          <w:tcPr/>
          <w:p>
            <w:pPr>
              <w:pStyle w:val="Compact"/>
              <w:jc w:val="left"/>
            </w:pPr>
            <w:r>
              <w:t xml:space="preserve">Transitorio Décimo del ACUERDO 115/2026 · Transitorio Primero del ACUERDO 115/2026 · RCG arts. 23 Quáter, 23 Quáter 1, 23 Bis 3, 23 Bis 4, 23 Ter 4, fr. III y 23 Ter 5</w:t>
            </w:r>
          </w:p>
        </w:tc>
      </w:tr>
      <w:tr>
        <w:tc>
          <w:tcPr/>
          <w:p>
            <w:pPr>
              <w:pStyle w:val="Compact"/>
              <w:jc w:val="left"/>
            </w:pPr>
            <w:r>
              <w:t xml:space="preserve">Viernes 31 de diciembre de 2027</w:t>
            </w:r>
          </w:p>
        </w:tc>
        <w:tc>
          <w:tcPr/>
          <w:p>
            <w:pPr>
              <w:pStyle w:val="Compact"/>
              <w:jc w:val="left"/>
            </w:pPr>
            <w:r>
              <w:t xml:space="preserve">Cierre del primer periodo anual de capacitación: evaluaciones y constancias.</w:t>
            </w:r>
          </w:p>
        </w:tc>
        <w:tc>
          <w:tcPr/>
          <w:p>
            <w:pPr>
              <w:pStyle w:val="Compact"/>
              <w:jc w:val="left"/>
            </w:pPr>
            <w:r>
              <w:t xml:space="preserve">Transitorio Séptimo del ACUERDO 115/2026 · RCG art. 39 Bis 1, segundo párrafo</w:t>
            </w:r>
          </w:p>
        </w:tc>
      </w:tr>
      <w:tr>
        <w:tc>
          <w:tcPr/>
          <w:p>
            <w:pPr>
              <w:pStyle w:val="Compact"/>
              <w:jc w:val="left"/>
            </w:pPr>
            <w:r>
              <w:t xml:space="preserve">1 de enero – 31 de diciembre de 2028</w:t>
            </w:r>
          </w:p>
        </w:tc>
        <w:tc>
          <w:tcPr/>
          <w:p>
            <w:pPr>
              <w:pStyle w:val="Compact"/>
              <w:jc w:val="left"/>
            </w:pPr>
            <w:r>
              <w:t xml:space="preserve">Primer periodo de revisión de auditoría. Se audita el ejercicio 2028, no el 2027.</w:t>
            </w:r>
          </w:p>
        </w:tc>
        <w:tc>
          <w:tcPr/>
          <w:p>
            <w:pPr>
              <w:pStyle w:val="Compact"/>
              <w:jc w:val="left"/>
            </w:pPr>
            <w:r>
              <w:t xml:space="preserve">Transitorio Octavo del ACUERDO 115/2026 · RCG arts. 42 a 51</w:t>
            </w:r>
          </w:p>
        </w:tc>
      </w:tr>
      <w:tr>
        <w:tc>
          <w:tcPr/>
          <w:p>
            <w:pPr>
              <w:pStyle w:val="Compact"/>
              <w:jc w:val="left"/>
            </w:pPr>
            <w:r>
              <w:t xml:space="preserve">Marzo de 2029 ·</w:t>
            </w:r>
            <w:r>
              <w:t xml:space="preserve"> </w:t>
            </w:r>
            <w:r>
              <w:rPr>
                <w:bCs/>
                <w:b/>
              </w:rPr>
              <w:t xml:space="preserve">último día hábil (por determinar)</w:t>
            </w:r>
          </w:p>
        </w:tc>
        <w:tc>
          <w:tcPr/>
          <w:p>
            <w:pPr>
              <w:pStyle w:val="Compact"/>
              <w:jc w:val="left"/>
            </w:pPr>
            <w:r>
              <w:t xml:space="preserve">Entrega del primer dictamen de auditoría. El plazo es el último día hábil de marzo. El 31 cae en sábado y el 30 es Viernes Santo —la Pascua de 2029 es el 1 de abril—; el 29 es Jueves Santo. Si el SAT mantiene su criterio de declarar inhábiles ambos días en la Resolución Miscelánea Fiscal, el último día hábil será el miércoles 28 de marzo de 2029. La fecha sólo queda firme cuando se publique la Resolución Miscelánea Fiscal del ejercicio.</w:t>
            </w:r>
          </w:p>
        </w:tc>
        <w:tc>
          <w:tcPr/>
          <w:p>
            <w:pPr>
              <w:pStyle w:val="Compact"/>
              <w:jc w:val="left"/>
            </w:pPr>
            <w:r>
              <w:t xml:space="preserve">RCG arts. 50 y 36 Bis, tercer párrafo · Transitorio Octavo del ACUERDO 115/2026</w:t>
            </w:r>
          </w:p>
        </w:tc>
      </w:tr>
      <w:tr>
        <w:tc>
          <w:tcPr/>
          <w:p>
            <w:pPr>
              <w:pStyle w:val="Compact"/>
              <w:jc w:val="left"/>
            </w:pPr>
            <w:r>
              <w:t xml:space="preserve">Condicionado</w:t>
            </w:r>
          </w:p>
        </w:tc>
        <w:tc>
          <w:tcPr/>
          <w:p>
            <w:pPr>
              <w:pStyle w:val="Compact"/>
              <w:jc w:val="left"/>
            </w:pPr>
            <w:r>
              <w:t xml:space="preserve">Aviso por las protocolizaciones o cualquier acto que conlleve la formalización de los actos u operaciones del artículo 17, fracción XII, Apartados A y B de la Ley: su presentación está sujeta a que se actualice el Anexo 12-A de la Resolución de formatos. Y quienes realizan la Actividad Vulnerable del Apartado D —personas facilitadoras públicas y privadas— presentarán sus Avisos e Informes conforme al formato oficial específico que la UIF publique en el Diario Oficial de la Federación, que aún no existe. En ambos casos no hay fecha cierta. El nuevo umbral de los incisos a), c) y d) del Apartado A sí rige respecto de los actos u operaciones realizados desde el 17 de julio de 2025. Alcanza a notarios, corredores públicos y personas facilitadoras.</w:t>
            </w:r>
          </w:p>
        </w:tc>
        <w:tc>
          <w:tcPr/>
          <w:p>
            <w:pPr>
              <w:pStyle w:val="Compact"/>
              <w:jc w:val="left"/>
            </w:pPr>
            <w:r>
              <w:t xml:space="preserve">Transitorio Sexto, fracciones III, IV y V del decreto DOF 27-mar-2026 · Ley art. 17, fr. XII, Apartados A, B y D</w:t>
            </w:r>
          </w:p>
        </w:tc>
      </w:tr>
      <w:tr>
        <w:tc>
          <w:tcPr/>
          <w:p>
            <w:pPr>
              <w:pStyle w:val="Compact"/>
              <w:jc w:val="left"/>
            </w:pPr>
            <w:r>
              <w:t xml:space="preserve">Condicionado</w:t>
            </w:r>
          </w:p>
        </w:tc>
        <w:tc>
          <w:tcPr/>
          <w:p>
            <w:pPr>
              <w:pStyle w:val="Compact"/>
              <w:jc w:val="left"/>
            </w:pPr>
            <w:r>
              <w:t xml:space="preserve">Avisos de veinticuatro horas —por sospecha, por hechos o indicios, por operación intentada y por coincidencia en el listado del artículo 38—: seis meses después de que entre en vigor la Resolución que modifique los formatos oficiales y prevea expresamente la identificación de este tipo de Avisos. No hay fecha cierta.</w:t>
            </w:r>
          </w:p>
        </w:tc>
        <w:tc>
          <w:tcPr/>
          <w:p>
            <w:pPr>
              <w:pStyle w:val="Compact"/>
              <w:jc w:val="left"/>
            </w:pPr>
            <w:r>
              <w:t xml:space="preserve">Transitorio Quinto del ACUERDO 115/2026 · RCG arts. 26 Bis, 26 Bis 1, 26 Bis 2 y 27, segundo párrafo</w:t>
            </w:r>
          </w:p>
        </w:tc>
      </w:tr>
      <w:tr>
        <w:tc>
          <w:tcPr/>
          <w:p>
            <w:pPr>
              <w:pStyle w:val="Compact"/>
              <w:jc w:val="left"/>
            </w:pPr>
            <w:r>
              <w:t xml:space="preserve">Condicionado</w:t>
            </w:r>
          </w:p>
        </w:tc>
        <w:tc>
          <w:tcPr/>
          <w:p>
            <w:pPr>
              <w:pStyle w:val="Compact"/>
              <w:jc w:val="left"/>
            </w:pPr>
            <w:r>
              <w:t xml:space="preserve">Certificación que otorga la UIF, con vigencia de cinco años: conforme a la convocatoria que se publique en el Diario Oficial de la Federación. No hay convocatoria a la fecha de cierre de este documento. La convocatoria tiene una fecha límite implícita: la persona auditora externa debe contar con la certificación vigente al momento de elaborar y firmar el dictamen, y el primer dictamen se entrega en marzo de 2029.</w:t>
            </w:r>
          </w:p>
        </w:tc>
        <w:tc>
          <w:tcPr/>
          <w:p>
            <w:pPr>
              <w:pStyle w:val="Compact"/>
              <w:jc w:val="left"/>
            </w:pPr>
            <w:r>
              <w:t xml:space="preserve">RCG arts. 34 Bis y 45, inciso b) · Transitorio Octavo del ACUERDO 115/2026</w:t>
            </w:r>
          </w:p>
        </w:tc>
      </w:tr>
      <w:tr>
        <w:tc>
          <w:tcPr/>
          <w:p>
            <w:pPr>
              <w:pStyle w:val="Compact"/>
              <w:jc w:val="left"/>
            </w:pPr>
            <w:r>
              <w:t xml:space="preserve">Condicionado</w:t>
            </w:r>
          </w:p>
        </w:tc>
        <w:tc>
          <w:tcPr/>
          <w:p>
            <w:pPr>
              <w:pStyle w:val="Compact"/>
              <w:jc w:val="left"/>
            </w:pPr>
            <w:r>
              <w:t xml:space="preserve">Suspensión temporal de actos u operaciones con determinadas personas Clientes o Usuarias: la facultad existe, pero su ejercicio está condicionado a mecanismos que deben emitirse en reglas de carácter general y que no se han publicado. Existe un puente transitorio: los mecanismos que emita la UIF se observan en términos de las reglas vigentes al 17 de julio de 2025 y sus posteriores modificaciones.</w:t>
            </w:r>
          </w:p>
        </w:tc>
        <w:tc>
          <w:tcPr/>
          <w:p>
            <w:pPr>
              <w:pStyle w:val="Compact"/>
              <w:jc w:val="left"/>
            </w:pPr>
            <w:r>
              <w:t xml:space="preserve">Ley art. 54 Bis · Reglamento art. 18 y Transitorio Octavo del decreto DOF 27-mar-2026 · RCG art. 38</w:t>
            </w:r>
          </w:p>
        </w:tc>
      </w:tr>
    </w:tbl>
    <w:p>
      <w:pPr>
        <w:pStyle w:val="BodyText"/>
      </w:pPr>
      <w:r>
        <w:rPr>
          <w:iCs/>
          <w:i/>
        </w:rPr>
        <w:t xml:space="preserve">Sobre la certificación hay además un problema de elegibilidad que conviene registrar. El artículo 34 Bis abre la certificación sólo a las personas físicas que realizan Actividades Vulnerables y a las personas Representantes Encargadas de Cumplimiento que hayan aceptado su designación. Una persona auditora externa independiente no es, en principio, ninguna de las dos, y el inciso e) del artículo 45 le prohíbe haber sido Representante del auditado durante el periodo auditado y los dos años posteriores. Si la convocatoria no resuelve ese punto y no se publica con antelación suficiente, quienes tengan Riesgo propio alto —obligados a auditoría externa por el artículo 45— podrían quedar en imposibilidad material de cumplir en marzo de 2029.</w:t>
      </w:r>
    </w:p>
    <w:p>
      <w:r>
        <w:pict>
          <v:rect style="width:0;height:1.5pt" o:hralign="center" o:hrstd="t" o:hr="t"/>
        </w:pict>
      </w:r>
    </w:p>
    <w:p>
      <w:pPr>
        <w:pStyle w:val="FirstParagraph"/>
      </w:pPr>
      <w:r>
        <w:rPr>
          <w:iCs/>
          <w:i/>
        </w:rPr>
        <w:t xml:space="preserve">Material de análisis y capacitación. No es asesoría legal ni interpretación oficial y no sustituye el criterio de la autoridad competente; la interpretación administrativa de las Reglas corresponde a la Unidad de Inteligencia Financiera conforme al artículo 40 de las mismas. Referencias: Ley reformada el 16 de julio de 2025; Reglamento reformado el 27 de marzo de 2026; Reglas de Carácter General modificadas por el ACUERDO 115/2026, publicado el 7 de agosto de 2026 y con entrada en vigor el 30 de noviembre de 2026. Cada cita fue cotejada por revisores independientes de quien redactó el material.</w:t>
      </w:r>
    </w:p>
    <w:p>
      <w:pPr>
        <w:pStyle w:val="BodyText"/>
      </w:pPr>
      <w:r>
        <w:rPr>
          <w:iCs/>
          <w:i/>
        </w:rPr>
        <w:t xml:space="preserve">Este material se mantiene vivo: si se detecta cualquier error o precisión, se actualiza a su versión más reciente en esta misma liga.</w:t>
      </w:r>
    </w:p>
    <w:p>
      <w:pPr>
        <w:pStyle w:val="BodyText"/>
      </w:pPr>
      <w:r>
        <w:rPr>
          <w:bCs/>
          <w:b/>
        </w:rPr>
        <w:t xml:space="preserve">GMC360 · 360Educa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4395E"/>
      <w:rFonts w:asciiTheme="majorHAnsi" w:cstheme="majorBidi" w:eastAsiaTheme="majorEastAsia" w:hAnsiTheme="majorHAnsi"/>
      <w:b/>
      <w:bCs/>
      <w:sz w:val="36"/>
      <w:szCs w:val="36"/>
    </w:rPr>
  </w:style>
  <w:style w:styleId="Subtitle" w:type="paragraph">
    <w:name w:val="Subtitle"/>
    <w:basedOn w:val="Title"/>
    <w:next w:val="BodyText"/>
    <w:qFormat/>
    <w:pPr>
      <w:keepNext/>
      <w:keepLines/>
      <w:spacing w:after="240" w:before="240"/>
      <w:jc w:val="center"/>
    </w:pPr>
    <w:rPr>
      <w:color w:val="4A4A4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4395E"/>
      <w:sz w:val="30"/>
      <w:szCs w:val="30"/>
      <w:rFonts w:asciiTheme="majorHAnsi" w:cstheme="majorBidi" w:eastAsiaTheme="majorEastAsia" w:hAnsiTheme="majorHAnsi"/>
      <w:b/>
      <w:bCs/>
      <w:sz w:val="32"/>
      <w:szCs w:val="32"/>
    </w:rPr>
  </w:style>
  <w:style w:styleId="Heading2" w:type="paragraph">
    <w:name w:val="Heading 2"/>
    <w:basedOn w:val="Normal"/>
    <w:next w:val="BodyText"/>
    <w:uiPriority w:val="9"/>
    <w:unhideWhenUsed/>
    <w:qFormat/>
    <w:pPr>
      <w:keepNext/>
      <w:keepLines/>
      <w:spacing w:after="0" w:before="200"/>
      <w:outlineLvl w:val="1"/>
    </w:pPr>
    <w:rPr>
      <w:color w:val="14395E"/>
      <w:sz w:val="26"/>
      <w:szCs w:val="26"/>
      <w:rFonts w:asciiTheme="majorHAnsi" w:cstheme="majorBidi" w:eastAsiaTheme="majorEastAsia" w:hAnsiTheme="majorHAnsi"/>
      <w:b/>
      <w:bCs/>
      <w:sz w:val="28"/>
      <w:szCs w:val="28"/>
    </w:rPr>
  </w:style>
  <w:style w:styleId="Heading3" w:type="paragraph">
    <w:name w:val="Heading 3"/>
    <w:basedOn w:val="Normal"/>
    <w:next w:val="BodyText"/>
    <w:uiPriority w:val="9"/>
    <w:unhideWhenUsed/>
    <w:qFormat/>
    <w:pPr>
      <w:keepNext/>
      <w:keepLines/>
      <w:spacing w:after="0" w:before="200"/>
      <w:outlineLvl w:val="2"/>
    </w:pPr>
    <w:rPr>
      <w:color w:val="1F3A5F"/>
      <w:sz w:val="22"/>
      <w:szCs w:val="22"/>
      <w:rFonts w:asciiTheme="majorHAnsi" w:cstheme="majorBidi" w:eastAsiaTheme="majorEastAsia"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Calendario único de exigibilidad</dc:title>
  <dc:creator>GMC360 · 360Educa</dc:creator>
  <dc:language>es-MX</dc:language>
  <cp:keywords/>
  <dcterms:created xsi:type="dcterms:W3CDTF">2026-08-25T04:27:46Z</dcterms:created>
  <dcterms:modified xsi:type="dcterms:W3CDTF">2026-08-25T04:27:46Z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de agosto de 2026 · LFPIORPI · Reglamento · ACUERDO 115/2026</vt:lpwstr>
  </property>
  <property fmtid="{D5CDD505-2E9C-101B-9397-08002B2CF9AE}" pid="3" name="subtitle">
    <vt:lpwstr>Qué se exige, desde cuándo y con qué fundamento · LFPIORPI tras la reforma</vt:lpwstr>
  </property>
</Properties>
</file>