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Tabla</w:t>
      </w:r>
      <w:r>
        <w:t xml:space="preserve"> </w:t>
      </w:r>
      <w:r>
        <w:t xml:space="preserve">única</w:t>
      </w:r>
      <w:r>
        <w:t xml:space="preserve"> </w:t>
      </w:r>
      <w:r>
        <w:t xml:space="preserve">de</w:t>
      </w:r>
      <w:r>
        <w:t xml:space="preserve"> </w:t>
      </w:r>
      <w:r>
        <w:t xml:space="preserve">plazos</w:t>
      </w:r>
    </w:p>
    <w:p>
      <w:pPr>
        <w:pStyle w:val="Subtitle"/>
      </w:pPr>
      <w:r>
        <w:t xml:space="preserve">Conservación,</w:t>
      </w:r>
      <w:r>
        <w:t xml:space="preserve"> </w:t>
      </w:r>
      <w:r>
        <w:t xml:space="preserve">trámite,</w:t>
      </w:r>
      <w:r>
        <w:t xml:space="preserve"> </w:t>
      </w:r>
      <w:r>
        <w:t xml:space="preserve">procedimiento</w:t>
      </w:r>
      <w:r>
        <w:t xml:space="preserve"> </w:t>
      </w:r>
      <w:r>
        <w:t xml:space="preserve">y</w:t>
      </w:r>
      <w:r>
        <w:t xml:space="preserve"> </w:t>
      </w:r>
      <w:r>
        <w:t xml:space="preserve">autocorrección</w:t>
      </w:r>
      <w:r>
        <w:t xml:space="preserve"> </w:t>
      </w:r>
      <w:r>
        <w:t xml:space="preserve">·</w:t>
      </w:r>
      <w:r>
        <w:t xml:space="preserve"> </w:t>
      </w:r>
      <w:r>
        <w:t xml:space="preserve">LFPIORPI</w:t>
      </w:r>
      <w:r>
        <w:t xml:space="preserve"> </w:t>
      </w:r>
      <w:r>
        <w:t xml:space="preserve">tras</w:t>
      </w:r>
      <w:r>
        <w:t xml:space="preserve"> </w:t>
      </w:r>
      <w:r>
        <w:t xml:space="preserve">la</w:t>
      </w:r>
      <w:r>
        <w:t xml:space="preserve"> </w:t>
      </w:r>
      <w:r>
        <w:t xml:space="preserve">reforma</w:t>
      </w:r>
    </w:p>
    <w:p>
      <w:pPr>
        <w:pStyle w:val="Author"/>
      </w:pPr>
      <w:r>
        <w:t xml:space="preserve">GMC360</w:t>
      </w:r>
      <w:r>
        <w:t xml:space="preserve"> </w:t>
      </w:r>
      <w:r>
        <w:t xml:space="preserve">·</w:t>
      </w:r>
      <w:r>
        <w:t xml:space="preserve"> </w:t>
      </w:r>
      <w:r>
        <w:t xml:space="preserve">360Educa</w:t>
      </w:r>
    </w:p>
    <w:p>
      <w:pPr>
        <w:pStyle w:val="Date"/>
      </w:pPr>
      <w:r>
        <w:t xml:space="preserve">25</w:t>
      </w:r>
      <w:r>
        <w:t xml:space="preserve"> </w:t>
      </w:r>
      <w:r>
        <w:t xml:space="preserve">de</w:t>
      </w:r>
      <w:r>
        <w:t xml:space="preserve"> </w:t>
      </w:r>
      <w:r>
        <w:t xml:space="preserve">agosto</w:t>
      </w:r>
      <w:r>
        <w:t xml:space="preserve"> </w:t>
      </w:r>
      <w:r>
        <w:t xml:space="preserve">de</w:t>
      </w:r>
      <w:r>
        <w:t xml:space="preserve"> </w:t>
      </w:r>
      <w:r>
        <w:t xml:space="preserve">2026</w:t>
      </w:r>
      <w:r>
        <w:t xml:space="preserve"> </w:t>
      </w:r>
      <w:r>
        <w:t xml:space="preserve">·</w:t>
      </w:r>
      <w:r>
        <w:t xml:space="preserve"> </w:t>
      </w:r>
      <w:r>
        <w:t xml:space="preserve">LFPIORPI</w:t>
      </w:r>
      <w:r>
        <w:t xml:space="preserve"> </w:t>
      </w:r>
      <w:r>
        <w:t xml:space="preserve">·</w:t>
      </w:r>
      <w:r>
        <w:t xml:space="preserve"> </w:t>
      </w:r>
      <w:r>
        <w:t xml:space="preserve">Reglamento</w:t>
      </w:r>
      <w:r>
        <w:t xml:space="preserve"> </w:t>
      </w:r>
      <w:r>
        <w:t xml:space="preserve">·</w:t>
      </w:r>
      <w:r>
        <w:t xml:space="preserve"> </w:t>
      </w:r>
      <w:r>
        <w:t xml:space="preserve">ACUERDO</w:t>
      </w:r>
      <w:r>
        <w:t xml:space="preserve"> </w:t>
      </w:r>
      <w:r>
        <w:t xml:space="preserve">115/2026</w:t>
      </w:r>
    </w:p>
    <w:p>
      <w:pPr>
        <w:pStyle w:val="FirstParagraph"/>
      </w:pPr>
      <w:r>
        <w:rPr>
          <w:iCs/>
          <w:i/>
        </w:rPr>
        <w:t xml:space="preserve">Los plazos de conservación cambian según el acervo, y los de trámite se confunden con facilidad. Ésta es la tabla de control. Se desprende del compendio «Preguntas del sector sobre el ACUERDO 115/2026» y allá lleva el nombre de Anexo B. Cuando esta tabla y el</w:t>
      </w:r>
      <w:r>
        <w:rPr>
          <w:iCs/>
          <w:i/>
        </w:rPr>
        <w:t xml:space="preserve"> </w:t>
      </w:r>
      <w:r>
        <w:rPr>
          <w:bCs/>
          <w:b/>
          <w:iCs/>
          <w:i/>
        </w:rPr>
        <w:t xml:space="preserve">Calendario único de exigibilidad</w:t>
      </w:r>
      <w:r>
        <w:rPr>
          <w:iCs/>
          <w:i/>
        </w:rPr>
        <w:t xml:space="preserve"> </w:t>
      </w:r>
      <w:r>
        <w:rPr>
          <w:iCs/>
          <w:i/>
        </w:rPr>
        <w:t xml:space="preserve">discrepen, prevalece aquél en materia de fechas de exigibilidad y ésta en materia de duración de plazos.</w:t>
      </w:r>
    </w:p>
    <w:p>
      <w:pPr>
        <w:pStyle w:val="BodyText"/>
      </w:pPr>
      <w:r>
        <w:rPr>
          <w:iCs/>
          <w:i/>
        </w:rPr>
        <w:t xml:space="preserve">Regla de desempate entre anexos, porque los dos se declaran prevalentes y no dicen lo mismo:</w:t>
      </w:r>
      <w:r>
        <w:rPr>
          <w:iCs/>
          <w:i/>
        </w:rPr>
        <w:t xml:space="preserve"> </w:t>
      </w:r>
      <w:r>
        <w:rPr>
          <w:bCs/>
          <w:b/>
          <w:iCs/>
          <w:i/>
        </w:rPr>
        <w:t xml:space="preserve">cuando el Anexo A y este Anexo B discrepen, prevalece el Anexo A en materia de fechas de exigibilidad y el Anexo B en materia de duración de plazos.</w:t>
      </w:r>
      <w:r>
        <w:rPr>
          <w:iCs/>
          <w:i/>
        </w:rPr>
        <w:t xml:space="preserve"> </w:t>
      </w:r>
      <w:r>
        <w:rPr>
          <w:iCs/>
          <w:i/>
        </w:rPr>
        <w:t xml:space="preserve">El Anexo B dice cuánto dura cada plazo; el Anexo A dice desde cuándo es exigible la obligación que lo detona. Un plazo de esta tabla no corre antes de la fecha que el Anexo A asigna a su obligación.</w:t>
      </w:r>
    </w:p>
    <w:p>
      <w:pPr>
        <w:pStyle w:val="BodyText"/>
      </w:pPr>
      <w:r>
        <w:rPr>
          <w:iCs/>
          <w:i/>
        </w:rPr>
        <w:t xml:space="preserve">Nota de lectura de esta separata: donde el texto dice «Anexo A» se refiere al</w:t>
      </w:r>
      <w:r>
        <w:rPr>
          <w:iCs/>
          <w:i/>
        </w:rPr>
        <w:t xml:space="preserve"> </w:t>
      </w:r>
      <w:r>
        <w:rPr>
          <w:bCs/>
          <w:b/>
          <w:iCs/>
          <w:i/>
        </w:rPr>
        <w:t xml:space="preserve">Calendario único de exigibilidad</w:t>
      </w:r>
      <w:r>
        <w:rPr>
          <w:iCs/>
          <w:i/>
        </w:rPr>
        <w:t xml:space="preserve">, que se distribuye por separado y con ese nombre; donde dice «Anexo B», a esta misma tabla.</w:t>
      </w:r>
    </w:p>
    <w:bookmarkStart w:id="20" w:name="b.1-conservación"/>
    <w:p>
      <w:pPr>
        <w:pStyle w:val="Heading2"/>
      </w:pPr>
      <w:r>
        <w:t xml:space="preserve">B.1 · Conservación</w:t>
      </w:r>
    </w:p>
    <w:p>
      <w:pPr>
        <w:pStyle w:val="FirstParagraph"/>
      </w:pPr>
      <w:r>
        <w:rPr>
          <w:iCs/>
          <w:i/>
        </w:rPr>
        <w:t xml:space="preserve">Estos plazos sólo corren respecto de obligaciones ya exigibles conforme al Calendario único de exigibilidad: el de los registros históricos del artículo 41, fracción IV de las Reglas rige a partir del 1 de junio de 2027 (Transitorio Noveno del ACUERDO 115/2026).</w:t>
      </w:r>
      <w:r>
        <w:rPr>
          <w:iCs/>
          <w:i/>
        </w:rPr>
        <w:t xml:space="preserve"> </w:t>
      </w:r>
      <w:r>
        <w:rPr>
          <w:bCs/>
          <w:b/>
          <w:iCs/>
          <w:i/>
        </w:rPr>
        <w:t xml:space="preserve">Prevalece el Calendario en materia de fechas de exigibilidad.</w:t>
      </w:r>
    </w:p>
    <w:tbl>
      <w:tblPr>
        <w:tblStyle w:val="Table"/>
        <w:tblW w:type="pct" w:w="5000"/>
        <w:tblLook w:firstRow="1" w:lastRow="0" w:firstColumn="0" w:lastColumn="0" w:noHBand="0" w:noVBand="0" w:val="0020"/>
        <w:jc w:val="start"/>
      </w:tblPr>
      <w:tblGrid>
        <w:gridCol w:w="1603"/>
        <w:gridCol w:w="1360"/>
        <w:gridCol w:w="2769"/>
        <w:gridCol w:w="2186"/>
      </w:tblGrid>
      <w:tr>
        <w:trPr>
          <w:tblHeader w:val="true"/>
        </w:trPr>
        <w:tc>
          <w:tcPr/>
          <w:p>
            <w:pPr>
              <w:pStyle w:val="Compact"/>
              <w:jc w:val="left"/>
            </w:pPr>
            <w:r>
              <w:t xml:space="preserve">Qué se conserva</w:t>
            </w:r>
          </w:p>
        </w:tc>
        <w:tc>
          <w:tcPr/>
          <w:p>
            <w:pPr>
              <w:pStyle w:val="Compact"/>
              <w:jc w:val="left"/>
            </w:pPr>
            <w:r>
              <w:t xml:space="preserve">Cuánto</w:t>
            </w:r>
          </w:p>
        </w:tc>
        <w:tc>
          <w:tcPr/>
          <w:p>
            <w:pPr>
              <w:pStyle w:val="Compact"/>
              <w:jc w:val="left"/>
            </w:pPr>
            <w:r>
              <w:t xml:space="preserve">Desde cuándo corre</w:t>
            </w:r>
          </w:p>
        </w:tc>
        <w:tc>
          <w:tcPr/>
          <w:p>
            <w:pPr>
              <w:pStyle w:val="Compact"/>
              <w:jc w:val="left"/>
            </w:pPr>
            <w:r>
              <w:t xml:space="preserve">Fundamento</w:t>
            </w:r>
          </w:p>
        </w:tc>
      </w:tr>
      <w:tr>
        <w:tc>
          <w:tcPr/>
          <w:p>
            <w:pPr>
              <w:pStyle w:val="Compact"/>
              <w:jc w:val="left"/>
            </w:pPr>
            <w:r>
              <w:t xml:space="preserve">Expedientes de identificación y documentación soporte de la Actividad Vulnerable</w:t>
            </w:r>
          </w:p>
        </w:tc>
        <w:tc>
          <w:tcPr/>
          <w:p>
            <w:pPr>
              <w:pStyle w:val="Compact"/>
              <w:jc w:val="left"/>
            </w:pPr>
            <w:r>
              <w:t xml:space="preserve">10 años</w:t>
            </w:r>
          </w:p>
        </w:tc>
        <w:tc>
          <w:tcPr/>
          <w:p>
            <w:pPr>
              <w:pStyle w:val="Compact"/>
              <w:jc w:val="left"/>
            </w:pPr>
            <w:r>
              <w:t xml:space="preserve">Desde la fecha de realización de la Actividad Vulnerable, operación por operación. Se conserva en el domicilio registrado ante la Secretaría para ese efecto, salvo para la fracción XIV del artículo 17</w:t>
            </w:r>
          </w:p>
        </w:tc>
        <w:tc>
          <w:tcPr/>
          <w:p>
            <w:pPr>
              <w:pStyle w:val="Compact"/>
              <w:jc w:val="left"/>
            </w:pPr>
            <w:r>
              <w:t xml:space="preserve">Ley art. 18, fr. IV, segundo párrafo</w:t>
            </w:r>
          </w:p>
        </w:tc>
      </w:tr>
      <w:tr>
        <w:tc>
          <w:tcPr/>
          <w:p>
            <w:pPr>
              <w:pStyle w:val="Compact"/>
              <w:jc w:val="left"/>
            </w:pPr>
            <w:r>
              <w:t xml:space="preserve">Copia de Avisos e Informes presentados, su documentación soporte y los acuses electrónicos</w:t>
            </w:r>
          </w:p>
        </w:tc>
        <w:tc>
          <w:tcPr/>
          <w:p>
            <w:pPr>
              <w:pStyle w:val="Compact"/>
              <w:jc w:val="left"/>
            </w:pPr>
            <w:r>
              <w:t xml:space="preserve">No menor a 10 años</w:t>
            </w:r>
          </w:p>
        </w:tc>
        <w:tc>
          <w:tcPr/>
          <w:p>
            <w:pPr>
              <w:pStyle w:val="Compact"/>
              <w:jc w:val="left"/>
            </w:pPr>
            <w:r>
              <w:t xml:space="preserve">Desde la fecha de presentación del Aviso o Informe y desde la emisión del acuse electrónico respectivo. El cómputo arranca con los actos u operaciones realizados a partir del 17 de julio de 2025</w:t>
            </w:r>
          </w:p>
        </w:tc>
        <w:tc>
          <w:tcPr/>
          <w:p>
            <w:pPr>
              <w:pStyle w:val="Compact"/>
              <w:jc w:val="left"/>
            </w:pPr>
            <w:r>
              <w:t xml:space="preserve">Reglamento art. 20, primer párrafo · Transitorio Séptimo del decreto DOF 27-mar-2026</w:t>
            </w:r>
          </w:p>
        </w:tc>
      </w:tr>
      <w:tr>
        <w:tc>
          <w:tcPr/>
          <w:p>
            <w:pPr>
              <w:pStyle w:val="Compact"/>
              <w:jc w:val="left"/>
            </w:pPr>
            <w:r>
              <w:t xml:space="preserve">Información y documentación generada con motivo del enfoque basado en Riesgos</w:t>
            </w:r>
          </w:p>
        </w:tc>
        <w:tc>
          <w:tcPr/>
          <w:p>
            <w:pPr>
              <w:pStyle w:val="Compact"/>
              <w:jc w:val="left"/>
            </w:pPr>
            <w:r>
              <w:t xml:space="preserve">Al menos 10 años</w:t>
            </w:r>
          </w:p>
        </w:tc>
        <w:tc>
          <w:tcPr/>
          <w:p>
            <w:pPr>
              <w:pStyle w:val="Compact"/>
              <w:jc w:val="left"/>
            </w:pPr>
            <w:r>
              <w:t xml:space="preserve">Desde su generación</w:t>
            </w:r>
            <w:r>
              <w:t xml:space="preserve"> </w:t>
            </w:r>
            <w:r>
              <w:rPr>
                <w:iCs/>
                <w:i/>
              </w:rPr>
              <w:t xml:space="preserve">(inferido; el precepto no fija el punto de partida)</w:t>
            </w:r>
          </w:p>
        </w:tc>
        <w:tc>
          <w:tcPr/>
          <w:p>
            <w:pPr>
              <w:pStyle w:val="Compact"/>
              <w:jc w:val="left"/>
            </w:pPr>
            <w:r>
              <w:t xml:space="preserve">RCG art. 10 Septies 3, último párrafo</w:t>
            </w:r>
          </w:p>
        </w:tc>
      </w:tr>
      <w:tr>
        <w:tc>
          <w:tcPr/>
          <w:p>
            <w:pPr>
              <w:pStyle w:val="Compact"/>
              <w:jc w:val="left"/>
            </w:pPr>
            <w:r>
              <w:t xml:space="preserve">Información sobre operaciones con activos virtuales</w:t>
            </w:r>
          </w:p>
        </w:tc>
        <w:tc>
          <w:tcPr/>
          <w:p>
            <w:pPr>
              <w:pStyle w:val="Compact"/>
              <w:jc w:val="left"/>
            </w:pPr>
            <w:r>
              <w:t xml:space="preserve">10 años</w:t>
            </w:r>
          </w:p>
        </w:tc>
        <w:tc>
          <w:tcPr/>
          <w:p>
            <w:pPr>
              <w:pStyle w:val="Compact"/>
              <w:jc w:val="left"/>
            </w:pPr>
            <w:r>
              <w:t xml:space="preserve">Desde la operación</w:t>
            </w:r>
            <w:r>
              <w:t xml:space="preserve"> </w:t>
            </w:r>
            <w:r>
              <w:rPr>
                <w:iCs/>
                <w:i/>
              </w:rPr>
              <w:t xml:space="preserve">(inferido; el precepto no fija el punto de partida)</w:t>
            </w:r>
          </w:p>
        </w:tc>
        <w:tc>
          <w:tcPr/>
          <w:p>
            <w:pPr>
              <w:pStyle w:val="Compact"/>
              <w:jc w:val="left"/>
            </w:pPr>
            <w:r>
              <w:t xml:space="preserve">RCG art. 24 Bis 2</w:t>
            </w:r>
          </w:p>
        </w:tc>
      </w:tr>
      <w:tr>
        <w:tc>
          <w:tcPr/>
          <w:p>
            <w:pPr>
              <w:pStyle w:val="Compact"/>
              <w:jc w:val="left"/>
            </w:pPr>
            <w:r>
              <w:t xml:space="preserve">Evidencia de capacitación: programas, talleres, materiales, listas de asistencia, evaluaciones y constancias</w:t>
            </w:r>
          </w:p>
        </w:tc>
        <w:tc>
          <w:tcPr/>
          <w:p>
            <w:pPr>
              <w:pStyle w:val="Compact"/>
              <w:jc w:val="left"/>
            </w:pPr>
            <w:r>
              <w:t xml:space="preserve">Mínimo 10 años</w:t>
            </w:r>
          </w:p>
        </w:tc>
        <w:tc>
          <w:tcPr/>
          <w:p>
            <w:pPr>
              <w:pStyle w:val="Compact"/>
              <w:jc w:val="left"/>
            </w:pPr>
            <w:r>
              <w:t xml:space="preserve">Desde la impartición</w:t>
            </w:r>
            <w:r>
              <w:t xml:space="preserve"> </w:t>
            </w:r>
            <w:r>
              <w:rPr>
                <w:iCs/>
                <w:i/>
              </w:rPr>
              <w:t xml:space="preserve">(inferido; el precepto no fija el punto de partida)</w:t>
            </w:r>
          </w:p>
        </w:tc>
        <w:tc>
          <w:tcPr/>
          <w:p>
            <w:pPr>
              <w:pStyle w:val="Compact"/>
              <w:jc w:val="left"/>
            </w:pPr>
            <w:r>
              <w:t xml:space="preserve">RCG art. 39 Bis 1, primer párrafo</w:t>
            </w:r>
          </w:p>
        </w:tc>
      </w:tr>
      <w:tr>
        <w:tc>
          <w:tcPr/>
          <w:p>
            <w:pPr>
              <w:pStyle w:val="Compact"/>
              <w:jc w:val="left"/>
            </w:pPr>
            <w:r>
              <w:t xml:space="preserve">Registros históricos de los cambios de Grado de Riesgo y de Perfil transaccional</w:t>
            </w:r>
          </w:p>
        </w:tc>
        <w:tc>
          <w:tcPr/>
          <w:p>
            <w:pPr>
              <w:pStyle w:val="Compact"/>
              <w:jc w:val="left"/>
            </w:pPr>
            <w:r>
              <w:t xml:space="preserve">No menor a 10 años</w:t>
            </w:r>
          </w:p>
        </w:tc>
        <w:tc>
          <w:tcPr/>
          <w:p>
            <w:pPr>
              <w:pStyle w:val="Compact"/>
              <w:jc w:val="left"/>
            </w:pPr>
            <w:r>
              <w:t xml:space="preserve">Desde el cambio registrado</w:t>
            </w:r>
            <w:r>
              <w:t xml:space="preserve"> </w:t>
            </w:r>
            <w:r>
              <w:rPr>
                <w:iCs/>
                <w:i/>
              </w:rPr>
              <w:t xml:space="preserve">(inferido; el precepto no fija el punto de partida)</w:t>
            </w:r>
            <w:r>
              <w:t xml:space="preserve">.</w:t>
            </w:r>
            <w:r>
              <w:t xml:space="preserve"> </w:t>
            </w:r>
            <w:r>
              <w:rPr>
                <w:iCs/>
                <w:i/>
              </w:rPr>
              <w:t xml:space="preserve">Exigible desde el 1 de junio de 2027; véase el Anexo A</w:t>
            </w:r>
          </w:p>
        </w:tc>
        <w:tc>
          <w:tcPr/>
          <w:p>
            <w:pPr>
              <w:pStyle w:val="Compact"/>
              <w:jc w:val="left"/>
            </w:pPr>
            <w:r>
              <w:t xml:space="preserve">RCG art. 41, fr. IV</w:t>
            </w:r>
          </w:p>
        </w:tc>
      </w:tr>
      <w:tr>
        <w:tc>
          <w:tcPr/>
          <w:p>
            <w:pPr>
              <w:pStyle w:val="Compact"/>
              <w:jc w:val="left"/>
            </w:pPr>
            <w:r>
              <w:t xml:space="preserve">Información y documentación en poder de una Entidad Colegiada</w:t>
            </w:r>
          </w:p>
        </w:tc>
        <w:tc>
          <w:tcPr/>
          <w:p>
            <w:pPr>
              <w:pStyle w:val="Compact"/>
              <w:jc w:val="left"/>
            </w:pPr>
            <w:r>
              <w:t xml:space="preserve">No menor a 10 años</w:t>
            </w:r>
          </w:p>
        </w:tc>
        <w:tc>
          <w:tcPr/>
          <w:p>
            <w:pPr>
              <w:pStyle w:val="Compact"/>
              <w:jc w:val="left"/>
            </w:pPr>
            <w:r>
              <w:t xml:space="preserve">Dos cómputos concurrentes: desde la fecha del acto u operación, por las Reglas; y desde la recepción de la información o la generación del acuse, por el Reglamento. Rige el que venza después. Se conserva en el domicilio proporcionado</w:t>
            </w:r>
          </w:p>
        </w:tc>
        <w:tc>
          <w:tcPr/>
          <w:p>
            <w:pPr>
              <w:pStyle w:val="Compact"/>
              <w:jc w:val="left"/>
            </w:pPr>
            <w:r>
              <w:t xml:space="preserve">RCG art. 29, tercer párrafo · Reglamento art. 38, segundo párrafo</w:t>
            </w:r>
          </w:p>
        </w:tc>
      </w:tr>
      <w:tr>
        <w:tc>
          <w:tcPr/>
          <w:p>
            <w:pPr>
              <w:pStyle w:val="Compact"/>
              <w:jc w:val="left"/>
            </w:pPr>
            <w:r>
              <w:t xml:space="preserve">Documentación que sustenta la identificación del Beneficiario Controlador</w:t>
            </w:r>
          </w:p>
        </w:tc>
        <w:tc>
          <w:tcPr/>
          <w:p>
            <w:pPr>
              <w:pStyle w:val="Compact"/>
              <w:jc w:val="left"/>
            </w:pPr>
            <w:r>
              <w:t xml:space="preserve">10 años</w:t>
            </w:r>
            <w:r>
              <w:t xml:space="preserve"> </w:t>
            </w:r>
            <w:r>
              <w:rPr>
                <w:bCs/>
                <w:b/>
              </w:rPr>
              <w:t xml:space="preserve">por remisión</w:t>
            </w:r>
            <w:r>
              <w:t xml:space="preserve"> </w:t>
            </w:r>
            <w:r>
              <w:t xml:space="preserve">al artículo 18, fracción IV de la Ley</w:t>
            </w:r>
          </w:p>
        </w:tc>
        <w:tc>
          <w:tcPr/>
          <w:p>
            <w:pPr>
              <w:pStyle w:val="Compact"/>
              <w:jc w:val="left"/>
            </w:pPr>
            <w:r>
              <w:t xml:space="preserve">Se mantiene actualizada durante toda la vigencia de la Relación de negocios y se resguarda en los términos de esa fracción</w:t>
            </w:r>
          </w:p>
        </w:tc>
        <w:tc>
          <w:tcPr/>
          <w:p>
            <w:pPr>
              <w:pStyle w:val="Compact"/>
              <w:jc w:val="left"/>
            </w:pPr>
            <w:r>
              <w:t xml:space="preserve">RCG arts. 23 Quinquies, último párrafo, y 23 Quinquies 1, tercer párrafo</w:t>
            </w:r>
          </w:p>
        </w:tc>
      </w:tr>
      <w:tr>
        <w:tc>
          <w:tcPr/>
          <w:p>
            <w:pPr>
              <w:pStyle w:val="Compact"/>
              <w:jc w:val="left"/>
            </w:pPr>
            <w:r>
              <w:t xml:space="preserve">Dictamen de auditoría y la información que el auditor usó para justificar sus resultados</w:t>
            </w:r>
          </w:p>
        </w:tc>
        <w:tc>
          <w:tcPr/>
          <w:p>
            <w:pPr>
              <w:pStyle w:val="Compact"/>
              <w:jc w:val="left"/>
            </w:pPr>
            <w:r>
              <w:t xml:space="preserve">No menor a 5 años</w:t>
            </w:r>
          </w:p>
        </w:tc>
        <w:tc>
          <w:tcPr/>
          <w:p>
            <w:pPr>
              <w:pStyle w:val="Compact"/>
              <w:jc w:val="left"/>
            </w:pPr>
            <w:r>
              <w:t xml:space="preserve">Desde que el auditor entrega el dictamen al auditado</w:t>
            </w:r>
          </w:p>
        </w:tc>
        <w:tc>
          <w:tcPr/>
          <w:p>
            <w:pPr>
              <w:pStyle w:val="Compact"/>
              <w:jc w:val="left"/>
            </w:pPr>
            <w:r>
              <w:t xml:space="preserve">RCG art. 51</w:t>
            </w:r>
          </w:p>
        </w:tc>
      </w:tr>
      <w:tr>
        <w:tc>
          <w:tcPr/>
          <w:p>
            <w:pPr>
              <w:pStyle w:val="Compact"/>
              <w:jc w:val="left"/>
            </w:pPr>
            <w:r>
              <w:rPr>
                <w:bCs/>
                <w:b/>
              </w:rPr>
              <w:t xml:space="preserve">Interrupción del cómputo</w:t>
            </w:r>
            <w:r>
              <w:t xml:space="preserve"> </w:t>
            </w:r>
            <w:r>
              <w:rPr>
                <w:iCs/>
                <w:i/>
              </w:rPr>
              <w:t xml:space="preserve">(aplica a los acervos regidos por el artículo 18, fracción IV de la Ley y por el artículo 38 del Reglamento)</w:t>
            </w:r>
          </w:p>
        </w:tc>
        <w:tc>
          <w:tcPr/>
          <w:p>
            <w:pPr>
              <w:pStyle w:val="Compact"/>
              <w:jc w:val="left"/>
            </w:pPr>
            <w:r>
              <w:t xml:space="preserve">El plazo se interrumpe y se reinicia</w:t>
            </w:r>
          </w:p>
        </w:tc>
        <w:tc>
          <w:tcPr/>
          <w:p>
            <w:pPr>
              <w:pStyle w:val="Compact"/>
              <w:jc w:val="left"/>
            </w:pPr>
            <w:r>
              <w:t xml:space="preserve">Se interrumpe en la fecha de presentación del recurso o juicio y se reinicia hasta que la resolución definitiva quede firme</w:t>
            </w:r>
          </w:p>
        </w:tc>
        <w:tc>
          <w:tcPr/>
          <w:p>
            <w:pPr>
              <w:pStyle w:val="Compact"/>
              <w:jc w:val="left"/>
            </w:pPr>
            <w:r>
              <w:t xml:space="preserve">Ley art. 18, fr. IV, segundo párrafo · Reglamento art. 38, segundo párrafo</w:t>
            </w:r>
            <w:r>
              <w:t xml:space="preserve"> </w:t>
            </w:r>
            <w:r>
              <w:rPr>
                <w:iCs/>
                <w:i/>
              </w:rPr>
              <w:t xml:space="preserve">(Entidades Colegiadas)</w:t>
            </w:r>
          </w:p>
        </w:tc>
      </w:tr>
      <w:tr>
        <w:tc>
          <w:tcPr/>
          <w:p>
            <w:pPr>
              <w:pStyle w:val="Compact"/>
              <w:jc w:val="left"/>
            </w:pPr>
            <w:r>
              <w:t xml:space="preserve">Alcance temporal de las</w:t>
            </w:r>
            <w:r>
              <w:t xml:space="preserve"> </w:t>
            </w:r>
            <w:r>
              <w:rPr>
                <w:bCs/>
                <w:b/>
              </w:rPr>
              <w:t xml:space="preserve">visitas</w:t>
            </w:r>
            <w:r>
              <w:t xml:space="preserve"> </w:t>
            </w:r>
            <w:r>
              <w:t xml:space="preserve">de verificación</w:t>
            </w:r>
            <w:r>
              <w:t xml:space="preserve"> </w:t>
            </w:r>
            <w:r>
              <w:rPr>
                <w:iCs/>
                <w:i/>
              </w:rPr>
              <w:t xml:space="preserve">(no es plazo de conservación)</w:t>
            </w:r>
          </w:p>
        </w:tc>
        <w:tc>
          <w:tcPr/>
          <w:p>
            <w:pPr>
              <w:pStyle w:val="Compact"/>
              <w:jc w:val="left"/>
            </w:pPr>
            <w:r>
              <w:t xml:space="preserve">5 años</w:t>
            </w:r>
          </w:p>
        </w:tc>
        <w:tc>
          <w:tcPr/>
          <w:p>
            <w:pPr>
              <w:pStyle w:val="Compact"/>
              <w:jc w:val="left"/>
            </w:pPr>
            <w:r>
              <w:t xml:space="preserve">Hacia atrás desde la fecha de inicio de la visita. El precepto acota «las verificaciones», y el artículo 34 de la Ley define la comprobación como visitas de verificación</w:t>
            </w:r>
            <w:r>
              <w:t xml:space="preserve"> </w:t>
            </w:r>
            <w:r>
              <w:rPr>
                <w:bCs/>
                <w:b/>
              </w:rPr>
              <w:t xml:space="preserve">o</w:t>
            </w:r>
            <w:r>
              <w:t xml:space="preserve"> </w:t>
            </w:r>
            <w:r>
              <w:t xml:space="preserve">requerimientos de información; pero el punto de partida está redactado únicamente sobre la visita, de modo que</w:t>
            </w:r>
            <w:r>
              <w:t xml:space="preserve"> </w:t>
            </w:r>
            <w:r>
              <w:rPr>
                <w:bCs/>
                <w:b/>
              </w:rPr>
              <w:t xml:space="preserve">no hay texto que fije el corte cuando la comprobación se hace por requerimiento</w:t>
            </w:r>
            <w:r>
              <w:t xml:space="preserve"> </w:t>
            </w:r>
            <w:r>
              <w:t xml:space="preserve">(Ley art. 34; Reglamento art. 8). El punto no está resuelto</w:t>
            </w:r>
            <w:r>
              <w:t xml:space="preserve"> </w:t>
            </w:r>
            <w:r>
              <w:rPr>
                <w:iCs/>
                <w:i/>
              </w:rPr>
              <w:t xml:space="preserve">(ámbar)</w:t>
            </w:r>
          </w:p>
        </w:tc>
        <w:tc>
          <w:tcPr/>
          <w:p>
            <w:pPr>
              <w:pStyle w:val="Compact"/>
              <w:jc w:val="left"/>
            </w:pPr>
            <w:r>
              <w:t xml:space="preserve">Ley art. 36</w:t>
            </w:r>
            <w:r>
              <w:t xml:space="preserve"> </w:t>
            </w:r>
            <w:r>
              <w:rPr>
                <w:iCs/>
                <w:i/>
              </w:rPr>
              <w:t xml:space="preserve">(el art. 34 faculta la comprobación de oficio y en cualquier tiempo, sin fijar plazo)</w:t>
            </w:r>
          </w:p>
        </w:tc>
      </w:tr>
    </w:tbl>
    <w:p>
      <w:pPr>
        <w:pStyle w:val="BodyText"/>
      </w:pPr>
      <w:r>
        <w:rPr>
          <w:iCs/>
          <w:i/>
        </w:rPr>
        <w:t xml:space="preserve">La confusión más costosa de este bloque: se conserva por diez años, pero se verifica hacia atrás por cinco. Una política de depuración a cinco años aplicada después del 17 de julio de 2025 destruye evidencia que debía conservarse diez. Y la interrupción por recurso o juicio convierte los diez años en un plazo abierto justo cuando el expediente más se necesita.</w:t>
      </w:r>
    </w:p>
    <w:bookmarkEnd w:id="20"/>
    <w:bookmarkStart w:id="21" w:name="X8aa8e6543c8127d8718c439f6cc304c8268ae29"/>
    <w:p>
      <w:pPr>
        <w:pStyle w:val="Heading2"/>
      </w:pPr>
      <w:r>
        <w:t xml:space="preserve">B.2 · Plazos a cargo de quien realiza la Actividad Vulnerable</w:t>
      </w:r>
    </w:p>
    <w:p>
      <w:pPr>
        <w:pStyle w:val="FirstParagraph"/>
      </w:pPr>
      <w:r>
        <w:rPr>
          <w:iCs/>
          <w:i/>
        </w:rPr>
        <w:t xml:space="preserve">Los plazos en días son hábiles salvo que se indique lo contrario. No se computan los días inhábiles que enumera el artículo 36 Bis, segundo párrafo de las Reglas, ni el periodo general de vacaciones y suspensión de labores que el SAT señale en la Resolución Miscelánea Fiscal (mismo artículo, tercer párrafo).</w:t>
      </w:r>
    </w:p>
    <w:p>
      <w:pPr>
        <w:pStyle w:val="BodyText"/>
      </w:pPr>
      <w:r>
        <w:rPr>
          <w:iCs/>
          <w:i/>
        </w:rPr>
        <w:t xml:space="preserve">Estos plazos sólo son exigibles a partir de la fecha que el Anexo A asigna a cada obligación. Los de los artículos 23 Bis 1, 23 Ter 1 y 23 Quinquies 1 de las Reglas rigen respecto de los actos u operaciones realizados a partir del 1 de marzo de 2027 (Transitorio Cuarto del ACUERDO 115/2026); el del artículo 37, en su versión con la metodología del Capítulo II Quáter, a partir de esa misma fecha (Transitorio Tercero del ACUERDO 115/2026); y el del artículo 41, a partir del 1 de junio de 2027 (Transitorio Noveno del ACUERDO 115/2026).</w:t>
      </w:r>
      <w:r>
        <w:rPr>
          <w:iCs/>
          <w:i/>
        </w:rPr>
        <w:t xml:space="preserve"> </w:t>
      </w:r>
      <w:r>
        <w:rPr>
          <w:bCs/>
          <w:b/>
          <w:iCs/>
          <w:i/>
        </w:rPr>
        <w:t xml:space="preserve">En caso de discrepancia entre el Anexo A y este Anexo B sobre una fecha de exigibilidad, prevalece el Anexo A; sobre la duración de un plazo, prevalece el Anexo B.</w:t>
      </w:r>
    </w:p>
    <w:tbl>
      <w:tblPr>
        <w:tblStyle w:val="Table"/>
        <w:tblW w:type="pct" w:w="5000"/>
        <w:tblLook w:firstRow="1" w:lastRow="0" w:firstColumn="0" w:lastColumn="0" w:noHBand="0" w:noVBand="0" w:val="0020"/>
        <w:jc w:val="start"/>
      </w:tblPr>
      <w:tblGrid>
        <w:gridCol w:w="2982"/>
        <w:gridCol w:w="2542"/>
        <w:gridCol w:w="2395"/>
      </w:tblGrid>
      <w:tr>
        <w:trPr>
          <w:tblHeader w:val="true"/>
        </w:trPr>
        <w:tc>
          <w:tcPr/>
          <w:p>
            <w:pPr>
              <w:pStyle w:val="Compact"/>
              <w:jc w:val="left"/>
            </w:pPr>
            <w:r>
              <w:t xml:space="preserve">Obligación</w:t>
            </w:r>
          </w:p>
        </w:tc>
        <w:tc>
          <w:tcPr/>
          <w:p>
            <w:pPr>
              <w:pStyle w:val="Compact"/>
              <w:jc w:val="left"/>
            </w:pPr>
            <w:r>
              <w:t xml:space="preserve">Plazo</w:t>
            </w:r>
          </w:p>
        </w:tc>
        <w:tc>
          <w:tcPr/>
          <w:p>
            <w:pPr>
              <w:pStyle w:val="Compact"/>
              <w:jc w:val="left"/>
            </w:pPr>
            <w:r>
              <w:t xml:space="preserve">Fundamento</w:t>
            </w:r>
          </w:p>
        </w:tc>
      </w:tr>
      <w:tr>
        <w:tc>
          <w:tcPr/>
          <w:p>
            <w:pPr>
              <w:pStyle w:val="Compact"/>
              <w:jc w:val="left"/>
            </w:pPr>
            <w:r>
              <w:t xml:space="preserve">Consultar el buzón del Portal en Internet</w:t>
            </w:r>
          </w:p>
        </w:tc>
        <w:tc>
          <w:tcPr/>
          <w:p>
            <w:pPr>
              <w:pStyle w:val="Compact"/>
              <w:jc w:val="left"/>
            </w:pPr>
            <w:r>
              <w:t xml:space="preserve">Al menos una vez cada día hábil, o el día hábil siguiente si alguno de éstos fuere inhábil</w:t>
            </w:r>
          </w:p>
        </w:tc>
        <w:tc>
          <w:tcPr/>
          <w:p>
            <w:pPr>
              <w:pStyle w:val="Compact"/>
              <w:jc w:val="left"/>
            </w:pPr>
            <w:r>
              <w:t xml:space="preserve">RCG art. 6, quinto párrafo</w:t>
            </w:r>
          </w:p>
        </w:tc>
      </w:tr>
      <w:tr>
        <w:tc>
          <w:tcPr/>
          <w:p>
            <w:pPr>
              <w:pStyle w:val="Compact"/>
              <w:jc w:val="left"/>
            </w:pPr>
            <w:r>
              <w:t xml:space="preserve">Abrir los documentos digitales pendientes de notificar</w:t>
            </w:r>
          </w:p>
        </w:tc>
        <w:tc>
          <w:tcPr/>
          <w:p>
            <w:pPr>
              <w:pStyle w:val="Compact"/>
              <w:jc w:val="left"/>
            </w:pPr>
            <w:r>
              <w:t xml:space="preserve">3 días hábiles desde el día siguiente al envío</w:t>
            </w:r>
          </w:p>
        </w:tc>
        <w:tc>
          <w:tcPr/>
          <w:p>
            <w:pPr>
              <w:pStyle w:val="Compact"/>
              <w:jc w:val="left"/>
            </w:pPr>
            <w:r>
              <w:t xml:space="preserve">RCG art. 6, tercer párrafo</w:t>
            </w:r>
          </w:p>
        </w:tc>
      </w:tr>
      <w:tr>
        <w:tc>
          <w:tcPr/>
          <w:p>
            <w:pPr>
              <w:pStyle w:val="Compact"/>
              <w:jc w:val="left"/>
            </w:pPr>
            <w:r>
              <w:t xml:space="preserve">Margen máximo para conocer un documento antes de que la notificación surta efectos por ficción legal</w:t>
            </w:r>
          </w:p>
        </w:tc>
        <w:tc>
          <w:tcPr/>
          <w:p>
            <w:pPr>
              <w:pStyle w:val="Compact"/>
              <w:jc w:val="left"/>
            </w:pPr>
            <w:r>
              <w:t xml:space="preserve">Al cuarto día hábil, contado desde el día siguiente al envío, la notificación se tiene por realizada aunque el documento no se abra</w:t>
            </w:r>
          </w:p>
        </w:tc>
        <w:tc>
          <w:tcPr/>
          <w:p>
            <w:pPr>
              <w:pStyle w:val="Compact"/>
              <w:jc w:val="left"/>
            </w:pPr>
            <w:r>
              <w:t xml:space="preserve">RCG art. 6, cuarto párrafo</w:t>
            </w:r>
          </w:p>
        </w:tc>
      </w:tr>
      <w:tr>
        <w:tc>
          <w:tcPr/>
          <w:p>
            <w:pPr>
              <w:pStyle w:val="Compact"/>
              <w:jc w:val="left"/>
            </w:pPr>
            <w:r>
              <w:t xml:space="preserve">Informar la imposibilidad de consultar el buzón por causa imputable a la autoridad</w:t>
            </w:r>
          </w:p>
        </w:tc>
        <w:tc>
          <w:tcPr/>
          <w:p>
            <w:pPr>
              <w:pStyle w:val="Compact"/>
              <w:jc w:val="left"/>
            </w:pPr>
            <w:r>
              <w:t xml:space="preserve">3 días hábiles siguientes a aquel en que ocurra el impedimento</w:t>
            </w:r>
          </w:p>
        </w:tc>
        <w:tc>
          <w:tcPr/>
          <w:p>
            <w:pPr>
              <w:pStyle w:val="Compact"/>
              <w:jc w:val="left"/>
            </w:pPr>
            <w:r>
              <w:t xml:space="preserve">RCG art. 6, sexto párrafo</w:t>
            </w:r>
          </w:p>
        </w:tc>
      </w:tr>
      <w:tr>
        <w:tc>
          <w:tcPr/>
          <w:p>
            <w:pPr>
              <w:pStyle w:val="Compact"/>
              <w:jc w:val="left"/>
            </w:pPr>
            <w:r>
              <w:t xml:space="preserve">Trámite de actualización del alta y registro</w:t>
            </w:r>
          </w:p>
        </w:tc>
        <w:tc>
          <w:tcPr/>
          <w:p>
            <w:pPr>
              <w:pStyle w:val="Compact"/>
              <w:jc w:val="left"/>
            </w:pPr>
            <w:r>
              <w:t xml:space="preserve">6 días hábiles desde el hecho que la motiva</w:t>
            </w:r>
          </w:p>
        </w:tc>
        <w:tc>
          <w:tcPr/>
          <w:p>
            <w:pPr>
              <w:pStyle w:val="Compact"/>
              <w:jc w:val="left"/>
            </w:pPr>
            <w:r>
              <w:t xml:space="preserve">RCG art. 7</w:t>
            </w:r>
          </w:p>
        </w:tc>
      </w:tr>
      <w:tr>
        <w:tc>
          <w:tcPr/>
          <w:p>
            <w:pPr>
              <w:pStyle w:val="Compact"/>
              <w:jc w:val="left"/>
            </w:pPr>
            <w:r>
              <w:t xml:space="preserve">Atender requerimiento del SAT sobre el alta, el registro o su actualización</w:t>
            </w:r>
          </w:p>
        </w:tc>
        <w:tc>
          <w:tcPr/>
          <w:p>
            <w:pPr>
              <w:pStyle w:val="Compact"/>
              <w:jc w:val="left"/>
            </w:pPr>
            <w:r>
              <w:t xml:space="preserve">10 días hábiles desde la notificación; prórroga potestativa de hasta 5 días hábiles</w:t>
            </w:r>
          </w:p>
        </w:tc>
        <w:tc>
          <w:tcPr/>
          <w:p>
            <w:pPr>
              <w:pStyle w:val="Compact"/>
              <w:jc w:val="left"/>
            </w:pPr>
            <w:r>
              <w:t xml:space="preserve">RCG art. 9, párrafos primero y segundo</w:t>
            </w:r>
          </w:p>
        </w:tc>
      </w:tr>
      <w:tr>
        <w:tc>
          <w:tcPr/>
          <w:p>
            <w:pPr>
              <w:pStyle w:val="Compact"/>
              <w:jc w:val="left"/>
            </w:pPr>
            <w:r>
              <w:t xml:space="preserve">Atender requerimiento de información, documentación, datos o imágenes de la UIF o del SAT</w:t>
            </w:r>
          </w:p>
        </w:tc>
        <w:tc>
          <w:tcPr/>
          <w:p>
            <w:pPr>
              <w:pStyle w:val="Compact"/>
              <w:jc w:val="left"/>
            </w:pPr>
            <w:r>
              <w:t xml:space="preserve">10 días hábiles desde el día siguiente a la recepción. Prórroga de hasta 5 días hábiles, siempre que se solicite dentro del plazo original de 10 días; corre desde el día siguiente al vencimiento de ese plazo original</w:t>
            </w:r>
          </w:p>
        </w:tc>
        <w:tc>
          <w:tcPr/>
          <w:p>
            <w:pPr>
              <w:pStyle w:val="Compact"/>
              <w:jc w:val="left"/>
            </w:pPr>
            <w:r>
              <w:t xml:space="preserve">Reglamento art. 8, párrafos primero y segundo</w:t>
            </w:r>
          </w:p>
        </w:tc>
      </w:tr>
      <w:tr>
        <w:tc>
          <w:tcPr/>
          <w:p>
            <w:pPr>
              <w:pStyle w:val="Compact"/>
              <w:jc w:val="left"/>
            </w:pPr>
            <w:r>
              <w:t xml:space="preserve">Desvirtuar hechos u omisiones asentados en oficio circunstanciado</w:t>
            </w:r>
          </w:p>
        </w:tc>
        <w:tc>
          <w:tcPr/>
          <w:p>
            <w:pPr>
              <w:pStyle w:val="Compact"/>
              <w:jc w:val="left"/>
            </w:pPr>
            <w:r>
              <w:t xml:space="preserve">5 días hábiles señalados en el propio oficio</w:t>
            </w:r>
          </w:p>
        </w:tc>
        <w:tc>
          <w:tcPr/>
          <w:p>
            <w:pPr>
              <w:pStyle w:val="Compact"/>
              <w:jc w:val="left"/>
            </w:pPr>
            <w:r>
              <w:t xml:space="preserve">Reglamento art. 9, primer párrafo</w:t>
            </w:r>
          </w:p>
        </w:tc>
      </w:tr>
      <w:tr>
        <w:tc>
          <w:tcPr/>
          <w:p>
            <w:pPr>
              <w:pStyle w:val="Compact"/>
              <w:jc w:val="left"/>
            </w:pPr>
            <w:r>
              <w:t xml:space="preserve">Manifestar lo que a su derecho convenga sobre información proveniente de otras autoridades</w:t>
            </w:r>
          </w:p>
        </w:tc>
        <w:tc>
          <w:tcPr/>
          <w:p>
            <w:pPr>
              <w:pStyle w:val="Compact"/>
              <w:jc w:val="left"/>
            </w:pPr>
            <w:r>
              <w:t xml:space="preserve">10 días hábiles desde que se le da a conocer</w:t>
            </w:r>
          </w:p>
        </w:tc>
        <w:tc>
          <w:tcPr/>
          <w:p>
            <w:pPr>
              <w:pStyle w:val="Compact"/>
              <w:jc w:val="left"/>
            </w:pPr>
            <w:r>
              <w:t xml:space="preserve">Reglamento art. 10 Bis, tercer párrafo</w:t>
            </w:r>
          </w:p>
        </w:tc>
      </w:tr>
      <w:tr>
        <w:tc>
          <w:tcPr/>
          <w:p>
            <w:pPr>
              <w:pStyle w:val="Compact"/>
              <w:jc w:val="left"/>
            </w:pPr>
            <w:r>
              <w:t xml:space="preserve">Integrar el expediente único de identificación</w:t>
            </w:r>
          </w:p>
        </w:tc>
        <w:tc>
          <w:tcPr/>
          <w:p>
            <w:pPr>
              <w:pStyle w:val="Compact"/>
              <w:jc w:val="left"/>
            </w:pPr>
            <w:r>
              <w:t xml:space="preserve">De manera previa o durante la realización del acto u operación o, en su caso, con anterioridad o al momento de establecer la Relación de negocios</w:t>
            </w:r>
          </w:p>
        </w:tc>
        <w:tc>
          <w:tcPr/>
          <w:p>
            <w:pPr>
              <w:pStyle w:val="Compact"/>
              <w:jc w:val="left"/>
            </w:pPr>
            <w:r>
              <w:t xml:space="preserve">RCG art. 12, segundo párrafo</w:t>
            </w:r>
          </w:p>
        </w:tc>
      </w:tr>
      <w:tr>
        <w:tc>
          <w:tcPr/>
          <w:p>
            <w:pPr>
              <w:pStyle w:val="Compact"/>
              <w:jc w:val="left"/>
            </w:pPr>
            <w:r>
              <w:t xml:space="preserve">Identificar al Beneficiario Controlador</w:t>
            </w:r>
          </w:p>
        </w:tc>
        <w:tc>
          <w:tcPr/>
          <w:p>
            <w:pPr>
              <w:pStyle w:val="Compact"/>
              <w:jc w:val="left"/>
            </w:pPr>
            <w:r>
              <w:t xml:space="preserve">Con carácter previo a la realización del acto u operación o, a más tardar, al momento del establecimiento de la Relación de negocios</w:t>
            </w:r>
            <w:r>
              <w:t xml:space="preserve"> </w:t>
            </w:r>
            <w:r>
              <w:rPr>
                <w:iCs/>
                <w:i/>
              </w:rPr>
              <w:t xml:space="preserve">(exigible desde el 1 de marzo de 2027; véase el Anexo A)</w:t>
            </w:r>
          </w:p>
        </w:tc>
        <w:tc>
          <w:tcPr/>
          <w:p>
            <w:pPr>
              <w:pStyle w:val="Compact"/>
              <w:jc w:val="left"/>
            </w:pPr>
            <w:r>
              <w:t xml:space="preserve">RCG art. 23 Quinquies 1, tercer párrafo</w:t>
            </w:r>
          </w:p>
        </w:tc>
      </w:tr>
      <w:tr>
        <w:tc>
          <w:tcPr/>
          <w:p>
            <w:pPr>
              <w:pStyle w:val="Compact"/>
              <w:jc w:val="left"/>
            </w:pPr>
            <w:r>
              <w:t xml:space="preserve">Contar con Manual de Políticas Internas</w:t>
            </w:r>
          </w:p>
        </w:tc>
        <w:tc>
          <w:tcPr/>
          <w:p>
            <w:pPr>
              <w:pStyle w:val="Compact"/>
              <w:jc w:val="left"/>
            </w:pPr>
            <w:r>
              <w:t xml:space="preserve">90 días naturales desde el alta y registro.</w:t>
            </w:r>
            <w:r>
              <w:t xml:space="preserve"> </w:t>
            </w:r>
            <w:r>
              <w:rPr>
                <w:iCs/>
                <w:i/>
              </w:rPr>
              <w:t xml:space="preserve">El Manual que incorpore la metodología del Capítulo II Quáter es exigible desde el 1 de marzo de 2027; véase el Anexo A</w:t>
            </w:r>
          </w:p>
        </w:tc>
        <w:tc>
          <w:tcPr/>
          <w:p>
            <w:pPr>
              <w:pStyle w:val="Compact"/>
              <w:jc w:val="left"/>
            </w:pPr>
            <w:r>
              <w:t xml:space="preserve">RCG art. 37</w:t>
            </w:r>
          </w:p>
        </w:tc>
      </w:tr>
      <w:tr>
        <w:tc>
          <w:tcPr/>
          <w:p>
            <w:pPr>
              <w:pStyle w:val="Compact"/>
              <w:jc w:val="left"/>
            </w:pPr>
            <w:r>
              <w:t xml:space="preserve">Presentar el Aviso mensual</w:t>
            </w:r>
          </w:p>
        </w:tc>
        <w:tc>
          <w:tcPr/>
          <w:p>
            <w:pPr>
              <w:pStyle w:val="Compact"/>
              <w:jc w:val="left"/>
            </w:pPr>
            <w:r>
              <w:t xml:space="preserve">A más tardar el día 17 del mes inmediato siguiente al acto u operación</w:t>
            </w:r>
          </w:p>
        </w:tc>
        <w:tc>
          <w:tcPr/>
          <w:p>
            <w:pPr>
              <w:pStyle w:val="Compact"/>
              <w:jc w:val="left"/>
            </w:pPr>
            <w:r>
              <w:t xml:space="preserve">Ley art. 23</w:t>
            </w:r>
          </w:p>
        </w:tc>
      </w:tr>
      <w:tr>
        <w:tc>
          <w:tcPr/>
          <w:p>
            <w:pPr>
              <w:pStyle w:val="Compact"/>
              <w:jc w:val="left"/>
            </w:pPr>
            <w:r>
              <w:t xml:space="preserve">Presentar el Informe del mes sin operaciones objeto de Aviso</w:t>
            </w:r>
          </w:p>
        </w:tc>
        <w:tc>
          <w:tcPr/>
          <w:p>
            <w:pPr>
              <w:pStyle w:val="Compact"/>
              <w:jc w:val="left"/>
            </w:pPr>
            <w:r>
              <w:t xml:space="preserve">Ningún precepto fija plazo expreso: la remisión del artículo 25 al último párrafo del artículo 12 del Reglamento quedó vacía tras la reforma DOF 27-mar-2026. Se aplica por analogía el plazo del Aviso. Una vez enviado no puede modificarse ni eliminarse; si después se identifica un acto que era objeto de Aviso, debe presentarse el Aviso</w:t>
            </w:r>
          </w:p>
        </w:tc>
        <w:tc>
          <w:tcPr/>
          <w:p>
            <w:pPr>
              <w:pStyle w:val="Compact"/>
              <w:jc w:val="left"/>
            </w:pPr>
            <w:r>
              <w:t xml:space="preserve">RCG art. 25</w:t>
            </w:r>
            <w:r>
              <w:t xml:space="preserve"> </w:t>
            </w:r>
            <w:r>
              <w:rPr>
                <w:iCs/>
                <w:i/>
              </w:rPr>
              <w:t xml:space="preserve">(plazo inferido; Ley art. 23)</w:t>
            </w:r>
          </w:p>
        </w:tc>
      </w:tr>
      <w:tr>
        <w:tc>
          <w:tcPr/>
          <w:p>
            <w:pPr>
              <w:pStyle w:val="Compact"/>
              <w:jc w:val="left"/>
            </w:pPr>
            <w:r>
              <w:t xml:space="preserve">Presentar el Informe del mes en que sólo hubo operaciones no objeto de Aviso del artículo 27 Bis</w:t>
            </w:r>
          </w:p>
        </w:tc>
        <w:tc>
          <w:tcPr/>
          <w:p>
            <w:pPr>
              <w:pStyle w:val="Compact"/>
              <w:jc w:val="left"/>
            </w:pPr>
            <w:r>
              <w:t xml:space="preserve">Mismo criterio de plazo. Si además hubo operaciones con quienes no integran el Grupo Empresarial, se presentan los Avisos que correspondan o, de no haberlos, el Informe del artículo 25</w:t>
            </w:r>
          </w:p>
        </w:tc>
        <w:tc>
          <w:tcPr/>
          <w:p>
            <w:pPr>
              <w:pStyle w:val="Compact"/>
              <w:jc w:val="left"/>
            </w:pPr>
            <w:r>
              <w:t xml:space="preserve">RCG art. 25 Bis</w:t>
            </w:r>
            <w:r>
              <w:t xml:space="preserve"> </w:t>
            </w:r>
            <w:r>
              <w:rPr>
                <w:iCs/>
                <w:i/>
              </w:rPr>
              <w:t xml:space="preserve">(no prevé inmodificabilidad ni plazo expreso)</w:t>
            </w:r>
          </w:p>
        </w:tc>
      </w:tr>
      <w:tr>
        <w:tc>
          <w:tcPr/>
          <w:p>
            <w:pPr>
              <w:pStyle w:val="Compact"/>
              <w:jc w:val="left"/>
            </w:pPr>
            <w:r>
              <w:t xml:space="preserve">Presentar Aviso por sospecha, por hechos o indicios, por operación intentada o por coincidencia en el listado del artículo 38</w:t>
            </w:r>
          </w:p>
        </w:tc>
        <w:tc>
          <w:tcPr/>
          <w:p>
            <w:pPr>
              <w:pStyle w:val="Compact"/>
              <w:jc w:val="left"/>
            </w:pPr>
            <w:r>
              <w:t xml:space="preserve">24 horas</w:t>
            </w:r>
            <w:r>
              <w:t xml:space="preserve"> </w:t>
            </w:r>
            <w:r>
              <w:rPr>
                <w:iCs/>
                <w:i/>
              </w:rPr>
              <w:t xml:space="preserve">(exigible seis meses después de la Resolución de formatos; véase el Anexo A)</w:t>
            </w:r>
          </w:p>
        </w:tc>
        <w:tc>
          <w:tcPr/>
          <w:p>
            <w:pPr>
              <w:pStyle w:val="Compact"/>
              <w:jc w:val="left"/>
            </w:pPr>
            <w:r>
              <w:t xml:space="preserve">RCG arts. 26 Bis, 26 Bis 1, 26 Bis 2 y 27, segundo párrafo</w:t>
            </w:r>
          </w:p>
        </w:tc>
      </w:tr>
      <w:tr>
        <w:tc>
          <w:tcPr/>
          <w:p>
            <w:pPr>
              <w:pStyle w:val="Compact"/>
              <w:jc w:val="left"/>
            </w:pPr>
            <w:r>
              <w:t xml:space="preserve">Acumular actos u operaciones para efectos de umbral</w:t>
            </w:r>
          </w:p>
        </w:tc>
        <w:tc>
          <w:tcPr/>
          <w:p>
            <w:pPr>
              <w:pStyle w:val="Compact"/>
              <w:jc w:val="left"/>
            </w:pPr>
            <w:r>
              <w:t xml:space="preserve">Periodos de hasta 6 meses, contados desde el primer acto u operación</w:t>
            </w:r>
          </w:p>
        </w:tc>
        <w:tc>
          <w:tcPr/>
          <w:p>
            <w:pPr>
              <w:pStyle w:val="Compact"/>
              <w:jc w:val="left"/>
            </w:pPr>
            <w:r>
              <w:t xml:space="preserve">RCG art. 19, segundo párrafo</w:t>
            </w:r>
          </w:p>
        </w:tc>
      </w:tr>
      <w:tr>
        <w:tc>
          <w:tcPr/>
          <w:p>
            <w:pPr>
              <w:pStyle w:val="Compact"/>
              <w:jc w:val="left"/>
            </w:pPr>
            <w:r>
              <w:t xml:space="preserve">Presentar el Aviso derivado de la acumulación</w:t>
            </w:r>
          </w:p>
        </w:tc>
        <w:tc>
          <w:tcPr/>
          <w:p>
            <w:pPr>
              <w:pStyle w:val="Compact"/>
              <w:jc w:val="left"/>
            </w:pPr>
            <w:r>
              <w:t xml:space="preserve">Al momento de realizar la última operación con la que se alcance o supere el umbral, aun cuando no se haya agotado el periodo de seis meses</w:t>
            </w:r>
          </w:p>
        </w:tc>
        <w:tc>
          <w:tcPr/>
          <w:p>
            <w:pPr>
              <w:pStyle w:val="Compact"/>
              <w:jc w:val="left"/>
            </w:pPr>
            <w:r>
              <w:t xml:space="preserve">Reglamento art. 7, segundo párrafo</w:t>
            </w:r>
          </w:p>
        </w:tc>
      </w:tr>
      <w:tr>
        <w:tc>
          <w:tcPr/>
          <w:p>
            <w:pPr>
              <w:pStyle w:val="Compact"/>
              <w:jc w:val="left"/>
            </w:pPr>
            <w:r>
              <w:t xml:space="preserve">Acumular operaciones de juegos con apuesta, concursos o sorteos</w:t>
            </w:r>
          </w:p>
        </w:tc>
        <w:tc>
          <w:tcPr/>
          <w:p>
            <w:pPr>
              <w:pStyle w:val="Compact"/>
              <w:jc w:val="left"/>
            </w:pPr>
            <w:r>
              <w:t xml:space="preserve">325 veces el valor diario de la UMA en un periodo de 24 horas contadas desde la primera operación</w:t>
            </w:r>
          </w:p>
        </w:tc>
        <w:tc>
          <w:tcPr/>
          <w:p>
            <w:pPr>
              <w:pStyle w:val="Compact"/>
              <w:jc w:val="left"/>
            </w:pPr>
            <w:r>
              <w:t xml:space="preserve">Reglamento art. 21 Bis</w:t>
            </w:r>
          </w:p>
        </w:tc>
      </w:tr>
      <w:tr>
        <w:tc>
          <w:tcPr/>
          <w:p>
            <w:pPr>
              <w:pStyle w:val="Compact"/>
              <w:jc w:val="left"/>
            </w:pPr>
            <w:r>
              <w:t xml:space="preserve">Verificar que los expedientes de Clientes o Usuarias con Relación de negocios estén completos y actualizados</w:t>
            </w:r>
          </w:p>
        </w:tc>
        <w:tc>
          <w:tcPr/>
          <w:p>
            <w:pPr>
              <w:pStyle w:val="Compact"/>
              <w:jc w:val="left"/>
            </w:pPr>
            <w:r>
              <w:t xml:space="preserve">Al menos una vez al año. No alcanza a quienes celebran actos u operaciones ocasionales</w:t>
            </w:r>
          </w:p>
        </w:tc>
        <w:tc>
          <w:tcPr/>
          <w:p>
            <w:pPr>
              <w:pStyle w:val="Compact"/>
              <w:jc w:val="left"/>
            </w:pPr>
            <w:r>
              <w:t xml:space="preserve">RCG art. 21</w:t>
            </w:r>
          </w:p>
        </w:tc>
      </w:tr>
      <w:tr>
        <w:tc>
          <w:tcPr/>
          <w:p>
            <w:pPr>
              <w:pStyle w:val="Compact"/>
              <w:jc w:val="left"/>
            </w:pPr>
            <w:r>
              <w:t xml:space="preserve">Antigüedad máxima del comprobante de domicilio</w:t>
            </w:r>
          </w:p>
        </w:tc>
        <w:tc>
          <w:tcPr/>
          <w:p>
            <w:pPr>
              <w:pStyle w:val="Compact"/>
              <w:jc w:val="left"/>
            </w:pPr>
            <w:r>
              <w:t xml:space="preserve">3 meses a su fecha de emisión</w:t>
            </w:r>
          </w:p>
        </w:tc>
        <w:tc>
          <w:tcPr/>
          <w:p>
            <w:pPr>
              <w:pStyle w:val="Compact"/>
              <w:jc w:val="left"/>
            </w:pPr>
            <w:r>
              <w:t xml:space="preserve">RCG art. 21 y Anexos que lo solicitan</w:t>
            </w:r>
          </w:p>
        </w:tc>
      </w:tr>
      <w:tr>
        <w:tc>
          <w:tcPr/>
          <w:p>
            <w:pPr>
              <w:pStyle w:val="Compact"/>
              <w:jc w:val="left"/>
            </w:pPr>
            <w:r>
              <w:t xml:space="preserve">Vigencia de la identificación oficial del Cliente o Usuaria</w:t>
            </w:r>
          </w:p>
        </w:tc>
        <w:tc>
          <w:tcPr/>
          <w:p>
            <w:pPr>
              <w:pStyle w:val="Compact"/>
              <w:jc w:val="left"/>
            </w:pPr>
            <w:r>
              <w:t xml:space="preserve">Vigente o con fecha de vencimiento no mayor a 2 años al momento de su presentación. Queda excluida la cédula profesional</w:t>
            </w:r>
          </w:p>
        </w:tc>
        <w:tc>
          <w:tcPr/>
          <w:p>
            <w:pPr>
              <w:pStyle w:val="Compact"/>
              <w:jc w:val="left"/>
            </w:pPr>
            <w:r>
              <w:t xml:space="preserve">RCG Anexos 3, 4, 4 Bis, 5, 6, 6 Bis y 8</w:t>
            </w:r>
          </w:p>
        </w:tc>
      </w:tr>
      <w:tr>
        <w:tc>
          <w:tcPr/>
          <w:p>
            <w:pPr>
              <w:pStyle w:val="Compact"/>
              <w:jc w:val="left"/>
            </w:pPr>
            <w:r>
              <w:t xml:space="preserve">Evaluar el Grado de Riesgo de cada Cliente o Usuaria</w:t>
            </w:r>
          </w:p>
        </w:tc>
        <w:tc>
          <w:tcPr/>
          <w:p>
            <w:pPr>
              <w:pStyle w:val="Compact"/>
              <w:jc w:val="left"/>
            </w:pPr>
            <w:r>
              <w:t xml:space="preserve">Al menos cada 6 meses; con mayor frecuencia cuanto mayor sea el Grado de Riesgo</w:t>
            </w:r>
            <w:r>
              <w:t xml:space="preserve"> </w:t>
            </w:r>
            <w:r>
              <w:rPr>
                <w:iCs/>
                <w:i/>
              </w:rPr>
              <w:t xml:space="preserve">(exigible desde el 1 de marzo de 2027; véase el Anexo A)</w:t>
            </w:r>
          </w:p>
        </w:tc>
        <w:tc>
          <w:tcPr/>
          <w:p>
            <w:pPr>
              <w:pStyle w:val="Compact"/>
              <w:jc w:val="left"/>
            </w:pPr>
            <w:r>
              <w:t xml:space="preserve">RCG art. 23 Bis 1</w:t>
            </w:r>
          </w:p>
        </w:tc>
      </w:tr>
      <w:tr>
        <w:tc>
          <w:tcPr/>
          <w:p>
            <w:pPr>
              <w:pStyle w:val="Compact"/>
              <w:jc w:val="left"/>
            </w:pPr>
            <w:r>
              <w:t xml:space="preserve">Determinar el Perfil transaccional inicial con la información declarada</w:t>
            </w:r>
          </w:p>
        </w:tc>
        <w:tc>
          <w:tcPr/>
          <w:p>
            <w:pPr>
              <w:pStyle w:val="Compact"/>
              <w:jc w:val="left"/>
            </w:pPr>
            <w:r>
              <w:t xml:space="preserve">Durante los primeros 6 meses siguientes al acto u operación</w:t>
            </w:r>
            <w:r>
              <w:t xml:space="preserve"> </w:t>
            </w:r>
            <w:r>
              <w:rPr>
                <w:iCs/>
                <w:i/>
              </w:rPr>
              <w:t xml:space="preserve">(exigible desde el 1 de marzo de 2027; véase el Anexo A)</w:t>
            </w:r>
          </w:p>
        </w:tc>
        <w:tc>
          <w:tcPr/>
          <w:p>
            <w:pPr>
              <w:pStyle w:val="Compact"/>
              <w:jc w:val="left"/>
            </w:pPr>
            <w:r>
              <w:t xml:space="preserve">RCG art. 23 Ter 1, segundo párrafo</w:t>
            </w:r>
          </w:p>
        </w:tc>
      </w:tr>
      <w:tr>
        <w:tc>
          <w:tcPr/>
          <w:p>
            <w:pPr>
              <w:pStyle w:val="Compact"/>
              <w:jc w:val="left"/>
            </w:pPr>
            <w:r>
              <w:t xml:space="preserve">Evaluar el Perfil transaccional</w:t>
            </w:r>
          </w:p>
        </w:tc>
        <w:tc>
          <w:tcPr/>
          <w:p>
            <w:pPr>
              <w:pStyle w:val="Compact"/>
              <w:jc w:val="left"/>
            </w:pPr>
            <w:r>
              <w:t xml:space="preserve">Al menos cada 6 meses, sobre los Clientes o Usuarias cuyo acto u operación se realizó al menos seis meses antes de la evaluación</w:t>
            </w:r>
            <w:r>
              <w:t xml:space="preserve"> </w:t>
            </w:r>
            <w:r>
              <w:rPr>
                <w:iCs/>
                <w:i/>
              </w:rPr>
              <w:t xml:space="preserve">(exigible desde el 1 de marzo de 2027; véase el Anexo A)</w:t>
            </w:r>
          </w:p>
        </w:tc>
        <w:tc>
          <w:tcPr/>
          <w:p>
            <w:pPr>
              <w:pStyle w:val="Compact"/>
              <w:jc w:val="left"/>
            </w:pPr>
            <w:r>
              <w:t xml:space="preserve">RCG art. 23 Ter 1, tercer párrafo</w:t>
            </w:r>
          </w:p>
        </w:tc>
      </w:tr>
      <w:tr>
        <w:tc>
          <w:tcPr/>
          <w:p>
            <w:pPr>
              <w:pStyle w:val="Compact"/>
              <w:jc w:val="left"/>
            </w:pPr>
            <w:r>
              <w:t xml:space="preserve">Catalogar como Persona Políticamente Expuesta nacional a quien dejó el cargo</w:t>
            </w:r>
          </w:p>
        </w:tc>
        <w:tc>
          <w:tcPr/>
          <w:p>
            <w:pPr>
              <w:pStyle w:val="Compact"/>
              <w:jc w:val="left"/>
            </w:pPr>
            <w:r>
              <w:t xml:space="preserve">Durante el año siguiente al cese. Y si dejó de reunir las características dentro del año inmediato anterior al acto u operación, se le cataloga como tal durante el año siguiente a ese acto</w:t>
            </w:r>
          </w:p>
        </w:tc>
        <w:tc>
          <w:tcPr/>
          <w:p>
            <w:pPr>
              <w:pStyle w:val="Compact"/>
              <w:jc w:val="left"/>
            </w:pPr>
            <w:r>
              <w:t xml:space="preserve">RCG art. 23 Quáter, párrafos cuarto y quinto</w:t>
            </w:r>
          </w:p>
        </w:tc>
      </w:tr>
      <w:tr>
        <w:tc>
          <w:tcPr/>
          <w:p>
            <w:pPr>
              <w:pStyle w:val="Compact"/>
              <w:jc w:val="left"/>
            </w:pPr>
            <w:r>
              <w:t xml:space="preserve">Base mínima de información para la metodología de Riesgos</w:t>
            </w:r>
          </w:p>
        </w:tc>
        <w:tc>
          <w:tcPr/>
          <w:p>
            <w:pPr>
              <w:pStyle w:val="Compact"/>
              <w:jc w:val="left"/>
            </w:pPr>
            <w:r>
              <w:t xml:space="preserve">Un periodo no menor a 12 meses</w:t>
            </w:r>
          </w:p>
        </w:tc>
        <w:tc>
          <w:tcPr/>
          <w:p>
            <w:pPr>
              <w:pStyle w:val="Compact"/>
              <w:jc w:val="left"/>
            </w:pPr>
            <w:r>
              <w:t xml:space="preserve">RCG art. 10 Septies 2, fr. II</w:t>
            </w:r>
          </w:p>
        </w:tc>
      </w:tr>
      <w:tr>
        <w:tc>
          <w:tcPr/>
          <w:p>
            <w:pPr>
              <w:pStyle w:val="Compact"/>
              <w:jc w:val="left"/>
            </w:pPr>
            <w:r>
              <w:t xml:space="preserve">Metodología cuando no se cuenta con operaciones en ese periodo</w:t>
            </w:r>
          </w:p>
        </w:tc>
        <w:tc>
          <w:tcPr/>
          <w:p>
            <w:pPr>
              <w:pStyle w:val="Compact"/>
              <w:jc w:val="left"/>
            </w:pPr>
            <w:r>
              <w:t xml:space="preserve">Se implementa con datos proyectados y se actualiza al cumplir los primeros 12 meses de operación</w:t>
            </w:r>
          </w:p>
        </w:tc>
        <w:tc>
          <w:tcPr/>
          <w:p>
            <w:pPr>
              <w:pStyle w:val="Compact"/>
              <w:jc w:val="left"/>
            </w:pPr>
            <w:r>
              <w:t xml:space="preserve">RCG art. 10 Septies 2, segundo párrafo</w:t>
            </w:r>
          </w:p>
        </w:tc>
      </w:tr>
      <w:tr>
        <w:tc>
          <w:tcPr/>
          <w:p>
            <w:pPr>
              <w:pStyle w:val="Compact"/>
              <w:jc w:val="left"/>
            </w:pPr>
            <w:r>
              <w:t xml:space="preserve">Evaluar Riesgos antes de nuevos medios, canales, modalidades, productos o servicios, o de dirigir la Actividad Vulnerable a nuevos tipos de Cliente o Usuaria</w:t>
            </w:r>
          </w:p>
        </w:tc>
        <w:tc>
          <w:tcPr/>
          <w:p>
            <w:pPr>
              <w:pStyle w:val="Compact"/>
              <w:jc w:val="left"/>
            </w:pPr>
            <w:r>
              <w:t xml:space="preserve">Con anterioridad a implementarlos o ponerlos a disposición</w:t>
            </w:r>
          </w:p>
        </w:tc>
        <w:tc>
          <w:tcPr/>
          <w:p>
            <w:pPr>
              <w:pStyle w:val="Compact"/>
              <w:jc w:val="left"/>
            </w:pPr>
            <w:r>
              <w:t xml:space="preserve">RCG art. 10 Septies, tercer párrafo</w:t>
            </w:r>
          </w:p>
        </w:tc>
      </w:tr>
      <w:tr>
        <w:tc>
          <w:tcPr/>
          <w:p>
            <w:pPr>
              <w:pStyle w:val="Compact"/>
              <w:jc w:val="left"/>
            </w:pPr>
            <w:r>
              <w:t xml:space="preserve">Modificar políticas y Mitigantes cuando la metodología arroje Riesgos mayores o nuevos</w:t>
            </w:r>
          </w:p>
        </w:tc>
        <w:tc>
          <w:tcPr/>
          <w:p>
            <w:pPr>
              <w:pStyle w:val="Compact"/>
              <w:jc w:val="left"/>
            </w:pPr>
            <w:r>
              <w:t xml:space="preserve">No mayor a 12 meses desde que se cuenta con los resultados</w:t>
            </w:r>
          </w:p>
        </w:tc>
        <w:tc>
          <w:tcPr/>
          <w:p>
            <w:pPr>
              <w:pStyle w:val="Compact"/>
              <w:jc w:val="left"/>
            </w:pPr>
            <w:r>
              <w:t xml:space="preserve">RCG art. 10 Septies 2, último párrafo</w:t>
            </w:r>
          </w:p>
        </w:tc>
      </w:tr>
      <w:tr>
        <w:tc>
          <w:tcPr/>
          <w:p>
            <w:pPr>
              <w:pStyle w:val="Compact"/>
              <w:jc w:val="left"/>
            </w:pPr>
            <w:r>
              <w:t xml:space="preserve">Revisar y actualizar el cumplimiento y los resultados del enfoque basado en Riesgos</w:t>
            </w:r>
          </w:p>
        </w:tc>
        <w:tc>
          <w:tcPr/>
          <w:p>
            <w:pPr>
              <w:pStyle w:val="Compact"/>
              <w:jc w:val="left"/>
            </w:pPr>
            <w:r>
              <w:t xml:space="preserve">No mayor a 12 meses, o al detectar nuevos Riesgos, o al actualizarse la Evaluación Nacional de Riesgos</w:t>
            </w:r>
          </w:p>
        </w:tc>
        <w:tc>
          <w:tcPr/>
          <w:p>
            <w:pPr>
              <w:pStyle w:val="Compact"/>
              <w:jc w:val="left"/>
            </w:pPr>
            <w:r>
              <w:t xml:space="preserve">RCG art. 10 Septies 3, primer párrafo</w:t>
            </w:r>
          </w:p>
        </w:tc>
      </w:tr>
      <w:tr>
        <w:tc>
          <w:tcPr/>
          <w:p>
            <w:pPr>
              <w:pStyle w:val="Compact"/>
              <w:jc w:val="left"/>
            </w:pPr>
            <w:r>
              <w:t xml:space="preserve">Impartir cursos, talleres o programas de capacitación</w:t>
            </w:r>
          </w:p>
        </w:tc>
        <w:tc>
          <w:tcPr/>
          <w:p>
            <w:pPr>
              <w:pStyle w:val="Compact"/>
              <w:jc w:val="left"/>
            </w:pPr>
            <w:r>
              <w:t xml:space="preserve">Al menos una vez al año</w:t>
            </w:r>
          </w:p>
        </w:tc>
        <w:tc>
          <w:tcPr/>
          <w:p>
            <w:pPr>
              <w:pStyle w:val="Compact"/>
              <w:jc w:val="left"/>
            </w:pPr>
            <w:r>
              <w:t xml:space="preserve">RCG art. 39 Bis, fr. I</w:t>
            </w:r>
          </w:p>
        </w:tc>
      </w:tr>
      <w:tr>
        <w:tc>
          <w:tcPr/>
          <w:p>
            <w:pPr>
              <w:pStyle w:val="Compact"/>
              <w:jc w:val="left"/>
            </w:pPr>
            <w:r>
              <w:t xml:space="preserve">Capacitar al personal que vaya a operar en áreas de atención al público o de administración de recursos</w:t>
            </w:r>
          </w:p>
        </w:tc>
        <w:tc>
          <w:tcPr/>
          <w:p>
            <w:pPr>
              <w:pStyle w:val="Compact"/>
              <w:jc w:val="left"/>
            </w:pPr>
            <w:r>
              <w:t xml:space="preserve">De manera previa o simultánea a su ingreso o al inicio de sus actividades en esas áreas</w:t>
            </w:r>
          </w:p>
        </w:tc>
        <w:tc>
          <w:tcPr/>
          <w:p>
            <w:pPr>
              <w:pStyle w:val="Compact"/>
              <w:jc w:val="left"/>
            </w:pPr>
            <w:r>
              <w:t xml:space="preserve">RCG art. 39 Bis 1, tercer párrafo</w:t>
            </w:r>
          </w:p>
        </w:tc>
      </w:tr>
      <w:tr>
        <w:tc>
          <w:tcPr/>
          <w:p>
            <w:pPr>
              <w:pStyle w:val="Compact"/>
              <w:jc w:val="left"/>
            </w:pPr>
            <w:r>
              <w:t xml:space="preserve">Experiencia mínima de quien imparte la capacitación</w:t>
            </w:r>
          </w:p>
        </w:tc>
        <w:tc>
          <w:tcPr/>
          <w:p>
            <w:pPr>
              <w:pStyle w:val="Compact"/>
              <w:jc w:val="left"/>
            </w:pPr>
            <w:r>
              <w:t xml:space="preserve">5 años acreditables en la materia</w:t>
            </w:r>
          </w:p>
        </w:tc>
        <w:tc>
          <w:tcPr/>
          <w:p>
            <w:pPr>
              <w:pStyle w:val="Compact"/>
              <w:jc w:val="left"/>
            </w:pPr>
            <w:r>
              <w:t xml:space="preserve">RCG art. 39 Bis, fr. III</w:t>
            </w:r>
          </w:p>
        </w:tc>
      </w:tr>
      <w:tr>
        <w:tc>
          <w:tcPr/>
          <w:p>
            <w:pPr>
              <w:pStyle w:val="Compact"/>
              <w:jc w:val="left"/>
            </w:pPr>
            <w:r>
              <w:t xml:space="preserve">Periodo auditado</w:t>
            </w:r>
          </w:p>
        </w:tc>
        <w:tc>
          <w:tcPr/>
          <w:p>
            <w:pPr>
              <w:pStyle w:val="Compact"/>
              <w:jc w:val="left"/>
            </w:pPr>
            <w:r>
              <w:t xml:space="preserve">Del 1 de enero al 31 de diciembre de cada año</w:t>
            </w:r>
          </w:p>
        </w:tc>
        <w:tc>
          <w:tcPr/>
          <w:p>
            <w:pPr>
              <w:pStyle w:val="Compact"/>
              <w:jc w:val="left"/>
            </w:pPr>
            <w:r>
              <w:t xml:space="preserve">RCG art. 42</w:t>
            </w:r>
          </w:p>
        </w:tc>
      </w:tr>
      <w:tr>
        <w:tc>
          <w:tcPr/>
          <w:p>
            <w:pPr>
              <w:pStyle w:val="Compact"/>
              <w:jc w:val="left"/>
            </w:pPr>
            <w:r>
              <w:t xml:space="preserve">Periodo auditado en el primer año de operaciones</w:t>
            </w:r>
          </w:p>
        </w:tc>
        <w:tc>
          <w:tcPr/>
          <w:p>
            <w:pPr>
              <w:pStyle w:val="Compact"/>
              <w:jc w:val="left"/>
            </w:pPr>
            <w:r>
              <w:t xml:space="preserve">Desde el inicio de operaciones hasta el 31 de diciembre del año siguiente</w:t>
            </w:r>
          </w:p>
        </w:tc>
        <w:tc>
          <w:tcPr/>
          <w:p>
            <w:pPr>
              <w:pStyle w:val="Compact"/>
              <w:jc w:val="left"/>
            </w:pPr>
            <w:r>
              <w:t xml:space="preserve">RCG art. 43</w:t>
            </w:r>
          </w:p>
        </w:tc>
      </w:tr>
      <w:tr>
        <w:tc>
          <w:tcPr/>
          <w:p>
            <w:pPr>
              <w:pStyle w:val="Compact"/>
              <w:jc w:val="left"/>
            </w:pPr>
            <w:r>
              <w:t xml:space="preserve">Revisión y emisión del dictamen</w:t>
            </w:r>
          </w:p>
        </w:tc>
        <w:tc>
          <w:tcPr/>
          <w:p>
            <w:pPr>
              <w:pStyle w:val="Compact"/>
              <w:jc w:val="left"/>
            </w:pPr>
            <w:r>
              <w:t xml:space="preserve">Dentro de los primeros 3 meses siguientes al cierre del año auditado; entrega al auditado a más tardar el último día hábil de marzo</w:t>
            </w:r>
          </w:p>
        </w:tc>
        <w:tc>
          <w:tcPr/>
          <w:p>
            <w:pPr>
              <w:pStyle w:val="Compact"/>
              <w:jc w:val="left"/>
            </w:pPr>
            <w:r>
              <w:t xml:space="preserve">RCG art. 50, primer párrafo</w:t>
            </w:r>
          </w:p>
        </w:tc>
      </w:tr>
      <w:tr>
        <w:tc>
          <w:tcPr/>
          <w:p>
            <w:pPr>
              <w:pStyle w:val="Compact"/>
              <w:jc w:val="left"/>
            </w:pPr>
            <w:r>
              <w:t xml:space="preserve">Requisitos temporales de la persona auditora externa independiente</w:t>
            </w:r>
          </w:p>
        </w:tc>
        <w:tc>
          <w:tcPr/>
          <w:p>
            <w:pPr>
              <w:pStyle w:val="Compact"/>
              <w:jc w:val="left"/>
            </w:pPr>
            <w:r>
              <w:t xml:space="preserve">3 años de experiencia en la materia. No haber aceptado el cargo de Representante Encargada de Cumplimiento del auditado durante el periodo auditado ni los 2 años posteriores</w:t>
            </w:r>
          </w:p>
        </w:tc>
        <w:tc>
          <w:tcPr/>
          <w:p>
            <w:pPr>
              <w:pStyle w:val="Compact"/>
              <w:jc w:val="left"/>
            </w:pPr>
            <w:r>
              <w:t xml:space="preserve">RCG art. 45, incisos a) y e)</w:t>
            </w:r>
          </w:p>
        </w:tc>
      </w:tr>
      <w:tr>
        <w:tc>
          <w:tcPr/>
          <w:p>
            <w:pPr>
              <w:pStyle w:val="Compact"/>
              <w:jc w:val="left"/>
            </w:pPr>
            <w:r>
              <w:t xml:space="preserve">Atender acciones correctivas y recomendaciones del dictamen</w:t>
            </w:r>
          </w:p>
        </w:tc>
        <w:tc>
          <w:tcPr/>
          <w:p>
            <w:pPr>
              <w:pStyle w:val="Compact"/>
              <w:jc w:val="left"/>
            </w:pPr>
            <w:r>
              <w:t xml:space="preserve">Antes del inicio del siguiente periodo de auditoría anual, o en los plazos que señale el auditor</w:t>
            </w:r>
            <w:r>
              <w:t xml:space="preserve"> </w:t>
            </w:r>
            <w:r>
              <w:rPr>
                <w:iCs/>
                <w:i/>
              </w:rPr>
              <w:t xml:space="preserve">(obligación de medios: la norma dice «deberá procurar»)</w:t>
            </w:r>
          </w:p>
        </w:tc>
        <w:tc>
          <w:tcPr/>
          <w:p>
            <w:pPr>
              <w:pStyle w:val="Compact"/>
              <w:jc w:val="left"/>
            </w:pPr>
            <w:r>
              <w:t xml:space="preserve">RCG art. 50, segundo párrafo</w:t>
            </w:r>
          </w:p>
        </w:tc>
      </w:tr>
      <w:tr>
        <w:tc>
          <w:tcPr/>
          <w:p>
            <w:pPr>
              <w:pStyle w:val="Compact"/>
              <w:jc w:val="left"/>
            </w:pPr>
            <w:r>
              <w:t xml:space="preserve">Responder una solicitud de intercambio de información dentro del Grupo Empresarial</w:t>
            </w:r>
          </w:p>
        </w:tc>
        <w:tc>
          <w:tcPr/>
          <w:p>
            <w:pPr>
              <w:pStyle w:val="Compact"/>
              <w:jc w:val="left"/>
            </w:pPr>
            <w:r>
              <w:t xml:space="preserve">No más de 30 días hábiles desde la recepción</w:t>
            </w:r>
          </w:p>
        </w:tc>
        <w:tc>
          <w:tcPr/>
          <w:p>
            <w:pPr>
              <w:pStyle w:val="Compact"/>
              <w:jc w:val="left"/>
            </w:pPr>
            <w:r>
              <w:t xml:space="preserve">RCG art. 35, fr. III</w:t>
            </w:r>
          </w:p>
        </w:tc>
      </w:tr>
      <w:tr>
        <w:tc>
          <w:tcPr/>
          <w:p>
            <w:pPr>
              <w:pStyle w:val="Compact"/>
              <w:jc w:val="left"/>
            </w:pPr>
            <w:r>
              <w:t xml:space="preserve">Informar el destino o uso de tarjetas, instrumentos de almacenamiento de valor o cheques de viajero</w:t>
            </w:r>
          </w:p>
        </w:tc>
        <w:tc>
          <w:tcPr/>
          <w:p>
            <w:pPr>
              <w:pStyle w:val="Compact"/>
              <w:jc w:val="left"/>
            </w:pPr>
            <w:r>
              <w:t xml:space="preserve">Plazo que no exceda de 2 meses desde la notificación del requerimiento</w:t>
            </w:r>
          </w:p>
        </w:tc>
        <w:tc>
          <w:tcPr/>
          <w:p>
            <w:pPr>
              <w:pStyle w:val="Compact"/>
              <w:jc w:val="left"/>
            </w:pPr>
            <w:r>
              <w:t xml:space="preserve">RCG art. 20</w:t>
            </w:r>
          </w:p>
        </w:tc>
      </w:tr>
      <w:tr>
        <w:tc>
          <w:tcPr/>
          <w:p>
            <w:pPr>
              <w:pStyle w:val="Compact"/>
              <w:jc w:val="left"/>
            </w:pPr>
            <w:r>
              <w:t xml:space="preserve">Entregar la información requerida por la Secretaría a emisores, administradores u operadores de tarjetas y a administradores de sistemas de pago</w:t>
            </w:r>
          </w:p>
        </w:tc>
        <w:tc>
          <w:tcPr/>
          <w:p>
            <w:pPr>
              <w:pStyle w:val="Compact"/>
              <w:jc w:val="left"/>
            </w:pPr>
            <w:r>
              <w:t xml:space="preserve">30 días siguientes a que surta efectos la notificación del requerimiento</w:t>
            </w:r>
          </w:p>
        </w:tc>
        <w:tc>
          <w:tcPr/>
          <w:p>
            <w:pPr>
              <w:pStyle w:val="Compact"/>
              <w:jc w:val="left"/>
            </w:pPr>
            <w:r>
              <w:t xml:space="preserve">Ley art. 51, segundo párrafo</w:t>
            </w:r>
          </w:p>
        </w:tc>
      </w:tr>
      <w:tr>
        <w:tc>
          <w:tcPr/>
          <w:p>
            <w:pPr>
              <w:pStyle w:val="Compact"/>
              <w:jc w:val="left"/>
            </w:pPr>
            <w:r>
              <w:t xml:space="preserve">Vigencia máxima del convenio de Entidad Colegiada</w:t>
            </w:r>
          </w:p>
        </w:tc>
        <w:tc>
          <w:tcPr/>
          <w:p>
            <w:pPr>
              <w:pStyle w:val="Compact"/>
              <w:jc w:val="left"/>
            </w:pPr>
            <w:r>
              <w:t xml:space="preserve">10 años desde su suscripción. La renovación por plazo igual o menor exige que el SAT corrobore el cumplimiento y que la UIF califique la calidad de los Avisos presentados</w:t>
            </w:r>
          </w:p>
        </w:tc>
        <w:tc>
          <w:tcPr/>
          <w:p>
            <w:pPr>
              <w:pStyle w:val="Compact"/>
              <w:jc w:val="left"/>
            </w:pPr>
            <w:r>
              <w:t xml:space="preserve">Reglamento art. 33 Bis</w:t>
            </w:r>
          </w:p>
        </w:tc>
      </w:tr>
      <w:tr>
        <w:tc>
          <w:tcPr/>
          <w:p>
            <w:pPr>
              <w:pStyle w:val="Compact"/>
              <w:jc w:val="left"/>
            </w:pPr>
            <w:r>
              <w:t xml:space="preserve">Informar la extinción, disolución o liquidación de la Entidad Colegiada, o que dejará de actuar como intermediaria</w:t>
            </w:r>
          </w:p>
        </w:tc>
        <w:tc>
          <w:tcPr/>
          <w:p>
            <w:pPr>
              <w:pStyle w:val="Compact"/>
              <w:jc w:val="left"/>
            </w:pPr>
            <w:r>
              <w:t xml:space="preserve">Cuando menos 30 días de anticipación, a sus integrantes y a la Secretaría</w:t>
            </w:r>
          </w:p>
        </w:tc>
        <w:tc>
          <w:tcPr/>
          <w:p>
            <w:pPr>
              <w:pStyle w:val="Compact"/>
              <w:jc w:val="left"/>
            </w:pPr>
            <w:r>
              <w:t xml:space="preserve">Ley art. 31, primer párrafo</w:t>
            </w:r>
          </w:p>
        </w:tc>
      </w:tr>
    </w:tbl>
    <w:p>
      <w:pPr>
        <w:pStyle w:val="BodyText"/>
      </w:pPr>
      <w:r>
        <w:rPr>
          <w:iCs/>
          <w:i/>
        </w:rPr>
        <w:t xml:space="preserve">Dos advertencias de cómputo. El Aviso mensual vence en una fecha fija de calendario —el día 17—: ningún precepto prevé su recorrimiento automático cuando ese día sea inhábil, si bien el segundo párrafo del artículo 23 de la Ley y el artículo 3, fracción IV Bis del Reglamento facultan a la autoridad para establecer excepciones a los plazos de presentación mediante acuerdo publicado en el Diario Oficial de la Federación. Y la notificación electrónica se tiene por realizada al cuarto día hábil aunque el documento nunca se abra, de modo que los plazos de respuesta corren desde ahí y no desde la lectura efectiva.</w:t>
      </w:r>
    </w:p>
    <w:bookmarkEnd w:id="21"/>
    <w:bookmarkStart w:id="22" w:name="Xfcc28bf8d0ea945fce2cbd3933ca15e327b46ee"/>
    <w:p>
      <w:pPr>
        <w:pStyle w:val="Heading2"/>
      </w:pPr>
      <w:r>
        <w:t xml:space="preserve">B.3 · Plazos de los proveedores de servicios con activos virtuales</w:t>
      </w:r>
    </w:p>
    <w:tbl>
      <w:tblPr>
        <w:tblStyle w:val="Table"/>
        <w:tblW w:type="pct" w:w="5000"/>
        <w:tblLook w:firstRow="1" w:lastRow="0" w:firstColumn="0" w:lastColumn="0" w:noHBand="0" w:noVBand="0" w:val="0020"/>
        <w:jc w:val="start"/>
      </w:tblPr>
      <w:tblGrid>
        <w:gridCol w:w="2542"/>
        <w:gridCol w:w="2982"/>
        <w:gridCol w:w="2395"/>
      </w:tblGrid>
      <w:tr>
        <w:trPr>
          <w:tblHeader w:val="true"/>
        </w:trPr>
        <w:tc>
          <w:tcPr/>
          <w:p>
            <w:pPr>
              <w:pStyle w:val="Compact"/>
              <w:jc w:val="left"/>
            </w:pPr>
            <w:r>
              <w:t xml:space="preserve">Obligación</w:t>
            </w:r>
          </w:p>
        </w:tc>
        <w:tc>
          <w:tcPr/>
          <w:p>
            <w:pPr>
              <w:pStyle w:val="Compact"/>
              <w:jc w:val="left"/>
            </w:pPr>
            <w:r>
              <w:t xml:space="preserve">Plazo</w:t>
            </w:r>
          </w:p>
        </w:tc>
        <w:tc>
          <w:tcPr/>
          <w:p>
            <w:pPr>
              <w:pStyle w:val="Compact"/>
              <w:jc w:val="left"/>
            </w:pPr>
            <w:r>
              <w:t xml:space="preserve">Fundamento</w:t>
            </w:r>
          </w:p>
        </w:tc>
      </w:tr>
      <w:tr>
        <w:tc>
          <w:tcPr/>
          <w:p>
            <w:pPr>
              <w:pStyle w:val="Compact"/>
              <w:jc w:val="left"/>
            </w:pPr>
            <w:r>
              <w:t xml:space="preserve">Subsanar una prevención por documentación ilegible, incompleta o que no cumple requisitos</w:t>
            </w:r>
          </w:p>
        </w:tc>
        <w:tc>
          <w:tcPr/>
          <w:p>
            <w:pPr>
              <w:pStyle w:val="Compact"/>
              <w:jc w:val="left"/>
            </w:pPr>
            <w:r>
              <w:t xml:space="preserve">5 días hábiles, por una sola ocasión; de no hacerlo se desecha el trámite</w:t>
            </w:r>
          </w:p>
        </w:tc>
        <w:tc>
          <w:tcPr/>
          <w:p>
            <w:pPr>
              <w:pStyle w:val="Compact"/>
              <w:jc w:val="left"/>
            </w:pPr>
            <w:r>
              <w:t xml:space="preserve">RCG art. 10 Ter, primer párrafo</w:t>
            </w:r>
          </w:p>
        </w:tc>
      </w:tr>
      <w:tr>
        <w:tc>
          <w:tcPr/>
          <w:p>
            <w:pPr>
              <w:pStyle w:val="Compact"/>
              <w:jc w:val="left"/>
            </w:pPr>
            <w:r>
              <w:t xml:space="preserve">Aclarar inconsistencias detectadas en el análisis de la información</w:t>
            </w:r>
          </w:p>
        </w:tc>
        <w:tc>
          <w:tcPr/>
          <w:p>
            <w:pPr>
              <w:pStyle w:val="Compact"/>
              <w:jc w:val="left"/>
            </w:pPr>
            <w:r>
              <w:t xml:space="preserve">No mayor a 5 días hábiles; de no subsanarse se desecha el trámite</w:t>
            </w:r>
          </w:p>
        </w:tc>
        <w:tc>
          <w:tcPr/>
          <w:p>
            <w:pPr>
              <w:pStyle w:val="Compact"/>
              <w:jc w:val="left"/>
            </w:pPr>
            <w:r>
              <w:t xml:space="preserve">RCG art. 10 Ter, segundo párrafo</w:t>
            </w:r>
          </w:p>
        </w:tc>
      </w:tr>
      <w:tr>
        <w:tc>
          <w:tcPr/>
          <w:p>
            <w:pPr>
              <w:pStyle w:val="Compact"/>
              <w:jc w:val="left"/>
            </w:pPr>
            <w:r>
              <w:t xml:space="preserve">Concluir el alta y registro una vez que el SAT informa que recibió la documentación completa</w:t>
            </w:r>
          </w:p>
        </w:tc>
        <w:tc>
          <w:tcPr/>
          <w:p>
            <w:pPr>
              <w:pStyle w:val="Compact"/>
              <w:jc w:val="left"/>
            </w:pPr>
            <w:r>
              <w:t xml:space="preserve">30 días hábiles desde la notificación de ese oficio; de no hacerlo se tiene por desistido el trámite</w:t>
            </w:r>
          </w:p>
        </w:tc>
        <w:tc>
          <w:tcPr/>
          <w:p>
            <w:pPr>
              <w:pStyle w:val="Compact"/>
              <w:jc w:val="left"/>
            </w:pPr>
            <w:r>
              <w:t xml:space="preserve">RCG art. 10 Quáter, segundo párrafo</w:t>
            </w:r>
          </w:p>
        </w:tc>
      </w:tr>
      <w:tr>
        <w:tc>
          <w:tcPr/>
          <w:p>
            <w:pPr>
              <w:pStyle w:val="Compact"/>
              <w:jc w:val="left"/>
            </w:pPr>
            <w:r>
              <w:t xml:space="preserve">Actualizar ante el SAT la documentación física del artículo 10 Bis</w:t>
            </w:r>
          </w:p>
        </w:tc>
        <w:tc>
          <w:tcPr/>
          <w:p>
            <w:pPr>
              <w:pStyle w:val="Compact"/>
              <w:jc w:val="left"/>
            </w:pPr>
            <w:r>
              <w:t xml:space="preserve">6 días hábiles desde el hecho que motiva la actualización</w:t>
            </w:r>
          </w:p>
        </w:tc>
        <w:tc>
          <w:tcPr/>
          <w:p>
            <w:pPr>
              <w:pStyle w:val="Compact"/>
              <w:jc w:val="left"/>
            </w:pPr>
            <w:r>
              <w:t xml:space="preserve">RCG art. 10 Quinquies</w:t>
            </w:r>
          </w:p>
        </w:tc>
      </w:tr>
    </w:tbl>
    <w:bookmarkEnd w:id="22"/>
    <w:bookmarkStart w:id="23" w:name="Xd15ced7d1455d5270ce416cef5800d51b833ba3"/>
    <w:p>
      <w:pPr>
        <w:pStyle w:val="Heading2"/>
      </w:pPr>
      <w:r>
        <w:t xml:space="preserve">B.4 · Plazos de la autoridad, del procedimiento sancionador y de la autocorrección</w:t>
      </w:r>
    </w:p>
    <w:tbl>
      <w:tblPr>
        <w:tblStyle w:val="Table"/>
        <w:tblW w:type="pct" w:w="5000"/>
        <w:tblLook w:firstRow="1" w:lastRow="0" w:firstColumn="0" w:lastColumn="0" w:noHBand="0" w:noVBand="0" w:val="0020"/>
        <w:jc w:val="start"/>
      </w:tblPr>
      <w:tblGrid>
        <w:gridCol w:w="2688"/>
        <w:gridCol w:w="2835"/>
        <w:gridCol w:w="2395"/>
      </w:tblGrid>
      <w:tr>
        <w:trPr>
          <w:tblHeader w:val="true"/>
        </w:trPr>
        <w:tc>
          <w:tcPr/>
          <w:p>
            <w:pPr>
              <w:pStyle w:val="Compact"/>
              <w:jc w:val="left"/>
            </w:pPr>
            <w:r>
              <w:t xml:space="preserve">Momento</w:t>
            </w:r>
          </w:p>
        </w:tc>
        <w:tc>
          <w:tcPr/>
          <w:p>
            <w:pPr>
              <w:pStyle w:val="Compact"/>
              <w:jc w:val="left"/>
            </w:pPr>
            <w:r>
              <w:t xml:space="preserve">Plazo</w:t>
            </w:r>
          </w:p>
        </w:tc>
        <w:tc>
          <w:tcPr/>
          <w:p>
            <w:pPr>
              <w:pStyle w:val="Compact"/>
              <w:jc w:val="left"/>
            </w:pPr>
            <w:r>
              <w:t xml:space="preserve">Fundamento</w:t>
            </w:r>
          </w:p>
        </w:tc>
      </w:tr>
      <w:tr>
        <w:tc>
          <w:tcPr/>
          <w:p>
            <w:pPr>
              <w:pStyle w:val="Compact"/>
              <w:jc w:val="left"/>
            </w:pPr>
            <w:r>
              <w:t xml:space="preserve">Notificación del SAT sobre la aceptación o el rechazo de la designación de la persona Representante Encargada de Cumplimiento</w:t>
            </w:r>
          </w:p>
        </w:tc>
        <w:tc>
          <w:tcPr/>
          <w:p>
            <w:pPr>
              <w:pStyle w:val="Compact"/>
              <w:jc w:val="left"/>
            </w:pPr>
            <w:r>
              <w:t xml:space="preserve">10 días hábiles siguientes a la recepción de la aceptación o rechazo</w:t>
            </w:r>
          </w:p>
        </w:tc>
        <w:tc>
          <w:tcPr/>
          <w:p>
            <w:pPr>
              <w:pStyle w:val="Compact"/>
              <w:jc w:val="left"/>
            </w:pPr>
            <w:r>
              <w:t xml:space="preserve">RCG art. 10, tercer párrafo</w:t>
            </w:r>
          </w:p>
        </w:tc>
      </w:tr>
      <w:tr>
        <w:tc>
          <w:tcPr/>
          <w:p>
            <w:pPr>
              <w:pStyle w:val="Compact"/>
              <w:jc w:val="left"/>
            </w:pPr>
            <w:r>
              <w:t xml:space="preserve">Resolución de la UIF sobre un medio de cumplimiento alternativo propuesto</w:t>
            </w:r>
          </w:p>
        </w:tc>
        <w:tc>
          <w:tcPr/>
          <w:p>
            <w:pPr>
              <w:pStyle w:val="Compact"/>
              <w:jc w:val="left"/>
            </w:pPr>
            <w:r>
              <w:t xml:space="preserve">A más tardar 20 días hábiles desde la recepción de la solicitud; la notificación al SAT, dentro de los 5 días hábiles siguientes a la resolución</w:t>
            </w:r>
          </w:p>
        </w:tc>
        <w:tc>
          <w:tcPr/>
          <w:p>
            <w:pPr>
              <w:pStyle w:val="Compact"/>
              <w:jc w:val="left"/>
            </w:pPr>
            <w:r>
              <w:t xml:space="preserve">Reglamento art. 16</w:t>
            </w:r>
          </w:p>
        </w:tc>
      </w:tr>
      <w:tr>
        <w:tc>
          <w:tcPr/>
          <w:p>
            <w:pPr>
              <w:pStyle w:val="Compact"/>
              <w:jc w:val="left"/>
            </w:pPr>
            <w:r>
              <w:t xml:space="preserve">Imposición de sanción por no atender un requerimiento, sin sustanciar el procedimiento de la Ley Federal de Procedimiento Administrativo</w:t>
            </w:r>
          </w:p>
        </w:tc>
        <w:tc>
          <w:tcPr/>
          <w:p>
            <w:pPr>
              <w:pStyle w:val="Compact"/>
              <w:jc w:val="left"/>
            </w:pPr>
            <w:r>
              <w:t xml:space="preserve">No excederá de 10 días hábiles desde el vencimiento del plazo original o, en su caso, del prorrogado</w:t>
            </w:r>
          </w:p>
        </w:tc>
        <w:tc>
          <w:tcPr/>
          <w:p>
            <w:pPr>
              <w:pStyle w:val="Compact"/>
              <w:jc w:val="left"/>
            </w:pPr>
            <w:r>
              <w:t xml:space="preserve">Reglamento art. 8, tercer párrafo</w:t>
            </w:r>
          </w:p>
        </w:tc>
      </w:tr>
      <w:tr>
        <w:tc>
          <w:tcPr/>
          <w:p>
            <w:pPr>
              <w:pStyle w:val="Compact"/>
              <w:jc w:val="left"/>
            </w:pPr>
            <w:r>
              <w:t xml:space="preserve">Emisión del oficio circunstanciado de hechos u omisiones tras revisar lo aportado</w:t>
            </w:r>
          </w:p>
        </w:tc>
        <w:tc>
          <w:tcPr/>
          <w:p>
            <w:pPr>
              <w:pStyle w:val="Compact"/>
              <w:jc w:val="left"/>
            </w:pPr>
            <w:r>
              <w:t xml:space="preserve">No excederá de 10 días hábiles</w:t>
            </w:r>
          </w:p>
        </w:tc>
        <w:tc>
          <w:tcPr/>
          <w:p>
            <w:pPr>
              <w:pStyle w:val="Compact"/>
              <w:jc w:val="left"/>
            </w:pPr>
            <w:r>
              <w:t xml:space="preserve">Reglamento art. 9, primer párrafo</w:t>
            </w:r>
          </w:p>
        </w:tc>
      </w:tr>
      <w:tr>
        <w:tc>
          <w:tcPr/>
          <w:p>
            <w:pPr>
              <w:pStyle w:val="Compact"/>
              <w:jc w:val="left"/>
            </w:pPr>
            <w:r>
              <w:t xml:space="preserve">Resolución que impone la sanción, o que tiene por concluida la revisión, sin sujetarse a la Ley Federal de Procedimiento Administrativo</w:t>
            </w:r>
          </w:p>
        </w:tc>
        <w:tc>
          <w:tcPr/>
          <w:p>
            <w:pPr>
              <w:pStyle w:val="Compact"/>
              <w:jc w:val="left"/>
            </w:pPr>
            <w:r>
              <w:t xml:space="preserve">No excederá de 20 días hábiles</w:t>
            </w:r>
          </w:p>
        </w:tc>
        <w:tc>
          <w:tcPr/>
          <w:p>
            <w:pPr>
              <w:pStyle w:val="Compact"/>
              <w:jc w:val="left"/>
            </w:pPr>
            <w:r>
              <w:t xml:space="preserve">Reglamento art. 9, párrafos segundo y tercero</w:t>
            </w:r>
          </w:p>
        </w:tc>
      </w:tr>
      <w:tr>
        <w:tc>
          <w:tcPr/>
          <w:p>
            <w:pPr>
              <w:pStyle w:val="Compact"/>
              <w:jc w:val="left"/>
            </w:pPr>
            <w:r>
              <w:t xml:space="preserve">Abstención de sancionar del primer párrafo del artículo 55 de la Ley —</w:t>
            </w:r>
            <w:r>
              <w:t xml:space="preserve"> </w:t>
            </w:r>
            <w:r>
              <w:rPr>
                <w:bCs/>
                <w:b/>
              </w:rPr>
              <w:t xml:space="preserve">por única ocasión</w:t>
            </w:r>
          </w:p>
        </w:tc>
        <w:tc>
          <w:tcPr/>
          <w:p>
            <w:pPr>
              <w:pStyle w:val="Compact"/>
              <w:jc w:val="left"/>
            </w:pPr>
            <w:r>
              <w:t xml:space="preserve">Exige que el cumplimiento sea espontáneo y previo al inicio de las facultades de verificación. El reconocimiento expreso se presenta dentro del plazo inicial del procedimiento de verificación: el término de 5 días del artículo 68 de la Ley Federal de Procedimiento Administrativo</w:t>
            </w:r>
          </w:p>
        </w:tc>
        <w:tc>
          <w:tcPr/>
          <w:p>
            <w:pPr>
              <w:pStyle w:val="Compact"/>
              <w:jc w:val="left"/>
            </w:pPr>
            <w:r>
              <w:t xml:space="preserve">Ley art. 55, primer párrafo · Reglamento art. 55 Bis · LFPA art. 68</w:t>
            </w:r>
          </w:p>
        </w:tc>
      </w:tr>
      <w:tr>
        <w:tc>
          <w:tcPr/>
          <w:p>
            <w:pPr>
              <w:pStyle w:val="Compact"/>
              <w:jc w:val="left"/>
            </w:pPr>
            <w:r>
              <w:t xml:space="preserve">Reducción de hasta el 50% de las multas —</w:t>
            </w:r>
            <w:r>
              <w:t xml:space="preserve"> </w:t>
            </w:r>
            <w:r>
              <w:rPr>
                <w:bCs/>
                <w:b/>
              </w:rPr>
              <w:t xml:space="preserve">sólo si ya se ejerció el beneficio anterior</w:t>
            </w:r>
          </w:p>
        </w:tc>
        <w:tc>
          <w:tcPr/>
          <w:p>
            <w:pPr>
              <w:pStyle w:val="Compact"/>
              <w:jc w:val="left"/>
            </w:pPr>
            <w:r>
              <w:t xml:space="preserve">Exige que la regularización sea espontánea y previa al inicio de las facultades de verificación. El reconocimiento expreso se presenta dentro del plazo inicial del procedimiento sancionador: el periodo del artículo 72 de la Ley Federal de Procedimiento Administrativo —quince días conforme a ese ordenamiento; el Reglamento remite sin cuantificar—</w:t>
            </w:r>
          </w:p>
        </w:tc>
        <w:tc>
          <w:tcPr/>
          <w:p>
            <w:pPr>
              <w:pStyle w:val="Compact"/>
              <w:jc w:val="left"/>
            </w:pPr>
            <w:r>
              <w:t xml:space="preserve">Ley art. 55, segundo párrafo · Reglamento art. 55 Bis · LFPA art. 72</w:t>
            </w:r>
          </w:p>
        </w:tc>
      </w:tr>
      <w:tr>
        <w:tc>
          <w:tcPr/>
          <w:p>
            <w:pPr>
              <w:pStyle w:val="Compact"/>
              <w:jc w:val="left"/>
            </w:pPr>
            <w:r>
              <w:t xml:space="preserve">Presentación extemporánea de Aviso — primer escalón</w:t>
            </w:r>
          </w:p>
        </w:tc>
        <w:tc>
          <w:tcPr/>
          <w:p>
            <w:pPr>
              <w:pStyle w:val="Compact"/>
              <w:jc w:val="left"/>
            </w:pPr>
            <w:r>
              <w:t xml:space="preserve">Hasta 30 días después de la fecha en que debió presentarse. Multa de 200 a 2,000 veces el valor diario de la UMA</w:t>
            </w:r>
          </w:p>
        </w:tc>
        <w:tc>
          <w:tcPr/>
          <w:p>
            <w:pPr>
              <w:pStyle w:val="Compact"/>
              <w:jc w:val="left"/>
            </w:pPr>
            <w:r>
              <w:t xml:space="preserve">Ley art. 53, fr. III · Ley art. 54, fr. I</w:t>
            </w:r>
          </w:p>
        </w:tc>
      </w:tr>
      <w:tr>
        <w:tc>
          <w:tcPr/>
          <w:p>
            <w:pPr>
              <w:pStyle w:val="Compact"/>
              <w:jc w:val="left"/>
            </w:pPr>
            <w:r>
              <w:t xml:space="preserve">Presentación extemporánea de Aviso — segundo escalón</w:t>
            </w:r>
          </w:p>
        </w:tc>
        <w:tc>
          <w:tcPr/>
          <w:p>
            <w:pPr>
              <w:pStyle w:val="Compact"/>
              <w:jc w:val="left"/>
            </w:pPr>
            <w:r>
              <w:t xml:space="preserve">Más de 30 días: la Ley remite literalmente a «la sanción prevista para el caso de omisión en el artículo 54, fracción II», esto es, de 2,000 a 10,000 veces el valor diario de la UMA</w:t>
            </w:r>
          </w:p>
        </w:tc>
        <w:tc>
          <w:tcPr/>
          <w:p>
            <w:pPr>
              <w:pStyle w:val="Compact"/>
              <w:jc w:val="left"/>
            </w:pPr>
            <w:r>
              <w:t xml:space="preserve">Ley art. 53, fr. III, segundo párrafo · Ley art. 54, fr. II</w:t>
            </w:r>
          </w:p>
        </w:tc>
      </w:tr>
      <w:tr>
        <w:tc>
          <w:tcPr/>
          <w:p>
            <w:pPr>
              <w:pStyle w:val="Compact"/>
              <w:jc w:val="left"/>
            </w:pPr>
            <w:r>
              <w:t xml:space="preserve">Reincidencia</w:t>
            </w:r>
          </w:p>
        </w:tc>
        <w:tc>
          <w:tcPr/>
          <w:p>
            <w:pPr>
              <w:pStyle w:val="Compact"/>
              <w:jc w:val="left"/>
            </w:pPr>
            <w:r>
              <w:t xml:space="preserve">Cometer la misma infracción dentro de los 2 años inmediatos siguientes a la fecha en que quedó firme la resolución que sancionó la primera</w:t>
            </w:r>
          </w:p>
        </w:tc>
        <w:tc>
          <w:tcPr/>
          <w:p>
            <w:pPr>
              <w:pStyle w:val="Compact"/>
              <w:jc w:val="left"/>
            </w:pPr>
            <w:r>
              <w:t xml:space="preserve">Ley art. 60, fr. I</w:t>
            </w:r>
          </w:p>
        </w:tc>
      </w:tr>
      <w:tr>
        <w:tc>
          <w:tcPr/>
          <w:p>
            <w:pPr>
              <w:pStyle w:val="Compact"/>
              <w:jc w:val="left"/>
            </w:pPr>
            <w:r>
              <w:t xml:space="preserve">Cancelación definitiva de la habilitación del corredor público, una vez firme la sanción</w:t>
            </w:r>
          </w:p>
        </w:tc>
        <w:tc>
          <w:tcPr/>
          <w:p>
            <w:pPr>
              <w:pStyle w:val="Compact"/>
              <w:jc w:val="left"/>
            </w:pPr>
            <w:r>
              <w:t xml:space="preserve">La Secretaría de Economía cuenta con 10 días hábiles desde que se le informa</w:t>
            </w:r>
          </w:p>
        </w:tc>
        <w:tc>
          <w:tcPr/>
          <w:p>
            <w:pPr>
              <w:pStyle w:val="Compact"/>
              <w:jc w:val="left"/>
            </w:pPr>
            <w:r>
              <w:t xml:space="preserve">Ley art. 57, segundo párrafo</w:t>
            </w:r>
          </w:p>
        </w:tc>
      </w:tr>
    </w:tbl>
    <w:p>
      <w:pPr>
        <w:pStyle w:val="BodyText"/>
      </w:pPr>
      <w:r>
        <w:rPr>
          <w:iCs/>
          <w:i/>
        </w:rPr>
        <w:t xml:space="preserve">El escrito de reconocimiento del artículo 55 Bis del Reglamento debe abarcar la totalidad de las faltas, detallar la operación y el periodo en que debió cumplirse, manifestar bajo protesta de decir verdad que todas fueron corregidas o subsanadas y anexar la documentación que lo acredite. La condición decisiva es anterior al escrito: quien se entera de su incumplimiento por la orden de visita ya no está en el supuesto, por más que reconozca la falta dentro del plazo.</w:t>
      </w:r>
    </w:p>
    <w:p>
      <w:pPr>
        <w:pStyle w:val="BodyText"/>
      </w:pPr>
      <w:r>
        <w:rPr>
          <w:iCs/>
          <w:i/>
        </w:rPr>
        <w:t xml:space="preserve">Sobre el segundo escalón del Aviso extemporáneo conviene una precisión, porque el número decide si se autocorrige o no. La omisión de Avisos es la fracción VI del artículo 53 y su multa está en el artículo 54, fracción III —de 10,000 a 65,000 veces el valor diario de la UMA, o del 10% al 100% del valor del acto u operación cuando sea cuantificable en dinero, la que resulte mayor—. Pero el artículo 53, fracción III, segundo párrafo remite a la fracción II del artículo 54, que la propia Ley reserva a la fracción V del artículo 53. La tabla transcribe la remisión; no la interpreta. No hay criterio publicado que resuelva la antinomia.</w:t>
      </w:r>
    </w:p>
    <w:p>
      <w:pPr>
        <w:pStyle w:val="BodyText"/>
      </w:pPr>
      <w:r>
        <w:rPr>
          <w:iCs/>
          <w:i/>
        </w:rPr>
        <w:t xml:space="preserve">Esta tabla no incluye los plazos de defensa —recurso de revisión, juicio contencioso administrativo, amparo—, que dependen del acto que se impugne y de la vía elegida. Ese cálculo debe hacerlo quien lleve el asunto, sobre el acto notificado.</w:t>
      </w:r>
    </w:p>
    <w:p>
      <w:r>
        <w:pict>
          <v:rect style="width:0;height:1.5pt" o:hralign="center" o:hrstd="t" o:hr="t"/>
        </w:pict>
      </w:r>
    </w:p>
    <w:p>
      <w:pPr>
        <w:pStyle w:val="FirstParagraph"/>
      </w:pPr>
      <w:r>
        <w:rPr>
          <w:iCs/>
          <w:i/>
        </w:rPr>
        <w:t xml:space="preserve">Material de análisis y capacitación. No es asesoría legal ni interpretación oficial y no sustituye el criterio de la autoridad competente; la interpretación administrativa de las Reglas corresponde a la Unidad de Inteligencia Financiera conforme al artículo 40 de las mismas. Referencias: Ley reformada el 16 de julio de 2025; Reglamento reformado el 27 de marzo de 2026; Reglas de Carácter General modificadas por el ACUERDO 115/2026, publicado el 7 de agosto de 2026 y con entrada en vigor el 30 de noviembre de 2026. Cada cita fue cotejada por revisores independientes de quien redactó el material.</w:t>
      </w:r>
    </w:p>
    <w:p>
      <w:pPr>
        <w:pStyle w:val="BodyText"/>
      </w:pPr>
      <w:r>
        <w:rPr>
          <w:iCs/>
          <w:i/>
        </w:rPr>
        <w:t xml:space="preserve">Este material se mantiene vivo: si se detecta cualquier error o precisión, se actualiza a su versión más reciente en esta misma liga.</w:t>
      </w:r>
    </w:p>
    <w:p>
      <w:pPr>
        <w:pStyle w:val="BodyText"/>
      </w:pPr>
      <w:r>
        <w:rPr>
          <w:bCs/>
          <w:b/>
        </w:rPr>
        <w:t xml:space="preserve">GMC360 · 360Educa</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4395E"/>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4A4A4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4395E"/>
      <w:sz w:val="30"/>
      <w:szCs w:val="30"/>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4395E"/>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F3A5F"/>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única de plazos</dc:title>
  <dc:creator>GMC360 · 360Educa</dc:creator>
  <dc:language>es-MX</dc:language>
  <cp:keywords/>
  <dcterms:created xsi:type="dcterms:W3CDTF">2026-08-25T04:28:04Z</dcterms:created>
  <dcterms:modified xsi:type="dcterms:W3CDTF">2026-08-25T04:28:04Z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de agosto de 2026 · LFPIORPI · Reglamento · ACUERDO 115/2026</vt:lpwstr>
  </property>
  <property fmtid="{D5CDD505-2E9C-101B-9397-08002B2CF9AE}" pid="3" name="subtitle">
    <vt:lpwstr>Conservación, trámite, procedimiento y autocorrección · LFPIORPI tras la reforma</vt:lpwstr>
  </property>
</Properties>
</file>