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Preguntas</w:t>
      </w:r>
      <w:r>
        <w:t xml:space="preserve"> </w:t>
      </w:r>
      <w:r>
        <w:t xml:space="preserve">del</w:t>
      </w:r>
      <w:r>
        <w:t xml:space="preserve"> </w:t>
      </w:r>
      <w:r>
        <w:t xml:space="preserve">sector</w:t>
      </w:r>
      <w:r>
        <w:t xml:space="preserve"> </w:t>
      </w:r>
      <w:r>
        <w:t xml:space="preserve">sobre</w:t>
      </w:r>
      <w:r>
        <w:t xml:space="preserve"> </w:t>
      </w:r>
      <w:r>
        <w:t xml:space="preserve">el</w:t>
      </w:r>
      <w:r>
        <w:t xml:space="preserve"> </w:t>
      </w:r>
      <w:r>
        <w:t xml:space="preserve">ACUERDO</w:t>
      </w:r>
      <w:r>
        <w:t xml:space="preserve"> </w:t>
      </w:r>
      <w:r>
        <w:t xml:space="preserve">115/2026</w:t>
      </w:r>
    </w:p>
    <w:p>
      <w:pPr>
        <w:pStyle w:val="Subtitle"/>
      </w:pPr>
      <w:r>
        <w:t xml:space="preserve">Respuestas</w:t>
      </w:r>
      <w:r>
        <w:t xml:space="preserve"> </w:t>
      </w:r>
      <w:r>
        <w:t xml:space="preserve">con</w:t>
      </w:r>
      <w:r>
        <w:t xml:space="preserve"> </w:t>
      </w:r>
      <w:r>
        <w:t xml:space="preserve">fundamento</w:t>
      </w:r>
      <w:r>
        <w:t xml:space="preserve"> </w:t>
      </w:r>
      <w:r>
        <w:t xml:space="preserve">y</w:t>
      </w:r>
      <w:r>
        <w:t xml:space="preserve"> </w:t>
      </w:r>
      <w:r>
        <w:t xml:space="preserve">semáforo</w:t>
      </w:r>
      <w:r>
        <w:t xml:space="preserve"> </w:t>
      </w:r>
      <w:r>
        <w:t xml:space="preserve">de</w:t>
      </w:r>
      <w:r>
        <w:t xml:space="preserve"> </w:t>
      </w:r>
      <w:r>
        <w:t xml:space="preserve">certeza</w:t>
      </w:r>
      <w:r>
        <w:t xml:space="preserve"> </w:t>
      </w:r>
      <w:r>
        <w:t xml:space="preserve">normativa</w:t>
      </w:r>
      <w:r>
        <w:t xml:space="preserve"> </w:t>
      </w:r>
      <w:r>
        <w:t xml:space="preserve">·</w:t>
      </w:r>
      <w:r>
        <w:t xml:space="preserve"> </w:t>
      </w:r>
      <w:r>
        <w:t xml:space="preserve">Reformas</w:t>
      </w:r>
      <w:r>
        <w:t xml:space="preserve"> </w:t>
      </w:r>
      <w:r>
        <w:t xml:space="preserve">a</w:t>
      </w:r>
      <w:r>
        <w:t xml:space="preserve"> </w:t>
      </w:r>
      <w:r>
        <w:t xml:space="preserve">las</w:t>
      </w:r>
      <w:r>
        <w:t xml:space="preserve"> </w:t>
      </w:r>
      <w:r>
        <w:t xml:space="preserve">Reglas</w:t>
      </w:r>
      <w:r>
        <w:t xml:space="preserve"> </w:t>
      </w:r>
      <w:r>
        <w:t xml:space="preserve">de</w:t>
      </w:r>
      <w:r>
        <w:t xml:space="preserve"> </w:t>
      </w:r>
      <w:r>
        <w:t xml:space="preserve">Carácter</w:t>
      </w:r>
      <w:r>
        <w:t xml:space="preserve"> </w:t>
      </w:r>
      <w:r>
        <w:t xml:space="preserve">General</w:t>
      </w:r>
      <w:r>
        <w:t xml:space="preserve"> </w:t>
      </w:r>
      <w:r>
        <w:t xml:space="preserve">de</w:t>
      </w:r>
      <w:r>
        <w:t xml:space="preserve"> </w:t>
      </w:r>
      <w:r>
        <w:t xml:space="preserve">la</w:t>
      </w:r>
      <w:r>
        <w:t xml:space="preserve"> </w:t>
      </w:r>
      <w:r>
        <w:t xml:space="preserve">LFPIORPI</w:t>
      </w:r>
      <w:r>
        <w:t xml:space="preserve"> </w:t>
      </w:r>
      <w:r>
        <w:t xml:space="preserve">·</w:t>
      </w:r>
      <w:r>
        <w:t xml:space="preserve"> </w:t>
      </w:r>
      <w:r>
        <w:t xml:space="preserve">DOF</w:t>
      </w:r>
      <w:r>
        <w:t xml:space="preserve"> </w:t>
      </w:r>
      <w:r>
        <w:t xml:space="preserve">7</w:t>
      </w:r>
      <w:r>
        <w:t xml:space="preserve"> </w:t>
      </w:r>
      <w:r>
        <w:t xml:space="preserve">de</w:t>
      </w:r>
      <w:r>
        <w:t xml:space="preserve"> </w:t>
      </w:r>
      <w:r>
        <w:t xml:space="preserve">agosto</w:t>
      </w:r>
      <w:r>
        <w:t xml:space="preserve"> </w:t>
      </w:r>
      <w:r>
        <w:t xml:space="preserve">de</w:t>
      </w:r>
      <w:r>
        <w:t xml:space="preserve"> </w:t>
      </w:r>
      <w:r>
        <w:t xml:space="preserve">2026</w:t>
      </w:r>
    </w:p>
    <w:p>
      <w:pPr>
        <w:pStyle w:val="Author"/>
      </w:pPr>
      <w:r>
        <w:t xml:space="preserve">GMC360</w:t>
      </w:r>
      <w:r>
        <w:t xml:space="preserve"> </w:t>
      </w:r>
      <w:r>
        <w:t xml:space="preserve">·</w:t>
      </w:r>
      <w:r>
        <w:t xml:space="preserve"> </w:t>
      </w:r>
      <w:r>
        <w:t xml:space="preserve">360Educa</w:t>
      </w:r>
    </w:p>
    <w:p>
      <w:pPr>
        <w:pStyle w:val="Date"/>
      </w:pPr>
      <w:r>
        <w:t xml:space="preserve">Segunda</w:t>
      </w:r>
      <w:r>
        <w:t xml:space="preserve"> </w:t>
      </w:r>
      <w:r>
        <w:t xml:space="preserve">edición</w:t>
      </w:r>
      <w:r>
        <w:t xml:space="preserve"> </w:t>
      </w:r>
      <w:r>
        <w:t xml:space="preserve">·</w:t>
      </w:r>
      <w:r>
        <w:t xml:space="preserve"> </w:t>
      </w:r>
      <w:r>
        <w:t xml:space="preserve">25</w:t>
      </w:r>
      <w:r>
        <w:t xml:space="preserve"> </w:t>
      </w:r>
      <w:r>
        <w:t xml:space="preserve">de</w:t>
      </w:r>
      <w:r>
        <w:t xml:space="preserve"> </w:t>
      </w:r>
      <w:r>
        <w:t xml:space="preserve">agosto</w:t>
      </w:r>
      <w:r>
        <w:t xml:space="preserve"> </w:t>
      </w:r>
      <w:r>
        <w:t xml:space="preserve">de</w:t>
      </w:r>
      <w:r>
        <w:t xml:space="preserve"> </w:t>
      </w:r>
      <w:r>
        <w:t xml:space="preserve">2026</w:t>
      </w:r>
      <w:r>
        <w:t xml:space="preserve"> </w:t>
      </w:r>
      <w:r>
        <w:t xml:space="preserve">·</w:t>
      </w:r>
      <w:r>
        <w:t xml:space="preserve"> </w:t>
      </w:r>
      <w:r>
        <w:t xml:space="preserve">135</w:t>
      </w:r>
      <w:r>
        <w:t xml:space="preserve"> </w:t>
      </w:r>
      <w:r>
        <w:t xml:space="preserve">preguntas</w:t>
      </w:r>
    </w:p>
    <w:p>
      <w:pPr>
        <w:pStyle w:val="FirstParagraph"/>
      </w:pPr>
      <w:r>
        <w:rPr>
          <w:iCs/>
          <w:i/>
        </w:rPr>
        <w:t xml:space="preserve">Documento elaborado a partir de los planteamientos recibidos en cuatro sesiones abiertas y de taller y en el canal de seguimiento, del 10 al 24 de agosto de 2026.</w:t>
      </w:r>
    </w:p>
    <w:bookmarkStart w:id="20" w:name="contenido"/>
    <w:p>
      <w:pPr>
        <w:pStyle w:val="Heading1"/>
      </w:pPr>
      <w:r>
        <w:t xml:space="preserve">Contenido</w:t>
      </w:r>
    </w:p>
    <w:p>
      <w:pPr>
        <w:pStyle w:val="FirstParagraph"/>
      </w:pPr>
      <w:r>
        <w:rPr>
          <w:iCs/>
          <w:i/>
        </w:rPr>
        <w:t xml:space="preserve">El índice remite a números de pregunta, no a páginas. La numeración es estable entre ediciones.</w:t>
      </w:r>
    </w:p>
    <w:tbl>
      <w:tblPr>
        <w:tblStyle w:val="Table"/>
        <w:tblW w:type="pct" w:w="5000"/>
        <w:tblLook w:firstRow="1" w:lastRow="0" w:firstColumn="0" w:lastColumn="0" w:noHBand="0" w:noVBand="0" w:val="0020"/>
        <w:jc w:val="start"/>
      </w:tblPr>
      <w:tblGrid>
        <w:gridCol w:w="557"/>
        <w:gridCol w:w="5912"/>
        <w:gridCol w:w="1450"/>
      </w:tblGrid>
      <w:tr>
        <w:trPr>
          <w:tblHeader w:val="true"/>
        </w:trPr>
        <w:tc>
          <w:tcPr/>
          <w:p>
            <w:pPr>
              <w:pStyle w:val="Compact"/>
            </w:pPr>
          </w:p>
        </w:tc>
        <w:tc>
          <w:tcPr/>
          <w:p>
            <w:pPr>
              <w:pStyle w:val="Compact"/>
              <w:jc w:val="left"/>
            </w:pPr>
            <w:r>
              <w:t xml:space="preserve">Sección</w:t>
            </w:r>
          </w:p>
        </w:tc>
        <w:tc>
          <w:tcPr/>
          <w:p>
            <w:pPr>
              <w:pStyle w:val="Compact"/>
              <w:jc w:val="left"/>
            </w:pPr>
            <w:r>
              <w:t xml:space="preserve">Preguntas</w:t>
            </w:r>
          </w:p>
        </w:tc>
      </w:tr>
      <w:tr>
        <w:tc>
          <w:tcPr/>
          <w:p>
            <w:pPr>
              <w:pStyle w:val="Compact"/>
            </w:pPr>
          </w:p>
        </w:tc>
        <w:tc>
          <w:tcPr/>
          <w:p>
            <w:pPr>
              <w:pStyle w:val="Compact"/>
              <w:jc w:val="left"/>
            </w:pPr>
            <w:r>
              <w:rPr>
                <w:bCs/>
                <w:b/>
              </w:rPr>
              <w:t xml:space="preserve">BLOQUE I — Temas transversales</w:t>
            </w:r>
          </w:p>
        </w:tc>
        <w:tc>
          <w:tcPr/>
          <w:p>
            <w:pPr>
              <w:pStyle w:val="Compact"/>
            </w:pPr>
          </w:p>
        </w:tc>
      </w:tr>
      <w:tr>
        <w:tc>
          <w:tcPr/>
          <w:p>
            <w:pPr>
              <w:pStyle w:val="Compact"/>
              <w:jc w:val="left"/>
            </w:pPr>
            <w:r>
              <w:t xml:space="preserve">1</w:t>
            </w:r>
          </w:p>
        </w:tc>
        <w:tc>
          <w:tcPr/>
          <w:p>
            <w:pPr>
              <w:pStyle w:val="Compact"/>
              <w:jc w:val="left"/>
            </w:pPr>
            <w:r>
              <w:t xml:space="preserve">Alta, registro y padrón</w:t>
            </w:r>
          </w:p>
        </w:tc>
        <w:tc>
          <w:tcPr/>
          <w:p>
            <w:pPr>
              <w:pStyle w:val="Compact"/>
              <w:jc w:val="left"/>
            </w:pPr>
            <w:r>
              <w:t xml:space="preserve">1–6</w:t>
            </w:r>
          </w:p>
        </w:tc>
      </w:tr>
      <w:tr>
        <w:tc>
          <w:tcPr/>
          <w:p>
            <w:pPr>
              <w:pStyle w:val="Compact"/>
              <w:jc w:val="left"/>
            </w:pPr>
            <w:r>
              <w:t xml:space="preserve">2</w:t>
            </w:r>
          </w:p>
        </w:tc>
        <w:tc>
          <w:tcPr/>
          <w:p>
            <w:pPr>
              <w:pStyle w:val="Compact"/>
              <w:jc w:val="left"/>
            </w:pPr>
            <w:r>
              <w:t xml:space="preserve">Persona Representante Encargada de Cumplimiento</w:t>
            </w:r>
          </w:p>
        </w:tc>
        <w:tc>
          <w:tcPr/>
          <w:p>
            <w:pPr>
              <w:pStyle w:val="Compact"/>
              <w:jc w:val="left"/>
            </w:pPr>
            <w:r>
              <w:t xml:space="preserve">7–14</w:t>
            </w:r>
          </w:p>
        </w:tc>
      </w:tr>
      <w:tr>
        <w:tc>
          <w:tcPr/>
          <w:p>
            <w:pPr>
              <w:pStyle w:val="Compact"/>
              <w:jc w:val="left"/>
            </w:pPr>
            <w:r>
              <w:t xml:space="preserve">3</w:t>
            </w:r>
          </w:p>
        </w:tc>
        <w:tc>
          <w:tcPr/>
          <w:p>
            <w:pPr>
              <w:pStyle w:val="Compact"/>
              <w:jc w:val="left"/>
            </w:pPr>
            <w:r>
              <w:t xml:space="preserve">Certificación de la UIF</w:t>
            </w:r>
          </w:p>
        </w:tc>
        <w:tc>
          <w:tcPr/>
          <w:p>
            <w:pPr>
              <w:pStyle w:val="Compact"/>
              <w:jc w:val="left"/>
            </w:pPr>
            <w:r>
              <w:t xml:space="preserve">15–18</w:t>
            </w:r>
          </w:p>
        </w:tc>
      </w:tr>
      <w:tr>
        <w:tc>
          <w:tcPr/>
          <w:p>
            <w:pPr>
              <w:pStyle w:val="Compact"/>
              <w:jc w:val="left"/>
            </w:pPr>
            <w:r>
              <w:t xml:space="preserve">4</w:t>
            </w:r>
          </w:p>
        </w:tc>
        <w:tc>
          <w:tcPr/>
          <w:p>
            <w:pPr>
              <w:pStyle w:val="Compact"/>
              <w:jc w:val="left"/>
            </w:pPr>
            <w:r>
              <w:t xml:space="preserve">Buzón, notificaciones electrónicas y requerimientos</w:t>
            </w:r>
          </w:p>
        </w:tc>
        <w:tc>
          <w:tcPr/>
          <w:p>
            <w:pPr>
              <w:pStyle w:val="Compact"/>
              <w:jc w:val="left"/>
            </w:pPr>
            <w:r>
              <w:t xml:space="preserve">19–23</w:t>
            </w:r>
          </w:p>
        </w:tc>
      </w:tr>
      <w:tr>
        <w:tc>
          <w:tcPr/>
          <w:p>
            <w:pPr>
              <w:pStyle w:val="Compact"/>
              <w:jc w:val="left"/>
            </w:pPr>
            <w:r>
              <w:t xml:space="preserve">5</w:t>
            </w:r>
          </w:p>
        </w:tc>
        <w:tc>
          <w:tcPr/>
          <w:p>
            <w:pPr>
              <w:pStyle w:val="Compact"/>
              <w:jc w:val="left"/>
            </w:pPr>
            <w:r>
              <w:t xml:space="preserve">Identificación del Cliente, expediente único y confidencialidad</w:t>
            </w:r>
          </w:p>
        </w:tc>
        <w:tc>
          <w:tcPr/>
          <w:p>
            <w:pPr>
              <w:pStyle w:val="Compact"/>
              <w:jc w:val="left"/>
            </w:pPr>
            <w:r>
              <w:t xml:space="preserve">24–37</w:t>
            </w:r>
          </w:p>
        </w:tc>
      </w:tr>
      <w:tr>
        <w:tc>
          <w:tcPr/>
          <w:p>
            <w:pPr>
              <w:pStyle w:val="Compact"/>
              <w:jc w:val="left"/>
            </w:pPr>
            <w:r>
              <w:t xml:space="preserve">6</w:t>
            </w:r>
          </w:p>
        </w:tc>
        <w:tc>
          <w:tcPr/>
          <w:p>
            <w:pPr>
              <w:pStyle w:val="Compact"/>
              <w:jc w:val="left"/>
            </w:pPr>
            <w:r>
              <w:t xml:space="preserve">Relación de negocios, umbrales y acumulación</w:t>
            </w:r>
          </w:p>
        </w:tc>
        <w:tc>
          <w:tcPr/>
          <w:p>
            <w:pPr>
              <w:pStyle w:val="Compact"/>
              <w:jc w:val="left"/>
            </w:pPr>
            <w:r>
              <w:t xml:space="preserve">38–43</w:t>
            </w:r>
          </w:p>
        </w:tc>
      </w:tr>
      <w:tr>
        <w:tc>
          <w:tcPr/>
          <w:p>
            <w:pPr>
              <w:pStyle w:val="Compact"/>
              <w:jc w:val="left"/>
            </w:pPr>
            <w:r>
              <w:t xml:space="preserve">7</w:t>
            </w:r>
          </w:p>
        </w:tc>
        <w:tc>
          <w:tcPr/>
          <w:p>
            <w:pPr>
              <w:pStyle w:val="Compact"/>
              <w:jc w:val="left"/>
            </w:pPr>
            <w:r>
              <w:t xml:space="preserve">Beneficiario Controlador</w:t>
            </w:r>
          </w:p>
        </w:tc>
        <w:tc>
          <w:tcPr/>
          <w:p>
            <w:pPr>
              <w:pStyle w:val="Compact"/>
              <w:jc w:val="left"/>
            </w:pPr>
            <w:r>
              <w:t xml:space="preserve">44–54</w:t>
            </w:r>
          </w:p>
        </w:tc>
      </w:tr>
      <w:tr>
        <w:tc>
          <w:tcPr/>
          <w:p>
            <w:pPr>
              <w:pStyle w:val="Compact"/>
              <w:jc w:val="left"/>
            </w:pPr>
            <w:r>
              <w:t xml:space="preserve">8</w:t>
            </w:r>
          </w:p>
        </w:tc>
        <w:tc>
          <w:tcPr/>
          <w:p>
            <w:pPr>
              <w:pStyle w:val="Compact"/>
              <w:jc w:val="left"/>
            </w:pPr>
            <w:r>
              <w:t xml:space="preserve">Enfoque basado en Riesgos, proporcionalidad y guías pendientes</w:t>
            </w:r>
          </w:p>
        </w:tc>
        <w:tc>
          <w:tcPr/>
          <w:p>
            <w:pPr>
              <w:pStyle w:val="Compact"/>
              <w:jc w:val="left"/>
            </w:pPr>
            <w:r>
              <w:t xml:space="preserve">55–60</w:t>
            </w:r>
          </w:p>
        </w:tc>
      </w:tr>
      <w:tr>
        <w:tc>
          <w:tcPr/>
          <w:p>
            <w:pPr>
              <w:pStyle w:val="Compact"/>
              <w:jc w:val="left"/>
            </w:pPr>
            <w:r>
              <w:t xml:space="preserve">9</w:t>
            </w:r>
          </w:p>
        </w:tc>
        <w:tc>
          <w:tcPr/>
          <w:p>
            <w:pPr>
              <w:pStyle w:val="Compact"/>
              <w:jc w:val="left"/>
            </w:pPr>
            <w:r>
              <w:t xml:space="preserve">Conocimiento del Cliente y Perfil transaccional</w:t>
            </w:r>
          </w:p>
        </w:tc>
        <w:tc>
          <w:tcPr/>
          <w:p>
            <w:pPr>
              <w:pStyle w:val="Compact"/>
              <w:jc w:val="left"/>
            </w:pPr>
            <w:r>
              <w:t xml:space="preserve">61–64</w:t>
            </w:r>
          </w:p>
        </w:tc>
      </w:tr>
      <w:tr>
        <w:tc>
          <w:tcPr/>
          <w:p>
            <w:pPr>
              <w:pStyle w:val="Compact"/>
              <w:jc w:val="left"/>
            </w:pPr>
            <w:r>
              <w:t xml:space="preserve">10</w:t>
            </w:r>
          </w:p>
        </w:tc>
        <w:tc>
          <w:tcPr/>
          <w:p>
            <w:pPr>
              <w:pStyle w:val="Compact"/>
              <w:jc w:val="left"/>
            </w:pPr>
            <w:r>
              <w:t xml:space="preserve">Avisos e Informes</w:t>
            </w:r>
          </w:p>
        </w:tc>
        <w:tc>
          <w:tcPr/>
          <w:p>
            <w:pPr>
              <w:pStyle w:val="Compact"/>
              <w:jc w:val="left"/>
            </w:pPr>
            <w:r>
              <w:t xml:space="preserve">65–75</w:t>
            </w:r>
          </w:p>
        </w:tc>
      </w:tr>
      <w:tr>
        <w:tc>
          <w:tcPr/>
          <w:p>
            <w:pPr>
              <w:pStyle w:val="Compact"/>
              <w:jc w:val="left"/>
            </w:pPr>
            <w:r>
              <w:t xml:space="preserve">11</w:t>
            </w:r>
          </w:p>
        </w:tc>
        <w:tc>
          <w:tcPr/>
          <w:p>
            <w:pPr>
              <w:pStyle w:val="Compact"/>
              <w:jc w:val="left"/>
            </w:pPr>
            <w:r>
              <w:t xml:space="preserve">Manual de Políticas Internas y delimitación de funciones</w:t>
            </w:r>
          </w:p>
        </w:tc>
        <w:tc>
          <w:tcPr/>
          <w:p>
            <w:pPr>
              <w:pStyle w:val="Compact"/>
              <w:jc w:val="left"/>
            </w:pPr>
            <w:r>
              <w:t xml:space="preserve">76–82</w:t>
            </w:r>
          </w:p>
        </w:tc>
      </w:tr>
      <w:tr>
        <w:tc>
          <w:tcPr/>
          <w:p>
            <w:pPr>
              <w:pStyle w:val="Compact"/>
              <w:jc w:val="left"/>
            </w:pPr>
            <w:r>
              <w:t xml:space="preserve">12</w:t>
            </w:r>
          </w:p>
        </w:tc>
        <w:tc>
          <w:tcPr/>
          <w:p>
            <w:pPr>
              <w:pStyle w:val="Compact"/>
              <w:jc w:val="left"/>
            </w:pPr>
            <w:r>
              <w:t xml:space="preserve">Responsabilidad de la persona Representante y frontera penal</w:t>
            </w:r>
          </w:p>
        </w:tc>
        <w:tc>
          <w:tcPr/>
          <w:p>
            <w:pPr>
              <w:pStyle w:val="Compact"/>
              <w:jc w:val="left"/>
            </w:pPr>
            <w:r>
              <w:t xml:space="preserve">83–89</w:t>
            </w:r>
          </w:p>
        </w:tc>
      </w:tr>
      <w:tr>
        <w:tc>
          <w:tcPr/>
          <w:p>
            <w:pPr>
              <w:pStyle w:val="Compact"/>
              <w:jc w:val="left"/>
            </w:pPr>
            <w:r>
              <w:t xml:space="preserve">13</w:t>
            </w:r>
          </w:p>
        </w:tc>
        <w:tc>
          <w:tcPr/>
          <w:p>
            <w:pPr>
              <w:pStyle w:val="Compact"/>
              <w:jc w:val="left"/>
            </w:pPr>
            <w:r>
              <w:t xml:space="preserve">Capacitación y selección de personal</w:t>
            </w:r>
          </w:p>
        </w:tc>
        <w:tc>
          <w:tcPr/>
          <w:p>
            <w:pPr>
              <w:pStyle w:val="Compact"/>
              <w:jc w:val="left"/>
            </w:pPr>
            <w:r>
              <w:t xml:space="preserve">90–94</w:t>
            </w:r>
          </w:p>
        </w:tc>
      </w:tr>
      <w:tr>
        <w:tc>
          <w:tcPr/>
          <w:p>
            <w:pPr>
              <w:pStyle w:val="Compact"/>
              <w:jc w:val="left"/>
            </w:pPr>
            <w:r>
              <w:t xml:space="preserve">14</w:t>
            </w:r>
          </w:p>
        </w:tc>
        <w:tc>
          <w:tcPr/>
          <w:p>
            <w:pPr>
              <w:pStyle w:val="Compact"/>
              <w:jc w:val="left"/>
            </w:pPr>
            <w:r>
              <w:t xml:space="preserve">Mecanismos automatizados</w:t>
            </w:r>
          </w:p>
        </w:tc>
        <w:tc>
          <w:tcPr/>
          <w:p>
            <w:pPr>
              <w:pStyle w:val="Compact"/>
              <w:jc w:val="left"/>
            </w:pPr>
            <w:r>
              <w:t xml:space="preserve">95–97</w:t>
            </w:r>
          </w:p>
        </w:tc>
      </w:tr>
      <w:tr>
        <w:tc>
          <w:tcPr/>
          <w:p>
            <w:pPr>
              <w:pStyle w:val="Compact"/>
              <w:jc w:val="left"/>
            </w:pPr>
            <w:r>
              <w:t xml:space="preserve">15</w:t>
            </w:r>
          </w:p>
        </w:tc>
        <w:tc>
          <w:tcPr/>
          <w:p>
            <w:pPr>
              <w:pStyle w:val="Compact"/>
              <w:jc w:val="left"/>
            </w:pPr>
            <w:r>
              <w:t xml:space="preserve">Auditoría y dictamen</w:t>
            </w:r>
          </w:p>
        </w:tc>
        <w:tc>
          <w:tcPr/>
          <w:p>
            <w:pPr>
              <w:pStyle w:val="Compact"/>
              <w:jc w:val="left"/>
            </w:pPr>
            <w:r>
              <w:t xml:space="preserve">98–102</w:t>
            </w:r>
          </w:p>
        </w:tc>
      </w:tr>
      <w:tr>
        <w:tc>
          <w:tcPr/>
          <w:p>
            <w:pPr>
              <w:pStyle w:val="Compact"/>
              <w:jc w:val="left"/>
            </w:pPr>
            <w:r>
              <w:t xml:space="preserve">16</w:t>
            </w:r>
          </w:p>
        </w:tc>
        <w:tc>
          <w:tcPr/>
          <w:p>
            <w:pPr>
              <w:pStyle w:val="Compact"/>
              <w:jc w:val="left"/>
            </w:pPr>
            <w:r>
              <w:t xml:space="preserve">Conservación de información</w:t>
            </w:r>
          </w:p>
        </w:tc>
        <w:tc>
          <w:tcPr/>
          <w:p>
            <w:pPr>
              <w:pStyle w:val="Compact"/>
              <w:jc w:val="left"/>
            </w:pPr>
            <w:r>
              <w:t xml:space="preserve">103–104</w:t>
            </w:r>
          </w:p>
        </w:tc>
      </w:tr>
      <w:tr>
        <w:tc>
          <w:tcPr/>
          <w:p>
            <w:pPr>
              <w:pStyle w:val="Compact"/>
              <w:jc w:val="left"/>
            </w:pPr>
            <w:r>
              <w:t xml:space="preserve">17</w:t>
            </w:r>
          </w:p>
        </w:tc>
        <w:tc>
          <w:tcPr/>
          <w:p>
            <w:pPr>
              <w:pStyle w:val="Compact"/>
              <w:jc w:val="left"/>
            </w:pPr>
            <w:r>
              <w:t xml:space="preserve">Listas y Personas Políticamente Expuestas</w:t>
            </w:r>
          </w:p>
        </w:tc>
        <w:tc>
          <w:tcPr/>
          <w:p>
            <w:pPr>
              <w:pStyle w:val="Compact"/>
              <w:jc w:val="left"/>
            </w:pPr>
            <w:r>
              <w:t xml:space="preserve">105–106</w:t>
            </w:r>
          </w:p>
        </w:tc>
      </w:tr>
      <w:tr>
        <w:tc>
          <w:tcPr/>
          <w:p>
            <w:pPr>
              <w:pStyle w:val="Compact"/>
              <w:jc w:val="left"/>
            </w:pPr>
            <w:r>
              <w:t xml:space="preserve">18</w:t>
            </w:r>
          </w:p>
        </w:tc>
        <w:tc>
          <w:tcPr/>
          <w:p>
            <w:pPr>
              <w:pStyle w:val="Compact"/>
              <w:jc w:val="left"/>
            </w:pPr>
            <w:r>
              <w:t xml:space="preserve">Sanciones, facultades de la autoridad y autocorrección</w:t>
            </w:r>
          </w:p>
        </w:tc>
        <w:tc>
          <w:tcPr/>
          <w:p>
            <w:pPr>
              <w:pStyle w:val="Compact"/>
              <w:jc w:val="left"/>
            </w:pPr>
            <w:r>
              <w:t xml:space="preserve">107–111</w:t>
            </w:r>
          </w:p>
        </w:tc>
      </w:tr>
      <w:tr>
        <w:tc>
          <w:tcPr/>
          <w:p>
            <w:pPr>
              <w:pStyle w:val="Compact"/>
            </w:pPr>
          </w:p>
        </w:tc>
        <w:tc>
          <w:tcPr/>
          <w:p>
            <w:pPr>
              <w:pStyle w:val="Compact"/>
              <w:jc w:val="left"/>
            </w:pPr>
            <w:r>
              <w:rPr>
                <w:bCs/>
                <w:b/>
              </w:rPr>
              <w:t xml:space="preserve">BLOQUE II — Temas específicos de sector</w:t>
            </w:r>
          </w:p>
        </w:tc>
        <w:tc>
          <w:tcPr/>
          <w:p>
            <w:pPr>
              <w:pStyle w:val="Compact"/>
            </w:pPr>
          </w:p>
        </w:tc>
      </w:tr>
      <w:tr>
        <w:tc>
          <w:tcPr/>
          <w:p>
            <w:pPr>
              <w:pStyle w:val="Compact"/>
              <w:jc w:val="left"/>
            </w:pPr>
            <w:r>
              <w:t xml:space="preserve">19</w:t>
            </w:r>
          </w:p>
        </w:tc>
        <w:tc>
          <w:tcPr/>
          <w:p>
            <w:pPr>
              <w:pStyle w:val="Compact"/>
              <w:jc w:val="left"/>
            </w:pPr>
            <w:r>
              <w:t xml:space="preserve">Fedatarios públicos: notarios y corredores</w:t>
            </w:r>
          </w:p>
        </w:tc>
        <w:tc>
          <w:tcPr/>
          <w:p>
            <w:pPr>
              <w:pStyle w:val="Compact"/>
              <w:jc w:val="left"/>
            </w:pPr>
            <w:r>
              <w:t xml:space="preserve">112–116</w:t>
            </w:r>
          </w:p>
        </w:tc>
      </w:tr>
      <w:tr>
        <w:tc>
          <w:tcPr/>
          <w:p>
            <w:pPr>
              <w:pStyle w:val="Compact"/>
              <w:jc w:val="left"/>
            </w:pPr>
            <w:r>
              <w:t xml:space="preserve">20</w:t>
            </w:r>
          </w:p>
        </w:tc>
        <w:tc>
          <w:tcPr/>
          <w:p>
            <w:pPr>
              <w:pStyle w:val="Compact"/>
              <w:jc w:val="left"/>
            </w:pPr>
            <w:r>
              <w:t xml:space="preserve">Fideicomisos y figuras jurídicas</w:t>
            </w:r>
          </w:p>
        </w:tc>
        <w:tc>
          <w:tcPr/>
          <w:p>
            <w:pPr>
              <w:pStyle w:val="Compact"/>
              <w:jc w:val="left"/>
            </w:pPr>
            <w:r>
              <w:t xml:space="preserve">117–119</w:t>
            </w:r>
          </w:p>
        </w:tc>
      </w:tr>
      <w:tr>
        <w:tc>
          <w:tcPr/>
          <w:p>
            <w:pPr>
              <w:pStyle w:val="Compact"/>
              <w:jc w:val="left"/>
            </w:pPr>
            <w:r>
              <w:t xml:space="preserve">21</w:t>
            </w:r>
          </w:p>
        </w:tc>
        <w:tc>
          <w:tcPr/>
          <w:p>
            <w:pPr>
              <w:pStyle w:val="Compact"/>
              <w:jc w:val="left"/>
            </w:pPr>
            <w:r>
              <w:t xml:space="preserve">Proveedores de servicios con activos virtuales</w:t>
            </w:r>
          </w:p>
        </w:tc>
        <w:tc>
          <w:tcPr/>
          <w:p>
            <w:pPr>
              <w:pStyle w:val="Compact"/>
              <w:jc w:val="left"/>
            </w:pPr>
            <w:r>
              <w:t xml:space="preserve">120–122</w:t>
            </w:r>
          </w:p>
        </w:tc>
      </w:tr>
      <w:tr>
        <w:tc>
          <w:tcPr/>
          <w:p>
            <w:pPr>
              <w:pStyle w:val="Compact"/>
              <w:jc w:val="left"/>
            </w:pPr>
            <w:r>
              <w:t xml:space="preserve">22</w:t>
            </w:r>
          </w:p>
        </w:tc>
        <w:tc>
          <w:tcPr/>
          <w:p>
            <w:pPr>
              <w:pStyle w:val="Compact"/>
              <w:jc w:val="left"/>
            </w:pPr>
            <w:r>
              <w:t xml:space="preserve">Asociaciones y sociedades sin fines de lucro</w:t>
            </w:r>
          </w:p>
        </w:tc>
        <w:tc>
          <w:tcPr/>
          <w:p>
            <w:pPr>
              <w:pStyle w:val="Compact"/>
              <w:jc w:val="left"/>
            </w:pPr>
            <w:r>
              <w:t xml:space="preserve">123–125</w:t>
            </w:r>
          </w:p>
        </w:tc>
      </w:tr>
      <w:tr>
        <w:tc>
          <w:tcPr/>
          <w:p>
            <w:pPr>
              <w:pStyle w:val="Compact"/>
              <w:jc w:val="left"/>
            </w:pPr>
            <w:r>
              <w:t xml:space="preserve">23</w:t>
            </w:r>
          </w:p>
        </w:tc>
        <w:tc>
          <w:tcPr/>
          <w:p>
            <w:pPr>
              <w:pStyle w:val="Compact"/>
              <w:jc w:val="left"/>
            </w:pPr>
            <w:r>
              <w:t xml:space="preserve">Entidades Colegiadas</w:t>
            </w:r>
          </w:p>
        </w:tc>
        <w:tc>
          <w:tcPr/>
          <w:p>
            <w:pPr>
              <w:pStyle w:val="Compact"/>
              <w:jc w:val="left"/>
            </w:pPr>
            <w:r>
              <w:t xml:space="preserve">126</w:t>
            </w:r>
          </w:p>
        </w:tc>
      </w:tr>
      <w:tr>
        <w:tc>
          <w:tcPr/>
          <w:p>
            <w:pPr>
              <w:pStyle w:val="Compact"/>
              <w:jc w:val="left"/>
            </w:pPr>
            <w:r>
              <w:t xml:space="preserve">24</w:t>
            </w:r>
          </w:p>
        </w:tc>
        <w:tc>
          <w:tcPr/>
          <w:p>
            <w:pPr>
              <w:pStyle w:val="Compact"/>
              <w:jc w:val="left"/>
            </w:pPr>
            <w:r>
              <w:t xml:space="preserve">Arrendamiento</w:t>
            </w:r>
          </w:p>
        </w:tc>
        <w:tc>
          <w:tcPr/>
          <w:p>
            <w:pPr>
              <w:pStyle w:val="Compact"/>
              <w:jc w:val="left"/>
            </w:pPr>
            <w:r>
              <w:t xml:space="preserve">127</w:t>
            </w:r>
          </w:p>
        </w:tc>
      </w:tr>
      <w:tr>
        <w:tc>
          <w:tcPr/>
          <w:p>
            <w:pPr>
              <w:pStyle w:val="Compact"/>
              <w:jc w:val="left"/>
            </w:pPr>
            <w:r>
              <w:t xml:space="preserve">25</w:t>
            </w:r>
          </w:p>
        </w:tc>
        <w:tc>
          <w:tcPr/>
          <w:p>
            <w:pPr>
              <w:pStyle w:val="Compact"/>
              <w:jc w:val="left"/>
            </w:pPr>
            <w:r>
              <w:t xml:space="preserve">Inmobiliario y desarrollo</w:t>
            </w:r>
          </w:p>
        </w:tc>
        <w:tc>
          <w:tcPr/>
          <w:p>
            <w:pPr>
              <w:pStyle w:val="Compact"/>
              <w:jc w:val="left"/>
            </w:pPr>
            <w:r>
              <w:t xml:space="preserve">128–129</w:t>
            </w:r>
          </w:p>
        </w:tc>
      </w:tr>
      <w:tr>
        <w:tc>
          <w:tcPr/>
          <w:p>
            <w:pPr>
              <w:pStyle w:val="Compact"/>
              <w:jc w:val="left"/>
            </w:pPr>
            <w:r>
              <w:t xml:space="preserve">26</w:t>
            </w:r>
          </w:p>
        </w:tc>
        <w:tc>
          <w:tcPr/>
          <w:p>
            <w:pPr>
              <w:pStyle w:val="Compact"/>
              <w:jc w:val="left"/>
            </w:pPr>
            <w:r>
              <w:t xml:space="preserve">Instituciones del Sistema Financiero como contraparte</w:t>
            </w:r>
          </w:p>
        </w:tc>
        <w:tc>
          <w:tcPr/>
          <w:p>
            <w:pPr>
              <w:pStyle w:val="Compact"/>
              <w:jc w:val="left"/>
            </w:pPr>
            <w:r>
              <w:t xml:space="preserve">130</w:t>
            </w:r>
          </w:p>
        </w:tc>
      </w:tr>
      <w:tr>
        <w:tc>
          <w:tcPr/>
          <w:p>
            <w:pPr>
              <w:pStyle w:val="Compact"/>
              <w:jc w:val="left"/>
            </w:pPr>
            <w:r>
              <w:t xml:space="preserve">27</w:t>
            </w:r>
          </w:p>
        </w:tc>
        <w:tc>
          <w:tcPr/>
          <w:p>
            <w:pPr>
              <w:pStyle w:val="Compact"/>
              <w:jc w:val="left"/>
            </w:pPr>
            <w:r>
              <w:t xml:space="preserve">Juegos con apuesta, concursos y sorteos</w:t>
            </w:r>
          </w:p>
        </w:tc>
        <w:tc>
          <w:tcPr/>
          <w:p>
            <w:pPr>
              <w:pStyle w:val="Compact"/>
              <w:jc w:val="left"/>
            </w:pPr>
            <w:r>
              <w:t xml:space="preserve">131</w:t>
            </w:r>
          </w:p>
        </w:tc>
      </w:tr>
      <w:tr>
        <w:tc>
          <w:tcPr/>
          <w:p>
            <w:pPr>
              <w:pStyle w:val="Compact"/>
              <w:jc w:val="left"/>
            </w:pPr>
            <w:r>
              <w:t xml:space="preserve">28</w:t>
            </w:r>
          </w:p>
        </w:tc>
        <w:tc>
          <w:tcPr/>
          <w:p>
            <w:pPr>
              <w:pStyle w:val="Compact"/>
              <w:jc w:val="left"/>
            </w:pPr>
            <w:r>
              <w:t xml:space="preserve">Mutuo, préstamo o crédito</w:t>
            </w:r>
          </w:p>
        </w:tc>
        <w:tc>
          <w:tcPr/>
          <w:p>
            <w:pPr>
              <w:pStyle w:val="Compact"/>
              <w:jc w:val="left"/>
            </w:pPr>
            <w:r>
              <w:t xml:space="preserve">132</w:t>
            </w:r>
          </w:p>
        </w:tc>
      </w:tr>
      <w:tr>
        <w:tc>
          <w:tcPr/>
          <w:p>
            <w:pPr>
              <w:pStyle w:val="Compact"/>
              <w:jc w:val="left"/>
            </w:pPr>
            <w:r>
              <w:t xml:space="preserve">29</w:t>
            </w:r>
          </w:p>
        </w:tc>
        <w:tc>
          <w:tcPr/>
          <w:p>
            <w:pPr>
              <w:pStyle w:val="Compact"/>
              <w:jc w:val="left"/>
            </w:pPr>
            <w:r>
              <w:t xml:space="preserve">Traslado y custodia de dinero o valores</w:t>
            </w:r>
          </w:p>
        </w:tc>
        <w:tc>
          <w:tcPr/>
          <w:p>
            <w:pPr>
              <w:pStyle w:val="Compact"/>
              <w:jc w:val="left"/>
            </w:pPr>
            <w:r>
              <w:t xml:space="preserve">133</w:t>
            </w:r>
          </w:p>
        </w:tc>
      </w:tr>
      <w:tr>
        <w:tc>
          <w:tcPr/>
          <w:p>
            <w:pPr>
              <w:pStyle w:val="Compact"/>
              <w:jc w:val="left"/>
            </w:pPr>
            <w:r>
              <w:t xml:space="preserve">30</w:t>
            </w:r>
          </w:p>
        </w:tc>
        <w:tc>
          <w:tcPr/>
          <w:p>
            <w:pPr>
              <w:pStyle w:val="Compact"/>
              <w:jc w:val="left"/>
            </w:pPr>
            <w:r>
              <w:t xml:space="preserve">Tarjetas prepagadas e instrumentos de valor monetario</w:t>
            </w:r>
          </w:p>
        </w:tc>
        <w:tc>
          <w:tcPr/>
          <w:p>
            <w:pPr>
              <w:pStyle w:val="Compact"/>
              <w:jc w:val="left"/>
            </w:pPr>
            <w:r>
              <w:t xml:space="preserve">134</w:t>
            </w:r>
          </w:p>
        </w:tc>
      </w:tr>
      <w:tr>
        <w:tc>
          <w:tcPr/>
          <w:p>
            <w:pPr>
              <w:pStyle w:val="Compact"/>
              <w:jc w:val="left"/>
            </w:pPr>
            <w:r>
              <w:t xml:space="preserve">31</w:t>
            </w:r>
          </w:p>
        </w:tc>
        <w:tc>
          <w:tcPr/>
          <w:p>
            <w:pPr>
              <w:pStyle w:val="Compact"/>
              <w:jc w:val="left"/>
            </w:pPr>
            <w:r>
              <w:t xml:space="preserve">Comercio exterior y agentes aduanales</w:t>
            </w:r>
          </w:p>
        </w:tc>
        <w:tc>
          <w:tcPr/>
          <w:p>
            <w:pPr>
              <w:pStyle w:val="Compact"/>
              <w:jc w:val="left"/>
            </w:pPr>
            <w:r>
              <w:t xml:space="preserve">135</w:t>
            </w:r>
          </w:p>
        </w:tc>
      </w:tr>
      <w:tr>
        <w:tc>
          <w:tcPr/>
          <w:p>
            <w:pPr>
              <w:pStyle w:val="Compact"/>
            </w:pPr>
          </w:p>
        </w:tc>
        <w:tc>
          <w:tcPr/>
          <w:p>
            <w:pPr>
              <w:pStyle w:val="Compact"/>
              <w:jc w:val="left"/>
            </w:pPr>
            <w:r>
              <w:rPr>
                <w:bCs/>
                <w:b/>
              </w:rPr>
              <w:t xml:space="preserve">Resumen por sección</w:t>
            </w:r>
          </w:p>
        </w:tc>
        <w:tc>
          <w:tcPr/>
          <w:p>
            <w:pPr>
              <w:pStyle w:val="Compact"/>
            </w:pPr>
          </w:p>
        </w:tc>
      </w:tr>
      <w:tr>
        <w:tc>
          <w:tcPr/>
          <w:p>
            <w:pPr>
              <w:pStyle w:val="Compact"/>
            </w:pPr>
          </w:p>
        </w:tc>
        <w:tc>
          <w:tcPr/>
          <w:p>
            <w:pPr>
              <w:pStyle w:val="Compact"/>
              <w:jc w:val="left"/>
            </w:pPr>
            <w:r>
              <w:rPr>
                <w:bCs/>
                <w:b/>
              </w:rPr>
              <w:t xml:space="preserve">Anexo A · Calendario único de exigibilidad</w:t>
            </w:r>
          </w:p>
        </w:tc>
        <w:tc>
          <w:tcPr/>
          <w:p>
            <w:pPr>
              <w:pStyle w:val="Compact"/>
            </w:pPr>
          </w:p>
        </w:tc>
      </w:tr>
      <w:tr>
        <w:tc>
          <w:tcPr/>
          <w:p>
            <w:pPr>
              <w:pStyle w:val="Compact"/>
            </w:pPr>
          </w:p>
        </w:tc>
        <w:tc>
          <w:tcPr/>
          <w:p>
            <w:pPr>
              <w:pStyle w:val="Compact"/>
              <w:jc w:val="left"/>
            </w:pPr>
            <w:r>
              <w:rPr>
                <w:bCs/>
                <w:b/>
              </w:rPr>
              <w:t xml:space="preserve">Anexo B · Tabla única de plazos</w:t>
            </w:r>
          </w:p>
        </w:tc>
        <w:tc>
          <w:tcPr/>
          <w:p>
            <w:pPr>
              <w:pStyle w:val="Compact"/>
            </w:pPr>
          </w:p>
        </w:tc>
      </w:tr>
      <w:tr>
        <w:tc>
          <w:tcPr/>
          <w:p>
            <w:pPr>
              <w:pStyle w:val="Compact"/>
            </w:pPr>
          </w:p>
        </w:tc>
        <w:tc>
          <w:tcPr/>
          <w:p>
            <w:pPr>
              <w:pStyle w:val="Compact"/>
              <w:jc w:val="left"/>
            </w:pPr>
            <w:r>
              <w:rPr>
                <w:bCs/>
                <w:b/>
              </w:rPr>
              <w:t xml:space="preserve">Anexo C · El Grado de Riesgo propio y el del Cliente</w:t>
            </w:r>
          </w:p>
        </w:tc>
        <w:tc>
          <w:tcPr/>
          <w:p>
            <w:pPr>
              <w:pStyle w:val="Compact"/>
            </w:pPr>
          </w:p>
        </w:tc>
      </w:tr>
    </w:tbl>
    <w:p>
      <w:r>
        <w:br w:type="page"/>
      </w:r>
    </w:p>
    <w:bookmarkEnd w:id="20"/>
    <w:bookmarkStart w:id="25" w:name="X854d5a17dded638c3c28cf9cd3e4141236cfba6"/>
    <w:p>
      <w:pPr>
        <w:pStyle w:val="Heading1"/>
      </w:pPr>
      <w:r>
        <w:t xml:space="preserve">AVISO IMPORTANTE — LÉASE ANTES DE USAR ESTE DOCUMENTO</w:t>
      </w:r>
    </w:p>
    <w:p>
      <w:pPr>
        <w:pStyle w:val="FirstParagraph"/>
      </w:pPr>
      <w:r>
        <w:rPr>
          <w:iCs/>
          <w:i/>
        </w:rPr>
        <w:t xml:space="preserve">Este documento es material de análisis y capacitación. No es asesoría legal, no es interpretación oficial y no sustituye el criterio de la autoridad competente. La facultad de interpretar administrativamente estos ordenamientos no es de quien escribe. Conforme al artículo 5 de la Ley, corresponde a la Secretaría de Hacienda y Crédito Público aplicar e interpretar, en el ámbito administrativo, la Ley, su Reglamento y las reglas de carácter general; el artículo 3, fracción I del Reglamento radica esa interpretación en la Unidad de Inteligencia Financiera, y el artículo 40 de las propias Reglas confirma que la UIF las interpretará para efectos administrativos y determinará el alcance de su aplicación. Nada de lo aquí escrito la vincula ni la anticipa.</w:t>
      </w:r>
    </w:p>
    <w:p>
      <w:pPr>
        <w:pStyle w:val="BodyText"/>
      </w:pPr>
      <w:r>
        <w:rPr>
          <w:iCs/>
          <w:i/>
        </w:rPr>
        <w:t xml:space="preserve">El aviso alcanza al documento entero, no sólo a las respuestas señaladas en ámbar o en rojo. Una respuesta verde significa que existe un precepto que resuelve lo preguntado y que ese precepto se cita; no significa que la autoridad haya confirmado esa lectura, ni que un tribunal la haya sostenido, ni que no exista otra lectura razonable. El color mide de dónde viene la respuesta, no garantiza el resultado de un caso.</w:t>
      </w:r>
    </w:p>
    <w:p>
      <w:pPr>
        <w:pStyle w:val="BodyText"/>
      </w:pPr>
      <w:r>
        <w:rPr>
          <w:iCs/>
          <w:i/>
        </w:rPr>
        <w:t xml:space="preserve">Ninguna respuesta de este documento resuelve una situación concreta. Las preguntas fueron despersonalizadas y reformuladas en abstracto precisamente para que se lean como reglas y no como dictámenes. Antes de actuar sobre un caso propio —y con mayor razón si hay un procedimiento iniciado, un requerimiento en curso o una sanción en puerta— debe consultarse a quien pueda estudiar el expediente completo.</w:t>
      </w:r>
    </w:p>
    <w:p>
      <w:r>
        <w:pict>
          <v:rect style="width:0;height:1.5pt" o:hralign="center" o:hrstd="t" o:hr="t"/>
        </w:pict>
      </w:r>
    </w:p>
    <w:bookmarkStart w:id="21" w:name="cómo-leer-este-documento"/>
    <w:p>
      <w:pPr>
        <w:pStyle w:val="Heading2"/>
      </w:pPr>
      <w:r>
        <w:t xml:space="preserve">Cómo leer este documento</w:t>
      </w:r>
    </w:p>
    <w:p>
      <w:pPr>
        <w:pStyle w:val="FirstParagraph"/>
      </w:pPr>
      <w:r>
        <w:t xml:space="preserve">Este documento reúne las preguntas que el sector formuló sobre las reformas a las Reglas de Carácter General de la LFPIORPI, publicadas en el Diario Oficial de la Federación el 7 de agosto de 2026. Las preguntas provienen de cuatro sesiones —una mesa de análisis, una clase de inducción, la primera sesión de un taller de implementación y una jornada sobre la persona Representante Encargada de Cumplimiento— y de un canal de seguimiento asincrónico, entre el 10 y el 24 de agosto de 2026.</w:t>
      </w:r>
    </w:p>
    <w:p>
      <w:pPr>
        <w:pStyle w:val="BodyText"/>
      </w:pPr>
      <w:r>
        <w:t xml:space="preserve">De los mensajes registrados se aislaron las preguntas de contenido normativo, se depuraron las repeticiones y se consolidaron las formulaciones equivalentes en una sola pregunta. El resultado son las 135 preguntas que siguen, agrupadas primero por temas transversales —los que alcanzan a toda persona obligada— y después por temas específicos de sector. La numeración es estable: la pregunta 47 será siempre la pregunta 47, aunque el documento se actualice.</w:t>
      </w:r>
    </w:p>
    <w:p>
      <w:pPr>
        <w:pStyle w:val="BodyText"/>
      </w:pPr>
      <w:r>
        <w:t xml:space="preserve">Cada respuesta fue cotejada contra el texto publicado: las Reglas de Carácter General según el compilado del ACUERDO 115/2026 —publicado el 7 de agosto de 2026, en vigor a partir del 30 de noviembre de 2026 y con el calendario escalonado de sus transitorios, que el Anexo A ordena—, el Reglamento reformado el 27 de marzo de 2026 y la Ley reformada el 16 de julio de 2025, ambos ya vigentes. Se citan los tres ordenamientos por separado, porque una parte relevante de las respuestas está en el Reglamento y no en las Reglas. Cuando una respuesta se apoya en normas supletorias —la Ley Federal de Procedimiento Administrativo, el Código Penal Federal, la Ley Federal de Procedimiento Contencioso Administrativo— así se dice y se cita el precepto.</w:t>
      </w:r>
    </w:p>
    <w:p>
      <w:pPr>
        <w:pStyle w:val="BodyText"/>
      </w:pPr>
      <w:r>
        <w:rPr>
          <w:iCs/>
          <w:i/>
        </w:rPr>
        <w:t xml:space="preserve">Ninguna pregunta se reproduce con el nombre de quien la formuló. Las formulaciones fueron normalizadas y no permiten identificar a persona alguna.</w:t>
      </w:r>
    </w:p>
    <w:bookmarkEnd w:id="21"/>
    <w:bookmarkStart w:id="22" w:name="nomenclatura-de-las-citas"/>
    <w:p>
      <w:pPr>
        <w:pStyle w:val="Heading2"/>
      </w:pPr>
      <w:r>
        <w:t xml:space="preserve">Nomenclatura de las citas</w:t>
      </w:r>
    </w:p>
    <w:p>
      <w:pPr>
        <w:pStyle w:val="FirstParagraph"/>
      </w:pPr>
      <w:r>
        <w:t xml:space="preserve">Cada respuesta cierra con una línea de fundamento que nombra el ordenamiento antes del artículo:</w:t>
      </w:r>
      <w:r>
        <w:t xml:space="preserve"> </w:t>
      </w:r>
      <w:r>
        <w:rPr>
          <w:bCs/>
          <w:b/>
        </w:rPr>
        <w:t xml:space="preserve">Ley</w:t>
      </w:r>
      <w:r>
        <w:t xml:space="preserve"> </w:t>
      </w:r>
      <w:r>
        <w:t xml:space="preserve">para la LFPIORPI,</w:t>
      </w:r>
      <w:r>
        <w:t xml:space="preserve"> </w:t>
      </w:r>
      <w:r>
        <w:rPr>
          <w:bCs/>
          <w:b/>
        </w:rPr>
        <w:t xml:space="preserve">Reglamento</w:t>
      </w:r>
      <w:r>
        <w:t xml:space="preserve"> </w:t>
      </w:r>
      <w:r>
        <w:t xml:space="preserve">para su Reglamento,</w:t>
      </w:r>
      <w:r>
        <w:t xml:space="preserve"> </w:t>
      </w:r>
      <w:r>
        <w:rPr>
          <w:bCs/>
          <w:b/>
        </w:rPr>
        <w:t xml:space="preserve">RCG</w:t>
      </w:r>
      <w:r>
        <w:t xml:space="preserve"> </w:t>
      </w:r>
      <w:r>
        <w:t xml:space="preserve">para las Reglas de Carácter General en su texto vigente con las modificaciones del ACUERDO 115/2026, y</w:t>
      </w:r>
      <w:r>
        <w:t xml:space="preserve"> </w:t>
      </w:r>
      <w:r>
        <w:rPr>
          <w:bCs/>
          <w:b/>
        </w:rPr>
        <w:t xml:space="preserve">Transitorio X del ACUERDO 115/2026</w:t>
      </w:r>
      <w:r>
        <w:t xml:space="preserve"> </w:t>
      </w:r>
      <w:r>
        <w:t xml:space="preserve">para las disposiciones de vigencia escalonada. Se escribe el número completo del artículo, incluidos sus Bis, Ter y Quáter, y la fracción cuando la respuesta depende de ella. Cuando no hay precepto, el fundamento lo dice con esas palabras.</w:t>
      </w:r>
    </w:p>
    <w:bookmarkEnd w:id="22"/>
    <w:bookmarkStart w:id="23" w:name="el-semáforo"/>
    <w:p>
      <w:pPr>
        <w:pStyle w:val="Heading2"/>
      </w:pPr>
      <w:r>
        <w:t xml:space="preserve">El semáforo</w:t>
      </w:r>
    </w:p>
    <w:p>
      <w:pPr>
        <w:pStyle w:val="FirstParagraph"/>
      </w:pPr>
      <w:r>
        <w:t xml:space="preserve">Cada respuesta lleva una banda de color que indica el grado de certeza con que puede sostenerse. La regla se aplicó de manera uniforme a las 135 preguntas.</w:t>
      </w:r>
    </w:p>
    <w:p>
      <w:pPr>
        <w:pStyle w:val="BodyText"/>
      </w:pPr>
      <w:r>
        <w:rPr>
          <w:bCs/>
          <w:b/>
        </w:rPr>
        <w:t xml:space="preserve">Verde.</w:t>
      </w:r>
      <w:r>
        <w:t xml:space="preserve"> </w:t>
      </w:r>
      <w:r>
        <w:t xml:space="preserve">Existe un precepto que responde la pregunta que se hizo, y se cita. No basta con que exista un precepto sobre el tema: tiene que resolver lo preguntado. Una respuesta que remite «en los términos que el propio capítulo desarrolla» sin decir cuáles son esos términos no es verde.</w:t>
      </w:r>
    </w:p>
    <w:p>
      <w:pPr>
        <w:pStyle w:val="BodyText"/>
      </w:pPr>
      <w:r>
        <w:rPr>
          <w:bCs/>
          <w:b/>
        </w:rPr>
        <w:t xml:space="preserve">Ámbar.</w:t>
      </w:r>
      <w:r>
        <w:t xml:space="preserve"> </w:t>
      </w:r>
      <w:r>
        <w:t xml:space="preserve">No hay precepto que responda de manera directa. La respuesta se construye por lectura sistemática del propio texto, por analogía con otro régimen —señaladamente el financiero—, por estándares internacionales de debida diligencia, o por aplicación de un principio de derecho: lo no prohibido a los particulares está permitido; lo no tipificado no se sanciona. Es sostenible, pero es interpretación.</w:t>
      </w:r>
    </w:p>
    <w:p>
      <w:pPr>
        <w:pStyle w:val="BodyText"/>
      </w:pPr>
      <w:r>
        <w:rPr>
          <w:bCs/>
          <w:b/>
        </w:rPr>
        <w:t xml:space="preserve">Rojo.</w:t>
      </w:r>
      <w:r>
        <w:t xml:space="preserve"> </w:t>
      </w:r>
      <w:r>
        <w:t xml:space="preserve">Hoy no hay forma de responder. Ni precepto ni principio resuelven. La cuestión requiere que la autoridad emita un criterio, una guía, una convocatoria o una reforma.</w:t>
      </w:r>
    </w:p>
    <w:p>
      <w:pPr>
        <w:pStyle w:val="BodyText"/>
      </w:pPr>
      <w:r>
        <w:rPr>
          <w:bCs/>
          <w:b/>
        </w:rPr>
        <w:t xml:space="preserve">La regla que gobierna los tres colores: el silencio normativo nunca produce verde.</w:t>
      </w:r>
      <w:r>
        <w:t xml:space="preserve"> </w:t>
      </w:r>
      <w:r>
        <w:t xml:space="preserve">Si la respuesta se sostiene en que «ninguna disposición lo exige» o en la «ausencia de disposición», el color es ámbar cuando alguno de los caminos descritos arriba —lectura sistemática, analogía, estándar internacional o principio de derecho— la resuelve, y rojo cuando ninguno lo hace. Una precisión sobre el conflicto, que no es silencio: cuando dos preceptos responden en sentido contrario, el color se asigna con la misma regla —ámbar si alguno de esos caminos resuelve la antinomia, rojo si ninguno lo hace—, y en ambos casos el texto lo dice y transcribe los preceptos en pugna. Ésta es la diferencia principal con la primera edición de este documento, en la que preguntas con lógica idéntica —todas del tipo «la norma no dice nada»— habían recibido colores distintos. Treinta y seis respuestas cambiaron de color al aplicar la regla; ninguna cambió de número.</w:t>
      </w:r>
    </w:p>
    <w:p>
      <w:pPr>
        <w:pStyle w:val="BodyText"/>
      </w:pPr>
      <w:r>
        <w:rPr>
          <w:bCs/>
          <w:b/>
        </w:rPr>
        <w:t xml:space="preserve">Cuando una respuesta tiene una parte con precepto directo y otra que es interpretación</w:t>
      </w:r>
      <w:r>
        <w:t xml:space="preserve">, se le asigna el color de la parte más débil y el texto dice cuál es cuál. Es preferible una respuesta ámbar honesta a una verde que promete más de lo que el texto entrega.</w:t>
      </w:r>
    </w:p>
    <w:p>
      <w:pPr>
        <w:pStyle w:val="BodyText"/>
      </w:pPr>
      <w:r>
        <w:rPr>
          <w:iCs/>
          <w:i/>
        </w:rPr>
        <w:t xml:space="preserve">La etiqueta «Recurrencia» indica con qué insistencia apareció el planteamiento en los cinco canales: alta cuando se formuló cuatro veces o más, media entre dos y tres, baja una sola vez. Es una medida indicativa para priorizar el estudio, no una estadística.</w:t>
      </w:r>
    </w:p>
    <w:bookmarkEnd w:id="23"/>
    <w:bookmarkStart w:id="24" w:name="sobre-la-uma"/>
    <w:p>
      <w:pPr>
        <w:pStyle w:val="Heading2"/>
      </w:pPr>
      <w:r>
        <w:t xml:space="preserve">Sobre la UMA</w:t>
      </w:r>
    </w:p>
    <w:p>
      <w:pPr>
        <w:pStyle w:val="FirstParagraph"/>
      </w:pPr>
      <w:r>
        <w:t xml:space="preserve">Los montos expresados en veces el valor diario de la Unidad de Medida y Actualización se calculan, en este documento, con el valor de</w:t>
      </w:r>
      <w:r>
        <w:t xml:space="preserve"> </w:t>
      </w:r>
      <w:r>
        <w:rPr>
          <w:bCs/>
          <w:b/>
        </w:rPr>
        <w:t xml:space="preserve">$117.31</w:t>
      </w:r>
      <w:r>
        <w:t xml:space="preserve"> </w:t>
      </w:r>
      <w:r>
        <w:t xml:space="preserve">diarios, vigente desde el 1 de febrero de 2026. El valor se actualiza cada año con efectos a partir del 1 de febrero. Cuando eso ocurra, los importes en pesos de este documento deberán recalcularse para los actos u operaciones que se realicen a partir de esa fecha; las cifras en UMA no cambian. Para actos ya realizados, los umbrales de la fracción XV del artículo 17 y las prohibiciones de efectivo del artículo 32 de la Ley se calculan con el valor diario de la UMA vigente «al día en que se realice el pago o se cumpla la obligación», porque así lo dicen esos dos preceptos. Las demás fracciones del artículo 17 no fijan día de referencia, y el artículo 54 tampoco lo hace respecto de las multas:</w:t>
      </w:r>
      <w:r>
        <w:t xml:space="preserve"> </w:t>
      </w:r>
      <w:r>
        <w:rPr>
          <w:bCs/>
          <w:b/>
        </w:rPr>
        <w:t xml:space="preserve">ningún precepto resuelve con qué valor de la UMA se cuantifica una multa por una infracción de ejercicios anteriores.</w:t>
      </w:r>
      <w:r>
        <w:t xml:space="preserve"> </w:t>
      </w:r>
      <w:r>
        <w:t xml:space="preserve">Este documento usa el valor de $117.31 sólo como referencia de cálculo, y las cifras se expresan en UMA.</w:t>
      </w:r>
    </w:p>
    <w:p>
      <w:r>
        <w:br w:type="page"/>
      </w:r>
    </w:p>
    <w:bookmarkEnd w:id="24"/>
    <w:bookmarkEnd w:id="25"/>
    <w:bookmarkStart w:id="155" w:name="bloque-i-temas-transversales"/>
    <w:p>
      <w:pPr>
        <w:pStyle w:val="Heading1"/>
      </w:pPr>
      <w:r>
        <w:t xml:space="preserve">BLOQUE I — TEMAS TRANSVERSALES</w:t>
      </w:r>
    </w:p>
    <w:p>
      <w:pPr>
        <w:pStyle w:val="FirstParagraph"/>
      </w:pPr>
      <w:r>
        <w:rPr>
          <w:iCs/>
          <w:i/>
        </w:rPr>
        <w:t xml:space="preserve">Cuestiones que alcanzan a toda persona que realiza Actividades Vulnerables, con independencia del sector.</w:t>
      </w:r>
    </w:p>
    <w:bookmarkStart w:id="32" w:name="alta-registro-y-padrón"/>
    <w:p>
      <w:pPr>
        <w:pStyle w:val="Heading2"/>
      </w:pPr>
      <w:r>
        <w:t xml:space="preserve">1. Alta, registro y padrón</w:t>
      </w:r>
    </w:p>
    <w:bookmarkStart w:id="26" w:name="X345c9a12194a4455778bb8e2f5900ae0717450c"/>
    <w:p>
      <w:pPr>
        <w:pStyle w:val="Heading3"/>
        <w:pBdr>
          <w:left w:val="single" w:sz="24" w:space="8" w:color="C77700"/>
        </w:pBdr>
        <w:ind w:left="220"/>
      </w:pPr>
      <w:r>
        <w:t xml:space="preserve">1. Quien ya está dado de alta y con designación aceptada, ¿debe volver a darse de alta o aceptar nuevamente el cargo con motivo de la reforma?</w:t>
      </w:r>
    </w:p>
    <w:p>
      <w:pPr>
        <w:pStyle w:val="FirstParagraph"/>
        <w:pBdr>
          <w:left w:val="single" w:sz="24" w:space="8" w:color="C77700"/>
        </w:pBdr>
        <w:ind w:left="220"/>
      </w:pPr>
      <w:r>
        <w:t xml:space="preserve">No. Ninguna disposición del Acuerdo obliga a repetir el trámite de alta ni la aceptación de la designación. Esa conclusión se apoya en la ausencia de precepto que lo exija, no en uno que lo diga: por eso es interpretación y no certeza textual. Lo exigible es mantener vigente lo ya hecho y tramitar la actualización del registro dentro de los seis días hábiles siguientes a cualquier hecho que la motive. La única obligación de actualización con plazo propio que el Acuerdo introduce está acotada a quienes prestan servicios con activos virtuales, que disponen de seis meses.</w:t>
      </w:r>
    </w:p>
    <w:p>
      <w:pPr>
        <w:pStyle w:val="BodyText"/>
        <w:pBdr>
          <w:left w:val="single" w:sz="24" w:space="8" w:color="C77700"/>
        </w:pBdr>
        <w:ind w:left="220"/>
      </w:pPr>
      <w:r>
        <w:t xml:space="preserve">No repetir el trámite no significa que nada cambie. La reforma obliga a trabajar sobre lo existente: bajó al veinticinco por ciento el umbral del Beneficiario Controlador, con dos formulaciones que conviene no confundir, porque el artículo 3 exige más del veinticinco por ciento del capital social para el control por titularidad y el artículo 23 Quinquies manda identificar a quien posea el 25% o más de la composición accionaria, este último exigible respecto de los actos u operaciones realizados a partir del 1 de marzo de 2027; modificó los Anexos del expediente, y fijó por primera vez el contenido mínimo del Manual de Políticas Internas.</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Ley art. 20, primer párrafo; RCG arts. 4, 7 y 10 Bis; RCG art. 3, fracción IV, inciso b), numeral ii), y art. 23 Quinquies, fracción I; RCG art. 12 y Anexos 3 a 8; RCG art. 37 Bis; Transitorios Cuarto y Décimo Segundo del ACUERDO 115/2026.</w:t>
      </w:r>
      <w:r>
        <w:rPr>
          <w:sz w:val="19"/>
          <w:szCs w:val="19"/>
        </w:rPr>
        <w:t xml:space="preserve"> </w:t>
      </w:r>
      <w:r>
        <w:rPr>
          <w:rStyle w:val="Ambar"/>
          <w:sz w:val="19"/>
          <w:szCs w:val="19"/>
        </w:rPr>
        <w:t xml:space="preserve">· Ámbar · Recurrencia alta</w:t>
      </w:r>
    </w:p>
    <w:p>
      <w:pPr>
        <w:spacing w:before="0" w:after="0" w:line="130" w:lineRule="exact"/>
        <w:rPr>
          <w:sz w:val="10"/>
          <w:szCs w:val="10"/>
        </w:rPr>
      </w:pPr>
    </w:p>
    <w:bookmarkEnd w:id="26"/>
    <w:bookmarkStart w:id="27" w:name="X502f41f2962c5c110f7273d8bc32d7e8f39ce73"/>
    <w:p>
      <w:pPr>
        <w:pStyle w:val="Heading3"/>
        <w:pBdr>
          <w:left w:val="single" w:sz="24" w:space="8" w:color="2E7D32"/>
        </w:pBdr>
        <w:ind w:left="220"/>
      </w:pPr>
      <w:r>
        <w:t xml:space="preserve">2. ¿En qué momento nace la obligación de darse de alta en el padrón: al rebasar el umbral de identificación o el de Aviso?</w:t>
      </w:r>
    </w:p>
    <w:p>
      <w:pPr>
        <w:pStyle w:val="FirstParagraph"/>
        <w:pBdr>
          <w:left w:val="single" w:sz="24" w:space="8" w:color="2E7D32"/>
        </w:pBdr>
        <w:ind w:left="220"/>
      </w:pPr>
      <w:r>
        <w:t xml:space="preserve">El alta se vincula a la realización de la Actividad Vulnerable, no a la presentación del Aviso. La Ley impone como obligación propia realizar el alta y registro en el padrón, y el Reglamento exige estar inscrito en el RFC y contar con certificado vigente de Firma Electrónica Avanzada para tramitarla. Ambos umbrales se distinguen con nitidez: el de identificación determina qué actos son Actividad Vulnerable, y el de Aviso determina cuándo se avisa, en lo individual o por acumulación. Por eso existen los informes sin operaciones: se está registrado aunque durante el mes no haya nada que avisar.</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arts. 17 y 18, fracción IV Bis; Reglamento arts. 12, primer párrafo, y 7; RCG arts. 4, 5, tercer párrafo, y 25.</w:t>
      </w:r>
      <w:r>
        <w:rPr>
          <w:sz w:val="19"/>
          <w:szCs w:val="19"/>
        </w:rPr>
        <w:t xml:space="preserve"> </w:t>
      </w:r>
      <w:r>
        <w:rPr>
          <w:rStyle w:val="Verde"/>
          <w:sz w:val="19"/>
          <w:szCs w:val="19"/>
        </w:rPr>
        <w:t xml:space="preserve">· Verde · Recurrencia alta</w:t>
      </w:r>
    </w:p>
    <w:p>
      <w:pPr>
        <w:spacing w:before="0" w:after="0" w:line="130" w:lineRule="exact"/>
        <w:rPr>
          <w:sz w:val="10"/>
          <w:szCs w:val="10"/>
        </w:rPr>
      </w:pPr>
    </w:p>
    <w:bookmarkEnd w:id="27"/>
    <w:bookmarkStart w:id="28" w:name="X39558bf45b2a3ac32acffb44d9549b748939489"/>
    <w:p>
      <w:pPr>
        <w:pStyle w:val="Heading3"/>
        <w:pBdr>
          <w:left w:val="single" w:sz="24" w:space="8" w:color="2E7D32"/>
        </w:pBdr>
        <w:ind w:left="220"/>
      </w:pPr>
      <w:r>
        <w:t xml:space="preserve">3. En las Actividades Vulnerables donde la identificación procede en todos los casos, sin umbral, ¿el alta es inmediata?</w:t>
      </w:r>
    </w:p>
    <w:p>
      <w:pPr>
        <w:pStyle w:val="FirstParagraph"/>
        <w:pBdr>
          <w:left w:val="single" w:sz="24" w:space="8" w:color="2E7D32"/>
        </w:pBdr>
        <w:ind w:left="220"/>
      </w:pPr>
      <w:r>
        <w:t xml:space="preserve">Sí, en el sentido de que la obligación nace desde el primer acto. El Reglamento lo resolvió de manera expresa en la reforma de 2026: cuando no se establezcan montos de identificación, se entiende que todos los actos u operaciones son Actividad Vulnerable y quedan sujetos al cumplimiento de las obligaciones de la Ley, incluida su acumulación. Si no hay umbral que alcanzar, la actividad existe desde el primer acto y con ella la obligación de alta y registro. Conviene advertir que la norma no fija plazo para el alta inicial, pues el de seis días hábiles del artículo 7 de las Reglas rige la actualización, y que el trámite extemporáneo surte efectos en la fecha señalada en el propio trámite.</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Reglamento art. 7, tercer párrafo, y Reglamento art. 12, primer párrafo; RCG arts. 4, 5, tercer párrafo, y 7; Ley art. 18, fracción IV Bis.</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28"/>
    <w:bookmarkStart w:id="29" w:name="X71d35fffee31a6044647205a8e56b5dd71d38e1"/>
    <w:p>
      <w:pPr>
        <w:pStyle w:val="Heading3"/>
        <w:pBdr>
          <w:left w:val="single" w:sz="24" w:space="8" w:color="2E7D32"/>
        </w:pBdr>
        <w:ind w:left="220"/>
      </w:pPr>
      <w:r>
        <w:t xml:space="preserve">4. ¿Cómo se da de alta quien realiza la Actividad Vulnerable a través de un fideicomiso u otra figura jurídica?</w:t>
      </w:r>
    </w:p>
    <w:p>
      <w:pPr>
        <w:pStyle w:val="FirstParagraph"/>
        <w:pBdr>
          <w:left w:val="single" w:sz="24" w:space="8" w:color="2E7D32"/>
        </w:pBdr>
        <w:ind w:left="220"/>
      </w:pPr>
      <w:r>
        <w:t xml:space="preserve">Mediante el envío de la información de sus integrantes o miembros a través de la herramienta publicada en el Portal, que genera un archivo XML con los datos de los Anexos 2 Bis y 2 Ter. El fideicomiso o la figura debe estar inscrito en el RFC y contar con certificado vigente de Firma Electrónica Avanzada, y es esa firma —la asociada a su propio RFC— la que debe utilizarse, no la del representante legal, fideicomitentes o apoderados legales.</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Reglamento art. 12, párrafos primero y segundo; RCG art. 4, fracciones III y IV, y último párrafo; RCG art. 10 Sexies y Anexos 2 Bis y 2 Ter.</w:t>
      </w:r>
      <w:r>
        <w:rPr>
          <w:sz w:val="19"/>
          <w:szCs w:val="19"/>
        </w:rPr>
        <w:t xml:space="preserve"> </w:t>
      </w:r>
      <w:r>
        <w:rPr>
          <w:rStyle w:val="Verde"/>
          <w:sz w:val="19"/>
          <w:szCs w:val="19"/>
        </w:rPr>
        <w:t xml:space="preserve">· Verde · Recurrencia alta</w:t>
      </w:r>
    </w:p>
    <w:p>
      <w:pPr>
        <w:spacing w:before="0" w:after="0" w:line="130" w:lineRule="exact"/>
        <w:rPr>
          <w:sz w:val="10"/>
          <w:szCs w:val="10"/>
        </w:rPr>
      </w:pPr>
    </w:p>
    <w:bookmarkEnd w:id="29"/>
    <w:bookmarkStart w:id="30" w:name="X21606703d4889e7458388771ef257b796395600"/>
    <w:p>
      <w:pPr>
        <w:pStyle w:val="Heading3"/>
        <w:pBdr>
          <w:left w:val="single" w:sz="24" w:space="8" w:color="2E7D32"/>
        </w:pBdr>
        <w:ind w:left="220"/>
      </w:pPr>
      <w:r>
        <w:t xml:space="preserve">5. Cuando la Actividad Vulnerable se realiza mediante una Asociación en Participación, ¿quién realiza el alta?</w:t>
      </w:r>
    </w:p>
    <w:p>
      <w:pPr>
        <w:pStyle w:val="FirstParagraph"/>
        <w:pBdr>
          <w:left w:val="single" w:sz="24" w:space="8" w:color="2E7D32"/>
        </w:pBdr>
        <w:ind w:left="220"/>
      </w:pPr>
      <w:r>
        <w:t xml:space="preserve">El asociante, utilizando la Firma Electrónica Avanzada asociada al RFC de la Asociación en Participación.</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10 Sexies 1; Reglamento art. 12, segundo párrafo.</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30"/>
    <w:bookmarkStart w:id="31" w:name="cómo-y-cuándo-procede-la-baja-del-padrón"/>
    <w:p>
      <w:pPr>
        <w:pStyle w:val="Heading3"/>
        <w:pBdr>
          <w:left w:val="single" w:sz="24" w:space="8" w:color="2E7D32"/>
        </w:pBdr>
        <w:ind w:left="220"/>
      </w:pPr>
      <w:r>
        <w:t xml:space="preserve">6. ¿Cómo y cuándo procede la baja del padrón?</w:t>
      </w:r>
    </w:p>
    <w:p>
      <w:pPr>
        <w:pStyle w:val="FirstParagraph"/>
        <w:pBdr>
          <w:left w:val="single" w:sz="24" w:space="8" w:color="2E7D32"/>
        </w:pBdr>
        <w:ind w:left="220"/>
      </w:pPr>
      <w:r>
        <w:t xml:space="preserve">Quien ya no realiza Actividades Vulnerables debe darlas de baja mediante el trámite de actualización, dentro de los seis días hábiles siguientes al hecho que la motiva. El Acuerdo precisó cuándo surte efectos: a partir de que se presente la situación jurídica que la motive y, si la autoridad no cuenta con elementos para verificar esa fecha, a partir de la presentación del trámite. Mientras la baja no se presente, quien siga registrado debe continuar presentando los Avisos o Informes correspondientes. El Acuerdo añade una vía nueva: la baja puede practicarla directamente el SAT a solicitud de persona interesada que aporte información y documentación que soporte la imposibilidad de quien realizó el alta para tramitarla por sí. La mera negativa a tramitarla no está prevista en ese supuesto.</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arts. 7, 8 y 8 Bis; Reglamento art. 12, cuarto párrafo.</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31"/>
    <w:bookmarkEnd w:id="32"/>
    <w:bookmarkStart w:id="41" w:name="Xd1a45d846427eef8b8a12a2e890bb1488299e6a"/>
    <w:p>
      <w:pPr>
        <w:pStyle w:val="Heading2"/>
      </w:pPr>
      <w:r>
        <w:t xml:space="preserve">2. Persona Representante Encargada de Cumplimiento</w:t>
      </w:r>
    </w:p>
    <w:bookmarkStart w:id="33" w:name="Xcbc767490710a0a86d3880dad4f1d473a2cfc51"/>
    <w:p>
      <w:pPr>
        <w:pStyle w:val="Heading3"/>
        <w:pBdr>
          <w:left w:val="single" w:sz="24" w:space="8" w:color="2E7D32"/>
        </w:pBdr>
        <w:ind w:left="220"/>
      </w:pPr>
      <w:r>
        <w:t xml:space="preserve">7. ¿Quién puede ser designado como Representante Encargado de Cumplimiento?</w:t>
      </w:r>
    </w:p>
    <w:p>
      <w:pPr>
        <w:pStyle w:val="FirstParagraph"/>
        <w:pBdr>
          <w:left w:val="single" w:sz="24" w:space="8" w:color="2E7D32"/>
        </w:pBdr>
        <w:ind w:left="220"/>
      </w:pPr>
      <w:r>
        <w:t xml:space="preserve">Únicamente una persona física. Debe contar con clave del RFC y certificado vigente de Firma Electrónica Avanzada, e ingresar personalmente al Portal para aceptar o rechazar la designación; si no está inscrita en el RFC puede inscribirse sin obligaciones fiscales para tramitar su e.firma. La Ley añade dos obligaciones que suelen pasarse por alto: mantener vigente la designación, y que la persona Representante reciba capacitación anualmente.</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 20, párrafos primero y tercero; RCG art. 10, párrafos primero, segundo y último.</w:t>
      </w:r>
      <w:r>
        <w:rPr>
          <w:sz w:val="19"/>
          <w:szCs w:val="19"/>
        </w:rPr>
        <w:t xml:space="preserve"> </w:t>
      </w:r>
      <w:r>
        <w:rPr>
          <w:rStyle w:val="Verde"/>
          <w:sz w:val="19"/>
          <w:szCs w:val="19"/>
        </w:rPr>
        <w:t xml:space="preserve">· Verde · Recurrencia alta</w:t>
      </w:r>
    </w:p>
    <w:p>
      <w:pPr>
        <w:spacing w:before="0" w:after="0" w:line="130" w:lineRule="exact"/>
        <w:rPr>
          <w:sz w:val="10"/>
          <w:szCs w:val="10"/>
        </w:rPr>
      </w:pPr>
    </w:p>
    <w:bookmarkEnd w:id="33"/>
    <w:bookmarkStart w:id="34" w:name="Xdb23ede21d8b3730ce31277539b902f07d636bf"/>
    <w:p>
      <w:pPr>
        <w:pStyle w:val="Heading3"/>
        <w:pBdr>
          <w:left w:val="single" w:sz="24" w:space="8" w:color="C77700"/>
        </w:pBdr>
        <w:ind w:left="220"/>
      </w:pPr>
      <w:r>
        <w:t xml:space="preserve">8. ¿La persona Representante puede ser externa o tiene que ser empleada de quien realiza la Actividad Vulnerable?</w:t>
      </w:r>
    </w:p>
    <w:p>
      <w:pPr>
        <w:pStyle w:val="FirstParagraph"/>
        <w:pBdr>
          <w:left w:val="single" w:sz="24" w:space="8" w:color="C77700"/>
        </w:pBdr>
        <w:ind w:left="220"/>
      </w:pPr>
      <w:r>
        <w:t xml:space="preserve">La norma no resuelve el vínculo. Los únicos requisitos expresos son que sea persona física y que cuente con clave del RFC y certificado vigente de Firma Electrónica Avanzada; no se exige relación laboral, exclusividad, residencia ni nacionalidad, y tampoco se prohíben. La respuesta se sostiene por aplicación de un principio —lo no prohibido a los particulares está permitido—, no por un precepto que autorice el encargo externo. Conviene advertir el efecto práctico del requisito de e.firma: excluye de hecho a quien no puede inscribirse en el RFC mexicano.</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RCG art. 10, párrafos primero y último; ausencia de disposición sobre el vínculo.</w:t>
      </w:r>
      <w:r>
        <w:rPr>
          <w:sz w:val="19"/>
          <w:szCs w:val="19"/>
        </w:rPr>
        <w:t xml:space="preserve"> </w:t>
      </w:r>
      <w:r>
        <w:rPr>
          <w:rStyle w:val="Ambar"/>
          <w:sz w:val="19"/>
          <w:szCs w:val="19"/>
        </w:rPr>
        <w:t xml:space="preserve">· Ámbar · Recurrencia baja</w:t>
      </w:r>
    </w:p>
    <w:p>
      <w:pPr>
        <w:spacing w:before="0" w:after="0" w:line="130" w:lineRule="exact"/>
        <w:rPr>
          <w:sz w:val="10"/>
          <w:szCs w:val="10"/>
        </w:rPr>
      </w:pPr>
    </w:p>
    <w:bookmarkEnd w:id="34"/>
    <w:bookmarkStart w:id="35" w:name="Xddf9b3ff0455c09dbdb245acf3c484132d19ef6"/>
    <w:p>
      <w:pPr>
        <w:pStyle w:val="Heading3"/>
        <w:pBdr>
          <w:left w:val="single" w:sz="24" w:space="8" w:color="C77700"/>
        </w:pBdr>
        <w:ind w:left="220"/>
      </w:pPr>
      <w:r>
        <w:t xml:space="preserve">9. ¿Una misma persona puede ser Representante de varias entidades con Actividad Vulnerable?</w:t>
      </w:r>
    </w:p>
    <w:p>
      <w:pPr>
        <w:pStyle w:val="FirstParagraph"/>
        <w:pBdr>
          <w:left w:val="single" w:sz="24" w:space="8" w:color="C77700"/>
        </w:pBdr>
        <w:ind w:left="220"/>
      </w:pPr>
      <w:r>
        <w:t xml:space="preserve">No hay prohibición ni límite numérico en la Ley, el Reglamento ni las Reglas. En el régimen financiero la cuestión se ha resuelto, conforme a las disposiciones de carácter general que rigen a las Entidades Financieras, permitiéndolo sólo dentro de grupos financieros; aquí no existe equivalente, por lo que la contención práctica es la evaluación de la efectividad del cumplimiento que el propio Acuerdo introduce: un encargo sin involucramiento real es difícil de sostener frente a ella.</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Ausencia de disposición limitativa; RCG art. 42 (evaluación de la efectividad); criterio análogo del régimen financiero.</w:t>
      </w:r>
      <w:r>
        <w:rPr>
          <w:sz w:val="19"/>
          <w:szCs w:val="19"/>
        </w:rPr>
        <w:t xml:space="preserve"> </w:t>
      </w:r>
      <w:r>
        <w:rPr>
          <w:rStyle w:val="Ambar"/>
          <w:sz w:val="19"/>
          <w:szCs w:val="19"/>
        </w:rPr>
        <w:t xml:space="preserve">· Ámbar · Recurrencia alta</w:t>
      </w:r>
    </w:p>
    <w:p>
      <w:pPr>
        <w:spacing w:before="0" w:after="0" w:line="130" w:lineRule="exact"/>
        <w:rPr>
          <w:sz w:val="10"/>
          <w:szCs w:val="10"/>
        </w:rPr>
      </w:pPr>
    </w:p>
    <w:bookmarkEnd w:id="35"/>
    <w:bookmarkStart w:id="36" w:name="X7aa79fe63181ba0c77d5edbfca6eea71856a7a3"/>
    <w:p>
      <w:pPr>
        <w:pStyle w:val="Heading3"/>
        <w:pBdr>
          <w:left w:val="single" w:sz="24" w:space="8" w:color="C77700"/>
        </w:pBdr>
        <w:ind w:left="220"/>
      </w:pPr>
      <w:r>
        <w:t xml:space="preserve">10. ¿Es compatible ser Oficial de Cumplimiento de una entidad financiera y Representante de una Actividad Vulnerable?</w:t>
      </w:r>
    </w:p>
    <w:p>
      <w:pPr>
        <w:pStyle w:val="FirstParagraph"/>
        <w:pBdr>
          <w:left w:val="single" w:sz="24" w:space="8" w:color="C77700"/>
        </w:pBdr>
        <w:ind w:left="220"/>
      </w:pPr>
      <w:r>
        <w:t xml:space="preserve">Nada lo prohíbe. Son regímenes distintos con obligaciones propias y ninguno contiene regla de incompatibilidad respecto del otro. La respuesta se apoya en la ausencia de prohibición y en la analogía con el tratamiento del régimen financiero, no en un texto que lo autorice expresamente.</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Ausencia de disposición de incompatibilidad; criterio análogo del régimen financiero.</w:t>
      </w:r>
      <w:r>
        <w:rPr>
          <w:sz w:val="19"/>
          <w:szCs w:val="19"/>
        </w:rPr>
        <w:t xml:space="preserve"> </w:t>
      </w:r>
      <w:r>
        <w:rPr>
          <w:rStyle w:val="Ambar"/>
          <w:sz w:val="19"/>
          <w:szCs w:val="19"/>
        </w:rPr>
        <w:t xml:space="preserve">· Ámbar · Recurrencia media</w:t>
      </w:r>
    </w:p>
    <w:p>
      <w:pPr>
        <w:spacing w:before="0" w:after="0" w:line="130" w:lineRule="exact"/>
        <w:rPr>
          <w:sz w:val="10"/>
          <w:szCs w:val="10"/>
        </w:rPr>
      </w:pPr>
    </w:p>
    <w:bookmarkEnd w:id="36"/>
    <w:bookmarkStart w:id="37" w:name="X357acb8ba5111c0d88f21026248fe5b59bfe6da"/>
    <w:p>
      <w:pPr>
        <w:pStyle w:val="Heading3"/>
        <w:pBdr>
          <w:left w:val="single" w:sz="24" w:space="8" w:color="C77700"/>
        </w:pBdr>
        <w:ind w:left="220"/>
      </w:pPr>
      <w:r>
        <w:t xml:space="preserve">11. ¿Es recomendable que el Director General acepte el cargo de Representante?</w:t>
      </w:r>
    </w:p>
    <w:p>
      <w:pPr>
        <w:pStyle w:val="FirstParagraph"/>
        <w:pBdr>
          <w:left w:val="single" w:sz="24" w:space="8" w:color="C77700"/>
        </w:pBdr>
        <w:ind w:left="220"/>
      </w:pPr>
      <w:r>
        <w:t xml:space="preserve">La norma no lo prohíbe ni condiciona el cargo a requisitos de idoneidad propios del Representante. Hay, sin embargo, tres exigencias colaterales que pesan en la decisión: el Acuerdo obliga a establecer procedimientos de selección que garanticen calidad técnica, experiencia y honorabilidad del personal, aplicables a las contrataciones hechas a partir del 1 de marzo de 2027; el área de auditoría interna que emita el dictamen debe estar integrada por personal independiente de la persona Representante, lo que en estructuras pequeñas vuelve problemática la acumulación de cargos; y la revisión anual evalúa la efectividad del cumplimiento, no su existencia documental. La única incompatibilidad temporal expresa es la que impide a la persona auditora externa haber ocupado el cargo durante el periodo auditado y los dos años posteriores. La conveniencia es decisión de gobierno corporativo.</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RCG arts. 10, 39 Bis 2, 42, 44 y 45, inciso e); Transitorio Sexto del ACUERDO 115/2026; ausencia de régimen de idoneidad del cargo.</w:t>
      </w:r>
      <w:r>
        <w:rPr>
          <w:sz w:val="19"/>
          <w:szCs w:val="19"/>
        </w:rPr>
        <w:t xml:space="preserve"> </w:t>
      </w:r>
      <w:r>
        <w:rPr>
          <w:rStyle w:val="Ambar"/>
          <w:sz w:val="19"/>
          <w:szCs w:val="19"/>
        </w:rPr>
        <w:t xml:space="preserve">· Ámbar · Recurrencia baja</w:t>
      </w:r>
    </w:p>
    <w:p>
      <w:pPr>
        <w:spacing w:before="0" w:after="0" w:line="130" w:lineRule="exact"/>
        <w:rPr>
          <w:sz w:val="10"/>
          <w:szCs w:val="10"/>
        </w:rPr>
      </w:pPr>
    </w:p>
    <w:bookmarkEnd w:id="37"/>
    <w:bookmarkStart w:id="38" w:name="Xe8ad22b785d8dcf6f72e244c8a7f3f57e48f203"/>
    <w:p>
      <w:pPr>
        <w:pStyle w:val="Heading3"/>
        <w:pBdr>
          <w:left w:val="single" w:sz="24" w:space="8" w:color="2E7D32"/>
        </w:pBdr>
        <w:ind w:left="220"/>
      </w:pPr>
      <w:r>
        <w:t xml:space="preserve">12. Si nadie ha aceptado la designación, ¿quién responde?</w:t>
      </w:r>
    </w:p>
    <w:p>
      <w:pPr>
        <w:pStyle w:val="FirstParagraph"/>
        <w:pBdr>
          <w:left w:val="single" w:sz="24" w:space="8" w:color="2E7D32"/>
        </w:pBdr>
        <w:ind w:left="220"/>
      </w:pPr>
      <w:r>
        <w:t xml:space="preserve">En tanto no haya Representante o la designación no sea aceptada, el cumplimiento corresponde a los integrantes del órgano de administración o a quien funja como administrador único; a la parte fideicomitente o su representante, o a quien funja como administrador en cualquier otra figura jurídica. El rechazo de la designación tampoco libera a quien la realizó del cumplimiento de sus obligaciones.</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 20, segundo párrafo; RCG art. 10, cuarto párrafo.</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38"/>
    <w:bookmarkStart w:id="39" w:name="X0236df623fc0a064b0fb417afc7b89b0c7ffb62"/>
    <w:p>
      <w:pPr>
        <w:pStyle w:val="Heading3"/>
        <w:pBdr>
          <w:left w:val="single" w:sz="24" w:space="8" w:color="2E7D32"/>
        </w:pBdr>
        <w:ind w:left="220"/>
      </w:pPr>
      <w:r>
        <w:t xml:space="preserve">13. Las personas físicas que realizan Actividades Vulnerables, ¿deben designar Representante?</w:t>
      </w:r>
    </w:p>
    <w:p>
      <w:pPr>
        <w:pStyle w:val="FirstParagraph"/>
        <w:pBdr>
          <w:left w:val="single" w:sz="24" w:space="8" w:color="2E7D32"/>
        </w:pBdr>
        <w:ind w:left="220"/>
      </w:pPr>
      <w:r>
        <w:t xml:space="preserve">No. Conviene no confundir dos cosas distintas: quién puede ser designado —siempre una persona física— y quién está obligado a designar. La obligación de designar corresponde a las personas morales y a quienes actúan a través de fideicomisos u otras figuras jurídicas. Las personas físicas cumplen personal y directamente con las obligaciones de la Ley, salvo cuando presentan sus Avisos por conducto de una Entidad Colegiada.</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arts. 20, párrafos primero y cuarto, y 26 y 27; RCG art. 10, último párrafo (que confirma que quienes designan sólo pueden designar a una persona física).</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39"/>
    <w:bookmarkStart w:id="40" w:name="X757021abfc55ae8826e7ab267f6f1932041264b"/>
    <w:p>
      <w:pPr>
        <w:pStyle w:val="Heading3"/>
        <w:pBdr>
          <w:left w:val="single" w:sz="24" w:space="8" w:color="2E7D32"/>
        </w:pBdr>
        <w:ind w:left="220"/>
      </w:pPr>
      <w:r>
        <w:t xml:space="preserve">14. ¿Se requiere certificación de la UIF o de la CNBV para ser Representante?</w:t>
      </w:r>
    </w:p>
    <w:p>
      <w:pPr>
        <w:pStyle w:val="FirstParagraph"/>
        <w:pBdr>
          <w:left w:val="single" w:sz="24" w:space="8" w:color="2E7D32"/>
        </w:pBdr>
        <w:ind w:left="220"/>
      </w:pPr>
      <w:r>
        <w:t xml:space="preserve">No. Tampoco existe en la Ley, el Reglamento ni las Reglas exigencia alguna de certificación expedida por la Comisión Nacional Bancaria y de Valores: ese esquema pertenece al régimen de las Entidades Financieras y no se comunica con el de las Actividades Vulnerables. La certificación de la UIF es potestativa —el texto dice que las personas físicas que realizan Actividades Vulnerables y las personas Representantes «podrán» obtenerla— y no condiciona la aceptación ni el ejercicio del cargo. Es requisito únicamente para la persona auditora externa independiente, que debe contar con ella vigente al momento de elaborar y firmar el dictamen.</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34 Bis; RCG art. 45, inciso b).</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40"/>
    <w:bookmarkEnd w:id="41"/>
    <w:bookmarkStart w:id="46" w:name="certificación-de-la-uif"/>
    <w:p>
      <w:pPr>
        <w:pStyle w:val="Heading2"/>
      </w:pPr>
      <w:r>
        <w:t xml:space="preserve">3. Certificación de la UIF</w:t>
      </w:r>
    </w:p>
    <w:bookmarkStart w:id="42" w:name="X78ab048acb81abad010e576039ee2b223700836"/>
    <w:p>
      <w:pPr>
        <w:pStyle w:val="Heading3"/>
        <w:pBdr>
          <w:left w:val="single" w:sz="24" w:space="8" w:color="C62828"/>
        </w:pBdr>
        <w:ind w:left="220"/>
      </w:pPr>
      <w:r>
        <w:t xml:space="preserve">15. ¿Cuándo se emite la convocatoria de certificación y con qué periodicidad?</w:t>
      </w:r>
    </w:p>
    <w:p>
      <w:pPr>
        <w:pStyle w:val="FirstParagraph"/>
        <w:pBdr>
          <w:left w:val="single" w:sz="24" w:space="8" w:color="C62828"/>
        </w:pBdr>
        <w:ind w:left="220"/>
      </w:pPr>
      <w:r>
        <w:t xml:space="preserve">No hay fecha. El texto sujeta la certificación a la convocatoria que la UIF emita y publique en el Diario Oficial de la Federación, sin fijar plazo, periodicidad ni criterio alguno de emisión, y ningún transitorio del Acuerdo la calendariza. Es una fecha que hoy no puede anticiparse y que depende de un acto futuro de la autoridad.</w:t>
      </w:r>
    </w:p>
    <w:p>
      <w:pPr>
        <w:pStyle w:val="BodyText"/>
        <w:pBdr>
          <w:left w:val="single" w:sz="24" w:space="8" w:color="C62828"/>
        </w:pBdr>
        <w:ind w:left="220"/>
      </w:pPr>
      <w:r>
        <w:rPr>
          <w:bCs/>
          <w:b/>
          <w:sz w:val="19"/>
          <w:szCs w:val="19"/>
        </w:rPr>
        <w:t xml:space="preserve">Fundamento:</w:t>
      </w:r>
      <w:r>
        <w:rPr>
          <w:sz w:val="19"/>
          <w:szCs w:val="19"/>
        </w:rPr>
        <w:t xml:space="preserve"> </w:t>
      </w:r>
      <w:r>
        <w:rPr>
          <w:iCs/>
          <w:i/>
          <w:sz w:val="19"/>
          <w:szCs w:val="19"/>
        </w:rPr>
        <w:t xml:space="preserve">RCG art. 34 Bis.</w:t>
      </w:r>
      <w:r>
        <w:rPr>
          <w:sz w:val="19"/>
          <w:szCs w:val="19"/>
        </w:rPr>
        <w:t xml:space="preserve"> </w:t>
      </w:r>
      <w:r>
        <w:rPr>
          <w:rStyle w:val="Rojo"/>
          <w:sz w:val="19"/>
          <w:szCs w:val="19"/>
        </w:rPr>
        <w:t xml:space="preserve">· Rojo · Recurrencia alta</w:t>
      </w:r>
    </w:p>
    <w:p>
      <w:pPr>
        <w:spacing w:before="0" w:after="0" w:line="130" w:lineRule="exact"/>
        <w:rPr>
          <w:sz w:val="10"/>
          <w:szCs w:val="10"/>
        </w:rPr>
      </w:pPr>
    </w:p>
    <w:bookmarkEnd w:id="42"/>
    <w:bookmarkStart w:id="43" w:name="Xf4dd46f1254014cb0120a20341435c1bbf16bf5"/>
    <w:p>
      <w:pPr>
        <w:pStyle w:val="Heading3"/>
        <w:pBdr>
          <w:left w:val="single" w:sz="24" w:space="8" w:color="C77700"/>
        </w:pBdr>
        <w:ind w:left="220"/>
      </w:pPr>
      <w:r>
        <w:t xml:space="preserve">16. ¿Cuál es la vigencia de la certificación y cómo opera la recertificación?</w:t>
      </w:r>
    </w:p>
    <w:p>
      <w:pPr>
        <w:pStyle w:val="FirstParagraph"/>
        <w:pBdr>
          <w:left w:val="single" w:sz="24" w:space="8" w:color="C77700"/>
        </w:pBdr>
        <w:ind w:left="220"/>
      </w:pPr>
      <w:r>
        <w:t xml:space="preserve">La vigencia es de cinco años, y ese dato es textual. Lo que el texto no establece es procedimiento de recertificación ni régimen de transición para quienes ya cuentan con certificación vigente obtenida bajo el esquema anterior. Mientras no haya convocatoria ni criterio, la lectura sostenible es que la certificación en curso conserva su vigencia por el plazo con que fue expedida, pero eso es interpretación y no texto.</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RCG art. 34 Bis (vigencia); ausencia de disposición sobre recertificación y de régimen transitorio.</w:t>
      </w:r>
      <w:r>
        <w:rPr>
          <w:sz w:val="19"/>
          <w:szCs w:val="19"/>
        </w:rPr>
        <w:t xml:space="preserve"> </w:t>
      </w:r>
      <w:r>
        <w:rPr>
          <w:rStyle w:val="Ambar"/>
          <w:sz w:val="19"/>
          <w:szCs w:val="19"/>
        </w:rPr>
        <w:t xml:space="preserve">· Ámbar · Recurrencia alta</w:t>
      </w:r>
    </w:p>
    <w:p>
      <w:pPr>
        <w:spacing w:before="0" w:after="0" w:line="130" w:lineRule="exact"/>
        <w:rPr>
          <w:sz w:val="10"/>
          <w:szCs w:val="10"/>
        </w:rPr>
      </w:pPr>
    </w:p>
    <w:bookmarkEnd w:id="43"/>
    <w:bookmarkStart w:id="44" w:name="X8099a6d2d734ca0f745e38e26493eccc896a11c"/>
    <w:p>
      <w:pPr>
        <w:pStyle w:val="Heading3"/>
        <w:pBdr>
          <w:left w:val="single" w:sz="24" w:space="8" w:color="2E7D32"/>
        </w:pBdr>
        <w:ind w:left="220"/>
      </w:pPr>
      <w:r>
        <w:t xml:space="preserve">17. ¿El auditor interno debe estar certificado?</w:t>
      </w:r>
    </w:p>
    <w:p>
      <w:pPr>
        <w:pStyle w:val="FirstParagraph"/>
        <w:pBdr>
          <w:left w:val="single" w:sz="24" w:space="8" w:color="2E7D32"/>
        </w:pBdr>
        <w:ind w:left="220"/>
      </w:pPr>
      <w:r>
        <w:t xml:space="preserve">No. Cuando el Riesgo de quien realiza la Actividad Vulnerable sea evaluado como bajo o medio conforme a la metodología del Capítulo II Quáter, el dictamen puede emitirlo el área de auditoría interna o de control interno, a la que se exige estar integrada por personal independiente de la persona Representante, contar con conocimiento de los procesos y procedimientos internos y con al menos una acreditación del programa anual de capacitación. No se le exige certificación. Ello sin perjuicio de que, aun con Riesgo bajo o medio, pueda elegirse auditor externo independiente.</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arts. 42, 44 y 45, primer párrafo; Ley art. 18, fracción XI.</w:t>
      </w:r>
      <w:r>
        <w:rPr>
          <w:sz w:val="19"/>
          <w:szCs w:val="19"/>
        </w:rPr>
        <w:t xml:space="preserve"> </w:t>
      </w:r>
      <w:r>
        <w:rPr>
          <w:rStyle w:val="Verde"/>
          <w:sz w:val="19"/>
          <w:szCs w:val="19"/>
        </w:rPr>
        <w:t xml:space="preserve">· Verde · Recurrencia alta</w:t>
      </w:r>
    </w:p>
    <w:p>
      <w:pPr>
        <w:spacing w:before="0" w:after="0" w:line="130" w:lineRule="exact"/>
        <w:rPr>
          <w:sz w:val="10"/>
          <w:szCs w:val="10"/>
        </w:rPr>
      </w:pPr>
    </w:p>
    <w:bookmarkEnd w:id="44"/>
    <w:bookmarkStart w:id="45" w:name="X744b9fc5d33da442005cd66b5818548693d0e4c"/>
    <w:p>
      <w:pPr>
        <w:pStyle w:val="Heading3"/>
        <w:pBdr>
          <w:left w:val="single" w:sz="24" w:space="8" w:color="2E7D32"/>
        </w:pBdr>
        <w:ind w:left="220"/>
      </w:pPr>
      <w:r>
        <w:t xml:space="preserve">18. ¿El auditor externo debe estar certificado?</w:t>
      </w:r>
    </w:p>
    <w:p>
      <w:pPr>
        <w:pStyle w:val="FirstParagraph"/>
        <w:pBdr>
          <w:left w:val="single" w:sz="24" w:space="8" w:color="2E7D32"/>
        </w:pBdr>
        <w:ind w:left="220"/>
      </w:pPr>
      <w:r>
        <w:t xml:space="preserve">Sí. Debe contar con certificación vigente de la UIF al momento de elaborar y firmar el dictamen, además de título y cédula profesional en derecho, contaduría, finanzas, administración de empresas, informática o áreas afines, y al menos tres años de experiencia en materia de prevención y detección de actos u operaciones que pudieran involucrar recursos de procedencia ilícita. No debe haber sido sentenciado por delitos patrimoniales y debe satisfacer tres reglas de independencia: no haber prestado servicios previos que generen conflicto de interés durante el periodo auditado, no haber aceptado el cargo de Representante del auditado durante ese periodo y los dos años posteriores, y mantenerse independiente durante todo el desarrollo de la auditoría y hasta la emisión del dictamen.</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45, incisos a) a e) y párrafo final.</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45"/>
    <w:bookmarkEnd w:id="46"/>
    <w:bookmarkStart w:id="52" w:name="X536dbb9f7d40b03948f792a63a54a35f19909db"/>
    <w:p>
      <w:pPr>
        <w:pStyle w:val="Heading2"/>
      </w:pPr>
      <w:r>
        <w:t xml:space="preserve">4. Buzón, notificaciones electrónicas y requerimientos</w:t>
      </w:r>
    </w:p>
    <w:bookmarkStart w:id="47" w:name="X818efd60fb884f8f58ec9c744a7e9f4f848c603"/>
    <w:p>
      <w:pPr>
        <w:pStyle w:val="Heading3"/>
        <w:pBdr>
          <w:left w:val="single" w:sz="24" w:space="8" w:color="2E7D32"/>
        </w:pBdr>
        <w:ind w:left="220"/>
      </w:pPr>
      <w:r>
        <w:t xml:space="preserve">19. ¿Con qué frecuencia debe consultarse el buzón y desde cuándo?</w:t>
      </w:r>
    </w:p>
    <w:p>
      <w:pPr>
        <w:pStyle w:val="FirstParagraph"/>
        <w:pBdr>
          <w:left w:val="single" w:sz="24" w:space="8" w:color="2E7D32"/>
        </w:pBdr>
        <w:ind w:left="220"/>
      </w:pPr>
      <w:r>
        <w:t xml:space="preserve">El deber de consultar los medios electrónicos ya existe en el texto vigente del artículo 6; lo que el Acuerdo modifica es su periodicidad, que a partir del 30 de noviembre de 2026 será de al menos una vez cada día hábil o, si alguno fuere inhábil, el día hábil siguiente. Revisar hoy el Portal no es sólo prudencia: la consulta de los medios electrónicos ya es obligación en el texto vigente, y que la periodicidad diaria no sea aún exigible no suspende los plazos de los requerimientos que efectivamente se reciban ni de las notificaciones practicadas por las vías hoy vigentes.</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6, quinto párrafo; Transitorio Primero del ACUERDO 115/2026.</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47"/>
    <w:bookmarkStart w:id="48" w:name="Xcd528da98ad0ceebb366759e77d91b26b821d06"/>
    <w:p>
      <w:pPr>
        <w:pStyle w:val="Heading3"/>
        <w:pBdr>
          <w:left w:val="single" w:sz="24" w:space="8" w:color="C77700"/>
        </w:pBdr>
        <w:ind w:left="220"/>
      </w:pPr>
      <w:r>
        <w:t xml:space="preserve">20. ¿Qué debe consultarse entre el 30 de noviembre de 2026 y la fecha en que la Secretaría implemente el sistema de notificaciones?</w:t>
      </w:r>
    </w:p>
    <w:p>
      <w:pPr>
        <w:pStyle w:val="FirstParagraph"/>
        <w:pBdr>
          <w:left w:val="single" w:sz="24" w:space="8" w:color="C77700"/>
        </w:pBdr>
        <w:ind w:left="220"/>
      </w:pPr>
      <w:r>
        <w:t xml:space="preserve">Los mismos medios electrónicos del artículo 5. El régimen del artículo 6 rige desde el 30 de noviembre de 2026: el Acuerdo entra en vigor en esa fecha salvo las excepciones de sus transitorios, y ninguno difiere ese artículo. El Transitorio Décimo Primero impone un plazo de ocho meses a la Secretaría para implementar los mecanismos tecnológicos, no una suspensión de los plazos del particular, de modo que los tres días hábiles para abrir documentos y la notificación tenida por realizada al cuarto día corren desde esa fecha. Esa lectura se construye por interpretación sistemática de los transitorios: el texto no resuelve qué efecto tiene una notificación intentada antes de que los mecanismos existan.</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RCG art. 6, párrafos segundo a cuarto; Transitorios Primero y Décimo Primero del ACUERDO 115/2026.</w:t>
      </w:r>
      <w:r>
        <w:rPr>
          <w:sz w:val="19"/>
          <w:szCs w:val="19"/>
        </w:rPr>
        <w:t xml:space="preserve"> </w:t>
      </w:r>
      <w:r>
        <w:rPr>
          <w:rStyle w:val="Ambar"/>
          <w:sz w:val="19"/>
          <w:szCs w:val="19"/>
        </w:rPr>
        <w:t xml:space="preserve">· Ámbar · Recurrencia baja</w:t>
      </w:r>
    </w:p>
    <w:p>
      <w:pPr>
        <w:spacing w:before="0" w:after="0" w:line="130" w:lineRule="exact"/>
        <w:rPr>
          <w:sz w:val="10"/>
          <w:szCs w:val="10"/>
        </w:rPr>
      </w:pPr>
    </w:p>
    <w:bookmarkEnd w:id="48"/>
    <w:bookmarkStart w:id="49" w:name="Xbbe40696a0e760bf1ef7b0e5b98166712cfcb39"/>
    <w:p>
      <w:pPr>
        <w:pStyle w:val="Heading3"/>
        <w:pBdr>
          <w:left w:val="single" w:sz="24" w:space="8" w:color="C77700"/>
        </w:pBdr>
        <w:ind w:left="220"/>
      </w:pPr>
      <w:r>
        <w:t xml:space="preserve">21. ¿Debe conservarse evidencia documental de que se ingresó al buzón?</w:t>
      </w:r>
    </w:p>
    <w:p>
      <w:pPr>
        <w:pStyle w:val="FirstParagraph"/>
        <w:pBdr>
          <w:left w:val="single" w:sz="24" w:space="8" w:color="C77700"/>
        </w:pBdr>
        <w:ind w:left="220"/>
      </w:pPr>
      <w:r>
        <w:t xml:space="preserve">Ninguna disposición lo exige, y la respuesta se sostiene en esa ausencia y en el principio de que lo no tipificado no se sanciona, no en un precepto que libere de la carga. La constancia que acredita la notificación la genera el sistema: al enviarse y al tenerse por realizada al cuarto día hábil. Criterio de la casa: conservar un registro automático de accesos no cuesta nada y es lo único que servirá si la autoridad sostiene que la constancia era exigible.</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RCG art. 6, párrafos segundo y cuarto; ausencia de disposición que imponga conservar evidencia de acceso.</w:t>
      </w:r>
      <w:r>
        <w:rPr>
          <w:sz w:val="19"/>
          <w:szCs w:val="19"/>
        </w:rPr>
        <w:t xml:space="preserve"> </w:t>
      </w:r>
      <w:r>
        <w:rPr>
          <w:rStyle w:val="Ambar"/>
          <w:sz w:val="19"/>
          <w:szCs w:val="19"/>
        </w:rPr>
        <w:t xml:space="preserve">· Ámbar · Recurrencia baja</w:t>
      </w:r>
    </w:p>
    <w:p>
      <w:pPr>
        <w:spacing w:before="0" w:after="0" w:line="130" w:lineRule="exact"/>
        <w:rPr>
          <w:sz w:val="10"/>
          <w:szCs w:val="10"/>
        </w:rPr>
      </w:pPr>
    </w:p>
    <w:bookmarkEnd w:id="49"/>
    <w:bookmarkStart w:id="50" w:name="Xb77f2b726195f00bebca982b797788ff797b849"/>
    <w:p>
      <w:pPr>
        <w:pStyle w:val="Heading3"/>
        <w:pBdr>
          <w:left w:val="single" w:sz="24" w:space="8" w:color="2E7D32"/>
        </w:pBdr>
        <w:ind w:left="220"/>
      </w:pPr>
      <w:r>
        <w:t xml:space="preserve">22. ¿Qué ocurre si por causas atribuibles a la autoridad no puede consultarse el buzón?</w:t>
      </w:r>
    </w:p>
    <w:p>
      <w:pPr>
        <w:pStyle w:val="FirstParagraph"/>
        <w:pBdr>
          <w:left w:val="single" w:sz="24" w:space="8" w:color="2E7D32"/>
        </w:pBdr>
        <w:ind w:left="220"/>
      </w:pPr>
      <w:r>
        <w:t xml:space="preserve">Debe hacerse del conocimiento del SAT o de la UIF a más tardar dentro de los tres días hábiles siguientes a aquel en que ocurra el impedimento, a través del medio que se señale en el Portal, a efecto de ser notificado por alguna otra de las formas establecidas en la Ley Federal de Procedimiento Administrativo mientras no se solvente el impedimento. El supuesto exige que la causa sea imputable a la Secretaría, la UIF o el SAT.</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6, sexto párrafo.</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50"/>
    <w:bookmarkStart w:id="51" w:name="Xb8b919afe259bcd30c96eead9c92420aaf8eed8"/>
    <w:p>
      <w:pPr>
        <w:pStyle w:val="Heading3"/>
        <w:pBdr>
          <w:left w:val="single" w:sz="24" w:space="8" w:color="2E7D32"/>
        </w:pBdr>
        <w:ind w:left="220"/>
      </w:pPr>
      <w:r>
        <w:t xml:space="preserve">23. ¿Qué plazo hay para atender un requerimiento del SAT?</w:t>
      </w:r>
    </w:p>
    <w:p>
      <w:pPr>
        <w:pStyle w:val="FirstParagraph"/>
        <w:pBdr>
          <w:left w:val="single" w:sz="24" w:space="8" w:color="2E7D32"/>
        </w:pBdr>
        <w:ind w:left="220"/>
      </w:pPr>
      <w:r>
        <w:t xml:space="preserve">Son dos supuestos con cómputos distintos. El requerimiento general de la UIF o del SAT sobre información que debe conservarse se atiende dentro de los diez días hábiles contados a partir del día siguiente a aquel en que se recibe. El requerimiento específico del SAT para corroborar la información del alta y registro, o de cualquier actualización posterior, se atiende dentro de los diez días hábiles siguientes al día en que se notifica. En ambos casos la prórroga de hasta cinco días hábiles es potestativa para la autoridad, pues el texto dice «podrán prorrogar» y «podrá prorrogar», y sólo el Reglamento exige además que la solicitud se presente dentro del plazo original.</w:t>
      </w:r>
    </w:p>
    <w:p>
      <w:pPr>
        <w:pStyle w:val="BodyText"/>
        <w:pBdr>
          <w:left w:val="single" w:sz="24" w:space="8" w:color="2E7D32"/>
        </w:pBdr>
        <w:ind w:left="220"/>
      </w:pPr>
      <w:r>
        <w:t xml:space="preserve">No atender el requerimiento habilita al SAT a imponer sanciones en un plazo que no excederá de diez días hábiles, sin sustanciar el procedimiento de la Ley Federal de Procedimiento Administrativo. Si la información se entrega y de su revisión resultan hechos u omisiones, el Reglamento abre otra ruta: oficio circunstanciado y cinco días hábiles para desvirtuar.</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Reglamento arts. 8, párrafos primero a tercero, y 9 —artículo 9 del Reglamento, distinto del artículo 9 de las Reglas—; RCG art. 9, párrafos primero y segundo.</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51"/>
    <w:bookmarkEnd w:id="52"/>
    <w:bookmarkStart w:id="67" w:name="X6c3686f20c873ae4a75ed602395235ea3946bdb"/>
    <w:p>
      <w:pPr>
        <w:pStyle w:val="Heading2"/>
      </w:pPr>
      <w:r>
        <w:t xml:space="preserve">5. Identificación del Cliente, expediente único y confidencialidad</w:t>
      </w:r>
    </w:p>
    <w:bookmarkStart w:id="53" w:name="Xd1e62b633c2dfa52631fc714aedc6eafb30b7d0"/>
    <w:p>
      <w:pPr>
        <w:pStyle w:val="Heading3"/>
        <w:pBdr>
          <w:left w:val="single" w:sz="24" w:space="8" w:color="2E7D32"/>
        </w:pBdr>
        <w:ind w:left="220"/>
      </w:pPr>
      <w:r>
        <w:t xml:space="preserve">24. ¿Debe integrarse un expediente por cada operación cuando el mismo Cliente opera varias veces?</w:t>
      </w:r>
    </w:p>
    <w:p>
      <w:pPr>
        <w:pStyle w:val="FirstParagraph"/>
        <w:pBdr>
          <w:left w:val="single" w:sz="24" w:space="8" w:color="2E7D32"/>
        </w:pBdr>
        <w:ind w:left="220"/>
      </w:pPr>
      <w:r>
        <w:t xml:space="preserve">No. La obligación es integrar y conservar un expediente único de identificación de cada Cliente o Usuaria, que se mantiene actualizado y puede utilizarse en todos los actos u operaciones que se lleven a cabo con esa misma persona. No se genera un expediente nuevo por operación.</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12, primer párrafo y párrafo relativo al uso del expediente en todos los actos u operaciones; RCG art. 21.</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53"/>
    <w:bookmarkStart w:id="54" w:name="X962045de946f4ec6ae7046ec4c546eadf1f3614"/>
    <w:p>
      <w:pPr>
        <w:pStyle w:val="Heading3"/>
        <w:pBdr>
          <w:left w:val="single" w:sz="24" w:space="8" w:color="2E7D32"/>
        </w:pBdr>
        <w:ind w:left="220"/>
      </w:pPr>
      <w:r>
        <w:t xml:space="preserve">25. ¿En qué momento debe quedar integrado el expediente?</w:t>
      </w:r>
    </w:p>
    <w:p>
      <w:pPr>
        <w:pStyle w:val="FirstParagraph"/>
        <w:pBdr>
          <w:left w:val="single" w:sz="24" w:space="8" w:color="2E7D32"/>
        </w:pBdr>
        <w:ind w:left="220"/>
      </w:pPr>
      <w:r>
        <w:t xml:space="preserve">De manera previa o durante la realización del acto u operación o, en su caso, con anterioridad o al momento del establecimiento de la Relación de negocios.</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12, segundo párrafo.</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54"/>
    <w:bookmarkStart w:id="55" w:name="X9508da78f6d092a3186fd4ab7d1cd29c91278d5"/>
    <w:p>
      <w:pPr>
        <w:pStyle w:val="Heading3"/>
        <w:pBdr>
          <w:left w:val="single" w:sz="24" w:space="8" w:color="2E7D32"/>
        </w:pBdr>
        <w:ind w:left="220"/>
      </w:pPr>
      <w:r>
        <w:t xml:space="preserve">26. ¿Puede conservarse el expediente en forma electrónica?</w:t>
      </w:r>
    </w:p>
    <w:p>
      <w:pPr>
        <w:pStyle w:val="FirstParagraph"/>
        <w:pBdr>
          <w:left w:val="single" w:sz="24" w:space="8" w:color="2E7D32"/>
        </w:pBdr>
        <w:ind w:left="220"/>
      </w:pPr>
      <w:r>
        <w:t xml:space="preserve">Sí. Al texto que ya permitía la conservación en forma física, el Acuerdo añadió la forma electrónica y amplió lo conservable a los registros que permitan la reconstrucción de actos u operaciones en lo individual, la correspondencia comercial que las partes se hubieran compartido para llevarlos a cabo y los resultados de los análisis previos realizados. La condición es que todos los datos y documentos queden dentro de un mismo archivo físico o electrónico único.</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12, penúltimo párrafo; Ley art. 18, fracción IV.</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55"/>
    <w:bookmarkStart w:id="56" w:name="X092d01eced1a9934f5a2aa9e0cafb6cf4f54c58"/>
    <w:p>
      <w:pPr>
        <w:pStyle w:val="Heading3"/>
        <w:pBdr>
          <w:left w:val="single" w:sz="24" w:space="8" w:color="2E7D32"/>
        </w:pBdr>
        <w:ind w:left="220"/>
      </w:pPr>
      <w:r>
        <w:t xml:space="preserve">27. ¿Qué documentos integran el expediente según el tipo de Cliente?</w:t>
      </w:r>
    </w:p>
    <w:p>
      <w:pPr>
        <w:pStyle w:val="FirstParagraph"/>
        <w:pBdr>
          <w:left w:val="single" w:sz="24" w:space="8" w:color="2E7D32"/>
        </w:pBdr>
        <w:ind w:left="220"/>
      </w:pPr>
      <w:r>
        <w:t xml:space="preserve">Los datos y documentos están listados por tipo de Cliente en los Anexos: persona física nacional o residente temporal o permanente, Anexo 3; persona moral mexicana, Anexo 4; persona moral mexicana de derecho público, Anexo 4 Bis; persona física extranjera con condición de estancia de visitante o distinta, Anexo 5; persona moral extranjera, Anexo 6; embajadas, consulados y organismos internacionales, Anexo 6 Bis; medidas simplificadas de la fracción V, Anexos 7 y 7-A; personas morales mexicanas de derecho público listadas en el Anexo 7 Bis-A —fracción V Bis—, Anexo 7 Bis, que es también el que integran los fedatarios cuando prestan servicios de fe pública al Poder Judicial o a autoridades administrativas de impartición de justicia; fideicomisos, Anexo 8; y Beneficiario Controlador, fracción VII.</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12, fracciones I, II, II Bis, III, IV, IV Bis, V, V Bis, VI y VII, y art. 13 Bis; RCG Anexos 3, 4, 4 Bis, 5, 6, 6 Bis, 7, 7-A, 7 Bis, 7 Bis-A y 8.</w:t>
      </w:r>
      <w:r>
        <w:rPr>
          <w:sz w:val="19"/>
          <w:szCs w:val="19"/>
        </w:rPr>
        <w:t xml:space="preserve"> </w:t>
      </w:r>
      <w:r>
        <w:rPr>
          <w:rStyle w:val="Verde"/>
          <w:sz w:val="19"/>
          <w:szCs w:val="19"/>
        </w:rPr>
        <w:t xml:space="preserve">· Verde · Recurrencia alta</w:t>
      </w:r>
    </w:p>
    <w:p>
      <w:pPr>
        <w:spacing w:before="0" w:after="0" w:line="130" w:lineRule="exact"/>
        <w:rPr>
          <w:sz w:val="10"/>
          <w:szCs w:val="10"/>
        </w:rPr>
      </w:pPr>
    </w:p>
    <w:bookmarkEnd w:id="56"/>
    <w:bookmarkStart w:id="57" w:name="X7055355aff9f77c8433cb2bc424423f9bac3768"/>
    <w:p>
      <w:pPr>
        <w:pStyle w:val="Heading3"/>
        <w:pBdr>
          <w:left w:val="single" w:sz="24" w:space="8" w:color="2E7D32"/>
        </w:pBdr>
        <w:ind w:left="220"/>
      </w:pPr>
      <w:r>
        <w:t xml:space="preserve">28. ¿Qué expediente corresponde a un Cliente clasificado como de Riesgo medio?</w:t>
      </w:r>
    </w:p>
    <w:p>
      <w:pPr>
        <w:pStyle w:val="FirstParagraph"/>
        <w:pBdr>
          <w:left w:val="single" w:sz="24" w:space="8" w:color="2E7D32"/>
        </w:pBdr>
        <w:ind w:left="220"/>
      </w:pPr>
      <w:r>
        <w:t xml:space="preserve">El régimen ordinario del artículo 12 de las Reglas: el Acuerdo lo dispuso de manera expresa. La clasificación misma por Grado de Riesgo, sin embargo, no es exigible todavía: rige respecto de los actos u operaciones realizados a partir del 1 de marzo de 2027. Conviene precisar el contraste, porque suele enunciarse mal. Las medidas simplificadas no dependen sólo del Riesgo del Cliente: las Reglas las reservan a Clientes clasificados como de bajo Riesgo, mientras que la Ley y el Reglamento las condicionan al bajo riesgo de la Actividad Vulnerable y de quien la realiza, conforme a su propia evaluación. Y existe además un régimen simplificado obligatorio, con independencia del Riesgo, cuando el Cliente es persona moral mexicana de derecho público de las listadas en el Anexo 7 Bis-A o de las demás que la UIF determine mediante Resolución publicada en el Diario Oficial de la Federación: en ese caso el expediente se integra únicamente con los datos del Anexo 7 Bis. Las personas morales mexicanas de derecho público que no estén en esa lista quedan en el régimen ordinario de la fracción II Bis, con los datos y la copia de los documentos del Anexo 4 Bis.</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17 Bis; RCG arts. 12, fracciones II Bis, V y V Bis, y 17; RCG Anexos 4 Bis, 7 Bis y 7 Bis-A; Ley art. 19, párrafos primero y tercero; Reglamento art. 15; Transitorio Cuarto del ACUERDO 115/2026.</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57"/>
    <w:bookmarkStart w:id="58" w:name="X9a656f3105862aae3b5d0a8cff5e25246aa27e3"/>
    <w:p>
      <w:pPr>
        <w:pStyle w:val="Heading3"/>
        <w:pBdr>
          <w:left w:val="single" w:sz="24" w:space="8" w:color="2E7D32"/>
        </w:pBdr>
        <w:ind w:left="220"/>
      </w:pPr>
      <w:r>
        <w:t xml:space="preserve">29. ¿Se acepta la licencia de conducir como documento de identificación?</w:t>
      </w:r>
    </w:p>
    <w:p>
      <w:pPr>
        <w:pStyle w:val="FirstParagraph"/>
        <w:pBdr>
          <w:left w:val="single" w:sz="24" w:space="8" w:color="2E7D32"/>
        </w:pBdr>
        <w:ind w:left="220"/>
      </w:pPr>
      <w:r>
        <w:t xml:space="preserve">Sí, tratándose de Clientes personas físicas mexicanas o residentes. El catálogo es abierto: además de la credencial para votar, se considera válida cualquier identificación vigente —o vencida por no más de dos años— con fotografía y firma emitida por autoridades mexicanas federales, estatales o municipales, y las demás que apruebe la UIF. La única exclusión expresa es la cédula profesional. El régimen es distinto para la persona física extranjera con condición de estancia de visitante: ahí se exige pasaporte o documento oficial del país de origen.</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Anexo 3, inciso b), numeral i), segundo párrafo, y numerales equivalentes de los Anexos 4, b) iv); 4 Bis, b) iv); 6, b) iii), y 8, b) iii). Para el Anexo 5, inciso b), numeral i), el documento exigido es el pasaporte o documento oficial del país de origen.</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58"/>
    <w:bookmarkStart w:id="59" w:name="Xafcd7e2295b1a6f6dbf2df9753dd5b8ae2633b8"/>
    <w:p>
      <w:pPr>
        <w:pStyle w:val="Heading3"/>
        <w:pBdr>
          <w:left w:val="single" w:sz="24" w:space="8" w:color="C77700"/>
        </w:pBdr>
        <w:ind w:left="220"/>
      </w:pPr>
      <w:r>
        <w:t xml:space="preserve">30. ¿Qué hacer cuando la constancia de situación fiscal del Cliente está en suspensión de actividades o sin obligaciones?</w:t>
      </w:r>
    </w:p>
    <w:p>
      <w:pPr>
        <w:pStyle w:val="FirstParagraph"/>
        <w:pBdr>
          <w:left w:val="single" w:sz="24" w:space="8" w:color="C77700"/>
        </w:pBdr>
        <w:ind w:left="220"/>
      </w:pPr>
      <w:r>
        <w:t xml:space="preserve">La norma no prevé el supuesto. La Ley señala los avisos de inscripción y actualización de actividades ante el RFC como base para conocer la actividad u ocupación del Cliente, pero no regula el caso en que el documento existe y carece de contenido operativo. La salida sostenible está en los propios preceptos de Riesgo: documentar la circunstancia, requerir información adicional sobre la actividad preponderante y valorarla como factor de Riesgo al determinar el Grado de Riesgo y el Perfil transaccional, deberes exigibles respecto de los actos u operaciones realizados a partir del 1 de marzo de 2027. Es interpretación anclada en esos preceptos, no regla expresa.</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Ley art. 18, fracción II; RCG arts. 3, fracción XI Sexties, 23 Bis 2, 23 Ter 1 y 23 Ter 3; Transitorio Cuarto del ACUERDO 115/2026; ausencia de disposición para el supuesto.</w:t>
      </w:r>
      <w:r>
        <w:rPr>
          <w:sz w:val="19"/>
          <w:szCs w:val="19"/>
        </w:rPr>
        <w:t xml:space="preserve"> </w:t>
      </w:r>
      <w:r>
        <w:rPr>
          <w:rStyle w:val="Ambar"/>
          <w:sz w:val="19"/>
          <w:szCs w:val="19"/>
        </w:rPr>
        <w:t xml:space="preserve">· Ámbar · Recurrencia media</w:t>
      </w:r>
    </w:p>
    <w:p>
      <w:pPr>
        <w:spacing w:before="0" w:after="0" w:line="130" w:lineRule="exact"/>
        <w:rPr>
          <w:sz w:val="10"/>
          <w:szCs w:val="10"/>
        </w:rPr>
      </w:pPr>
    </w:p>
    <w:bookmarkEnd w:id="59"/>
    <w:bookmarkStart w:id="60" w:name="X6ca5f252011df5fab8ae922ef480def0cf6ba47"/>
    <w:p>
      <w:pPr>
        <w:pStyle w:val="Heading3"/>
        <w:pBdr>
          <w:left w:val="single" w:sz="24" w:space="8" w:color="C77700"/>
        </w:pBdr>
        <w:ind w:left="220"/>
      </w:pPr>
      <w:r>
        <w:t xml:space="preserve">31. Cuando un Anexo exige un dato «cuando se cuente con éste», ¿qué debe documentar quien no lo tiene?</w:t>
      </w:r>
    </w:p>
    <w:p>
      <w:pPr>
        <w:pStyle w:val="FirstParagraph"/>
        <w:pBdr>
          <w:left w:val="single" w:sz="24" w:space="8" w:color="C77700"/>
        </w:pBdr>
        <w:ind w:left="220"/>
      </w:pPr>
      <w:r>
        <w:t xml:space="preserve">No hay regla general de acreditación negativa, pero sí la hay en el caso más sensible: para el Beneficiario Controlador, los Anexos 3 y 5 exigen integrar una constancia firmada por el Cliente que acredite que se le solicitó la información, con independencia de cuál haya sido su respuesta. Las Reglas prevén además un mecanismo sustitutivo cuando los documentos presentan tachaduras o enmendaduras. Ese es el modelo que conviene replicar por analogía para los demás datos condicionales, dejando constancia de la gestión y de la respuesta obtenida.</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RCG Anexos 3 y 5, inciso b), numeral iv); RCG art. 12, párrafo relativo a tachaduras o enmendaduras; ausencia de regla general de acreditación negativa.</w:t>
      </w:r>
      <w:r>
        <w:rPr>
          <w:sz w:val="19"/>
          <w:szCs w:val="19"/>
        </w:rPr>
        <w:t xml:space="preserve"> </w:t>
      </w:r>
      <w:r>
        <w:rPr>
          <w:rStyle w:val="Ambar"/>
          <w:sz w:val="19"/>
          <w:szCs w:val="19"/>
        </w:rPr>
        <w:t xml:space="preserve">· Ámbar · Recurrencia media</w:t>
      </w:r>
    </w:p>
    <w:p>
      <w:pPr>
        <w:spacing w:before="0" w:after="0" w:line="130" w:lineRule="exact"/>
        <w:rPr>
          <w:sz w:val="10"/>
          <w:szCs w:val="10"/>
        </w:rPr>
      </w:pPr>
    </w:p>
    <w:bookmarkEnd w:id="60"/>
    <w:bookmarkStart w:id="61" w:name="Xfcff2c88c868482c6408edc30316bc0a5e93e65"/>
    <w:p>
      <w:pPr>
        <w:pStyle w:val="Heading3"/>
        <w:pBdr>
          <w:left w:val="single" w:sz="24" w:space="8" w:color="2E7D32"/>
        </w:pBdr>
        <w:ind w:left="220"/>
      </w:pPr>
      <w:r>
        <w:t xml:space="preserve">32. ¿Pueden firmarse electrónicamente los formatos de identificación que integran el expediente?</w:t>
      </w:r>
    </w:p>
    <w:p>
      <w:pPr>
        <w:pStyle w:val="FirstParagraph"/>
        <w:pBdr>
          <w:left w:val="single" w:sz="24" w:space="8" w:color="2E7D32"/>
        </w:pBdr>
        <w:ind w:left="220"/>
      </w:pPr>
      <w:r>
        <w:t xml:space="preserve">Sí, y hay pronunciamiento expreso. El Acuerdo definió la Firma Electrónica y le atribuyó los mismos efectos jurídicos que la firma autógrafa conforme al Código de Comercio, y la admitió en dos formatos del expediente: la constancia de Beneficiario Controlador de los Anexos 3 y 5, que puede firmarse de manera autógrafa o mediante Firma Electrónica, y los cuestionarios de identificación de Clientes de Riesgo alto, que si se realizan por medios digitales o electrónicos deben contenerla en todo caso, exigibles estos últimos respecto de los actos u operaciones realizados a partir del 1 de marzo de 2027. A ello se suma la conservación electrónica del expediente.</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3, fracción VIII Ter; RCG Anexos 3 y 5, inciso b), numeral iv); RCG art. 23 Ter 3, último párrafo; RCG art. 12, penúltimo párrafo; Transitorio Cuarto del ACUERDO 115/2026.</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61"/>
    <w:bookmarkStart w:id="62" w:name="Xda2c02d61403fb3815558c9460674bd2f2672c2"/>
    <w:p>
      <w:pPr>
        <w:pStyle w:val="Heading3"/>
        <w:pBdr>
          <w:left w:val="single" w:sz="24" w:space="8" w:color="2E7D32"/>
        </w:pBdr>
        <w:ind w:left="220"/>
      </w:pPr>
      <w:r>
        <w:t xml:space="preserve">33. ¿Qué obligación hay respecto de las copias que se integran al expediente?</w:t>
      </w:r>
    </w:p>
    <w:p>
      <w:pPr>
        <w:pStyle w:val="FirstParagraph"/>
        <w:pBdr>
          <w:left w:val="single" w:sz="24" w:space="8" w:color="2E7D32"/>
        </w:pBdr>
        <w:ind w:left="220"/>
      </w:pPr>
      <w:r>
        <w:t xml:space="preserve">Debe asegurarse que sean legibles y cotejarlas contra los documentos originales o las copias certificadas correspondientes.</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12, párrafo relativo al cotejo de copias.</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62"/>
    <w:bookmarkStart w:id="63" w:name="Xb5b89121a0aab1747d701fb9915e7b8b4d447f0"/>
    <w:p>
      <w:pPr>
        <w:pStyle w:val="Heading3"/>
        <w:pBdr>
          <w:left w:val="single" w:sz="24" w:space="8" w:color="2E7D32"/>
        </w:pBdr>
        <w:ind w:left="220"/>
      </w:pPr>
      <w:r>
        <w:t xml:space="preserve">34. Tratándose de Clientes de bajo Riesgo, ¿basta la copia simple?</w:t>
      </w:r>
    </w:p>
    <w:p>
      <w:pPr>
        <w:pStyle w:val="FirstParagraph"/>
        <w:pBdr>
          <w:left w:val="single" w:sz="24" w:space="8" w:color="2E7D32"/>
        </w:pBdr>
        <w:ind w:left="220"/>
      </w:pPr>
      <w:r>
        <w:t xml:space="preserve">No. Las medidas simplificadas permiten integrar el expediente únicamente con los datos señalados en el Anexo que corresponda, sin copia de los documentos, pero bajo tres condiciones. Debe solicitarse que los documentos de los que se desprenden esos datos sean presentados en original o en copia certificada por fedatario público, como requisito previo o al momento de celebrar el acto u operación. Los criterios y elementos de análisis para considerar al Cliente de bajo Riesgo deben constar en el Manual de Políticas Internas, incluyendo lo previsto en los Capítulos III Bis y III Ter, que rigen respecto de los actos u operaciones realizados a partir del 1 de marzo de 2027. Y si el Cliente se aparta de esos criterios, debe integrarse el expediente completo del artículo 12.</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17, párrafos primero a cuarto; Ley art. 19, primer párrafo (nivel de riesgo de las Actividades Vulnerables y de quienes las realicen); Reglamento art. 15, primer párrafo; Transitorio Cuarto del ACUERDO 115/2026.</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63"/>
    <w:bookmarkStart w:id="64" w:name="X6f59fb6279e2e3d88f30a57b5d90baf05c0469c"/>
    <w:p>
      <w:pPr>
        <w:pStyle w:val="Heading3"/>
        <w:pBdr>
          <w:left w:val="single" w:sz="24" w:space="8" w:color="2E7D32"/>
        </w:pBdr>
        <w:ind w:left="220"/>
      </w:pPr>
      <w:r>
        <w:t xml:space="preserve">35. ¿Cómo se verifica que el Cliente se dedica a lo que declara?</w:t>
      </w:r>
    </w:p>
    <w:p>
      <w:pPr>
        <w:pStyle w:val="FirstParagraph"/>
        <w:pBdr>
          <w:left w:val="single" w:sz="24" w:space="8" w:color="2E7D32"/>
        </w:pBdr>
        <w:ind w:left="220"/>
      </w:pPr>
      <w:r>
        <w:t xml:space="preserve">La Ley aporta el punto de partida y es poco conocido: cuando se establece una Relación de negocios debe solicitarse al Cliente la información sobre su actividad u ocupación, basándose, entre otros, en los avisos de inscripción y actualización de actividades presentados para efectos del RFC, y esa misma información debe incorporarse al Aviso. Cuando el Grado de Riesgo es alto hay medios normados y obligatorios, exigibles respecto de los actos u operaciones realizados a partir del 1 de marzo de 2027: requerir mayor información sobre la actividad preponderante, aplicar cuestionarios de identificación y, tratándose de personas morales, consultar los registros electrónicos de la Secretaría de Economía para confirmar los datos. Lo que la norma no fija es un catálogo cerrado ni un estándar de suficiencia: la fórmula «entre otros» es deliberadamente abierta.</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arts. 18, fracción II, y 24, fracción II; RCG arts. 23 Ter 3 y 23 Ter 4, fracción II; RCG Capítulo III Ter; Transitorio Cuarto del ACUERDO 115/2026.</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64"/>
    <w:bookmarkStart w:id="65" w:name="X896d44e9c47d5f48cdb99a17d1d56d921c656ef"/>
    <w:p>
      <w:pPr>
        <w:pStyle w:val="Heading3"/>
        <w:pBdr>
          <w:left w:val="single" w:sz="24" w:space="8" w:color="2E7D32"/>
        </w:pBdr>
        <w:ind w:left="220"/>
      </w:pPr>
      <w:r>
        <w:t xml:space="preserve">36. ¿Qué procede si la persona Cliente se niega a proporcionar la información o documentación?</w:t>
      </w:r>
    </w:p>
    <w:p>
      <w:pPr>
        <w:pStyle w:val="FirstParagraph"/>
        <w:pBdr>
          <w:left w:val="single" w:sz="24" w:space="8" w:color="2E7D32"/>
        </w:pBdr>
        <w:ind w:left="220"/>
      </w:pPr>
      <w:r>
        <w:t xml:space="preserve">Debe abstenerse de llevar a cabo el acto u operación, y la Ley precisa que esa abstención es sin responsabilidad alguna para quien realiza la Actividad Vulnerable. Los Clientes o Usuarias están obligados a proporcionar la información y documentación necesarias para el cumplimiento de la Ley.</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 21, párrafos primero y segundo.</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65"/>
    <w:bookmarkStart w:id="66" w:name="X1583d2e6ac0fced26bc5902d90f4fd2ae9c119e"/>
    <w:p>
      <w:pPr>
        <w:pStyle w:val="Heading3"/>
        <w:pBdr>
          <w:left w:val="single" w:sz="24" w:space="8" w:color="2E7D32"/>
        </w:pBdr>
        <w:ind w:left="220"/>
      </w:pPr>
      <w:r>
        <w:t xml:space="preserve">37. ¿Presentar Avisos vulnera el secreto profesional o alguna obligación de confidencialidad?</w:t>
      </w:r>
    </w:p>
    <w:p>
      <w:pPr>
        <w:pStyle w:val="FirstParagraph"/>
        <w:pBdr>
          <w:left w:val="single" w:sz="24" w:space="8" w:color="2E7D32"/>
        </w:pBdr>
        <w:ind w:left="220"/>
      </w:pPr>
      <w:r>
        <w:t xml:space="preserve">No. La Ley lo dice de manera expresa: la presentación de Avisos, información, documentación, datos e imágenes no implica transgresión alguna a las obligaciones de confidencialidad o secreto legal, profesional, fiscal, bancario, fiduciario o cualquier otro que prevean las leyes, ni puede ser objeto de cláusula de confidencialidad en convenio, contrato o acto jurídico alguno. Cuestión distinta, aunque suele confundirse con la anterior, es que los Avisos y la documentación, información, datos e imágenes relacionados con su presentación no se consideran por sí mismos indicios fundados de la comisión de delitos.</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 22; RCG art. 32.</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66"/>
    <w:bookmarkEnd w:id="67"/>
    <w:bookmarkStart w:id="74" w:name="X84a0280ea512c0caa26c2f4d572f0d9161771f8"/>
    <w:p>
      <w:pPr>
        <w:pStyle w:val="Heading2"/>
      </w:pPr>
      <w:r>
        <w:t xml:space="preserve">6. Relación de negocios, umbrales y acumulación</w:t>
      </w:r>
    </w:p>
    <w:bookmarkStart w:id="68" w:name="qué-se-entiende-por-relación-de-negocios"/>
    <w:p>
      <w:pPr>
        <w:pStyle w:val="Heading3"/>
        <w:pBdr>
          <w:left w:val="single" w:sz="24" w:space="8" w:color="2E7D32"/>
        </w:pBdr>
        <w:ind w:left="220"/>
      </w:pPr>
      <w:r>
        <w:t xml:space="preserve">38. ¿Qué se entiende por Relación de negocios?</w:t>
      </w:r>
    </w:p>
    <w:p>
      <w:pPr>
        <w:pStyle w:val="FirstParagraph"/>
        <w:pBdr>
          <w:left w:val="single" w:sz="24" w:space="8" w:color="2E7D32"/>
        </w:pBdr>
        <w:ind w:left="220"/>
      </w:pPr>
      <w:r>
        <w:t xml:space="preserve">La establecida de manera formal y habitual entre quien realiza una Actividad Vulnerable y sus Clientes o Usuarias, excluyendo expresamente los actos u operaciones celebrados ocasionalmente y la prestación de servicios de fe pública de la fracción XII del artículo 17 de la Ley. La definición está en la Ley y en las Reglas, pero sólo las Reglas dicen qué significa «formal y habitual»: se entiende por tal cuando al amparo de un contrato el Cliente puede realizar actos u operaciones que no se extinguen con su realización, es decir, cuando el contrato perdura en el tiempo. Y un acto es ocasional cuando por su simple ejecución se extingue.</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 3, fracción XII; RCG art. 3, fracción XIV, párrafos primero y segundo.</w:t>
      </w:r>
      <w:r>
        <w:rPr>
          <w:sz w:val="19"/>
          <w:szCs w:val="19"/>
        </w:rPr>
        <w:t xml:space="preserve"> </w:t>
      </w:r>
      <w:r>
        <w:rPr>
          <w:rStyle w:val="Verde"/>
          <w:sz w:val="19"/>
          <w:szCs w:val="19"/>
        </w:rPr>
        <w:t xml:space="preserve">· Verde · Recurrencia alta</w:t>
      </w:r>
    </w:p>
    <w:p>
      <w:pPr>
        <w:spacing w:before="0" w:after="0" w:line="130" w:lineRule="exact"/>
        <w:rPr>
          <w:sz w:val="10"/>
          <w:szCs w:val="10"/>
        </w:rPr>
      </w:pPr>
    </w:p>
    <w:bookmarkEnd w:id="68"/>
    <w:bookmarkStart w:id="69" w:name="Xf4945dcf633d2ce0a6e240af40294a3f46124f0"/>
    <w:p>
      <w:pPr>
        <w:pStyle w:val="Heading3"/>
        <w:pBdr>
          <w:left w:val="single" w:sz="24" w:space="8" w:color="2E7D32"/>
        </w:pBdr>
        <w:ind w:left="220"/>
      </w:pPr>
      <w:r>
        <w:t xml:space="preserve">39. ¿Un contrato o unos términos y condiciones bastan para acreditar la Relación de negocios aunque no haya operación habitual?</w:t>
      </w:r>
    </w:p>
    <w:p>
      <w:pPr>
        <w:pStyle w:val="FirstParagraph"/>
        <w:pBdr>
          <w:left w:val="single" w:sz="24" w:space="8" w:color="2E7D32"/>
        </w:pBdr>
        <w:ind w:left="220"/>
      </w:pPr>
      <w:r>
        <w:t xml:space="preserve">Sí, si el contrato reúne la característica que la propia regla exige: que a su amparo puedan realizarse actos u operaciones que no se extingan con su ejecución, es decir, que el contrato perdure en el tiempo. La habitualidad no se mide por el número de operaciones celebradas, sino por esa perdurabilidad, de modo que un contrato marco vigente configura la Relación de negocios aunque todavía no se haya operado bajo él. Unos términos y condiciones que se agotan con una ejecución única no la configuran.</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3, fracción XIV, segundo párrafo; Ley art. 3, fracción XII.</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69"/>
    <w:bookmarkStart w:id="70" w:name="X9616eb31ad9ed44b671e55b2e63d0c7f78e9a12"/>
    <w:p>
      <w:pPr>
        <w:pStyle w:val="Heading3"/>
        <w:pBdr>
          <w:left w:val="single" w:sz="24" w:space="8" w:color="C77700"/>
        </w:pBdr>
        <w:ind w:left="220"/>
      </w:pPr>
      <w:r>
        <w:t xml:space="preserve">40. ¿A partir de cuántas operaciones se considera que hay habitualidad?</w:t>
      </w:r>
    </w:p>
    <w:p>
      <w:pPr>
        <w:pStyle w:val="FirstParagraph"/>
        <w:pBdr>
          <w:left w:val="single" w:sz="24" w:space="8" w:color="C77700"/>
        </w:pBdr>
        <w:ind w:left="220"/>
      </w:pPr>
      <w:r>
        <w:t xml:space="preserve">De ninguna. La norma no fija número de operaciones, periodo de referencia ni frecuencia, pero tampoco deja el concepto abierto: sustituye el criterio de frecuencia por uno de perdurabilidad contractual. Hay habitualidad cuando existe un contrato al amparo del cual pueden realizarse actos que no se extinguen con su ejecución. Lo que queda abierto es su aplicación a otros supuestos de frontera: operaciones repetidas sin contrato que las ampare, y contratos cuyo objeto se agota con una ejecución única pero que se renuevan sucesivamente. Ahí la calificación es interpretación. Criterio de la casa: fijar en el Manual de Políticas Internas un criterio propio, aplicarlo de manera uniforme y documentar por qué se eligió.</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RCG art. 3, fracción XIV, segundo párrafo; ausencia de regla para los supuestos de frontera.</w:t>
      </w:r>
      <w:r>
        <w:rPr>
          <w:sz w:val="19"/>
          <w:szCs w:val="19"/>
        </w:rPr>
        <w:t xml:space="preserve"> </w:t>
      </w:r>
      <w:r>
        <w:rPr>
          <w:rStyle w:val="Ambar"/>
          <w:sz w:val="19"/>
          <w:szCs w:val="19"/>
        </w:rPr>
        <w:t xml:space="preserve">· Ámbar · Recurrencia media</w:t>
      </w:r>
    </w:p>
    <w:p>
      <w:pPr>
        <w:spacing w:before="0" w:after="0" w:line="130" w:lineRule="exact"/>
        <w:rPr>
          <w:sz w:val="10"/>
          <w:szCs w:val="10"/>
        </w:rPr>
      </w:pPr>
    </w:p>
    <w:bookmarkEnd w:id="70"/>
    <w:bookmarkStart w:id="71" w:name="X0965fc644a42603e657007fcfea34929642589f"/>
    <w:p>
      <w:pPr>
        <w:pStyle w:val="Heading3"/>
        <w:pBdr>
          <w:left w:val="single" w:sz="24" w:space="8" w:color="2E7D32"/>
        </w:pBdr>
        <w:ind w:left="220"/>
      </w:pPr>
      <w:r>
        <w:t xml:space="preserve">41. ¿Cómo opera la acumulación de operaciones y para qué efectos?</w:t>
      </w:r>
    </w:p>
    <w:p>
      <w:pPr>
        <w:pStyle w:val="FirstParagraph"/>
        <w:pBdr>
          <w:left w:val="single" w:sz="24" w:space="8" w:color="2E7D32"/>
        </w:pBdr>
        <w:ind w:left="220"/>
      </w:pPr>
      <w:r>
        <w:t xml:space="preserve">Deben establecerse mecanismos para dar seguimiento y acumular los actos u operaciones que en lo individual realicen los Clientes o Usuarias por montos iguales o superiores a los supuestos de identificación de las fracciones que el propio artículo enumera. La acumulación considera periodos de hasta seis meses, contados a partir del primer acto u operación, y sólo computa los actos que en lo individual se ubiquen en esos supuestos. El punto decisivo suele pasarse por alto: el Aviso se presenta al momento de realizar la última operación con la que se alcance o supere el umbral, aun cuando no se haya agotado el periodo de seis meses. El monitoreo y la acumulación deben soportarse en mecanismos automatizados, exigibles a más tardar el 1 de junio de 2027 y respecto de los actos u operaciones realizados a partir de esa fecha; los mecanismos y registros deben quedar documentados.</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19, párrafos primero a cuarto; Reglamento art. 7, párrafos primero y segundo; Ley arts. 17, penúltimo párrafo, y 18, fracción X; Transitorio Noveno del ACUERDO 115/2026.</w:t>
      </w:r>
      <w:r>
        <w:rPr>
          <w:sz w:val="19"/>
          <w:szCs w:val="19"/>
        </w:rPr>
        <w:t xml:space="preserve"> </w:t>
      </w:r>
      <w:r>
        <w:rPr>
          <w:rStyle w:val="Verde"/>
          <w:sz w:val="19"/>
          <w:szCs w:val="19"/>
        </w:rPr>
        <w:t xml:space="preserve">· Verde · Recurrencia alta</w:t>
      </w:r>
    </w:p>
    <w:p>
      <w:pPr>
        <w:spacing w:before="0" w:after="0" w:line="130" w:lineRule="exact"/>
        <w:rPr>
          <w:sz w:val="10"/>
          <w:szCs w:val="10"/>
        </w:rPr>
      </w:pPr>
    </w:p>
    <w:bookmarkEnd w:id="71"/>
    <w:bookmarkStart w:id="72" w:name="Xfce91786e288744cda6865ea75a87ee25b62303"/>
    <w:p>
      <w:pPr>
        <w:pStyle w:val="Heading3"/>
        <w:pBdr>
          <w:left w:val="single" w:sz="24" w:space="8" w:color="2E7D32"/>
        </w:pBdr>
        <w:ind w:left="220"/>
      </w:pPr>
      <w:r>
        <w:t xml:space="preserve">42. Si una operación aislada alcanza el umbral, ¿debe identificarse al Cliente?</w:t>
      </w:r>
    </w:p>
    <w:p>
      <w:pPr>
        <w:pStyle w:val="FirstParagraph"/>
        <w:pBdr>
          <w:left w:val="single" w:sz="24" w:space="8" w:color="2E7D32"/>
        </w:pBdr>
        <w:ind w:left="220"/>
      </w:pPr>
      <w:r>
        <w:t xml:space="preserve">Sí. El umbral de identificación opera por acto u operación con independencia de que exista o no Relación de negocios. En la generalidad de las fracciones del artículo 17 de la Ley el umbral se alcanza al igualarlo, porque el texto emplea la fórmula «igual o superior»; la excepción es la fracción XV, cuyo umbral de identificación exige un valor mensual «superior» a mil seiscientas cinco veces el valor diario de la UMA, de modo que el monto exactamente igual no lo actualiza, mientras que su umbral de Aviso sí es «igual o superior». La acumulación semestral es un mecanismo adicional, no sustitutivo del umbral individual.</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 17, fracciones I a XVI, y en particular fracción XV, párrafos primero y segundo; RCG art. 19, primer párrafo; Reglamento art. 7, primer párrafo.</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72"/>
    <w:bookmarkStart w:id="73" w:name="X2c1485c8af4402888b9d7cb9cfc4c5b23c38497"/>
    <w:p>
      <w:pPr>
        <w:pStyle w:val="Heading3"/>
        <w:pBdr>
          <w:left w:val="single" w:sz="24" w:space="8" w:color="2E7D32"/>
        </w:pBdr>
        <w:ind w:left="220"/>
      </w:pPr>
      <w:r>
        <w:t xml:space="preserve">43. ¿La acumulación aplica a operaciones en efectivo o a todas?</w:t>
      </w:r>
    </w:p>
    <w:p>
      <w:pPr>
        <w:pStyle w:val="FirstParagraph"/>
        <w:pBdr>
          <w:left w:val="single" w:sz="24" w:space="8" w:color="2E7D32"/>
        </w:pBdr>
        <w:ind w:left="220"/>
      </w:pPr>
      <w:r>
        <w:t xml:space="preserve">A todas. El seguimiento y la acumulación se refieren a los actos u operaciones por montos iguales o superiores a los supuestos de identificación de las fracciones que el propio artículo enumera, con las exclusiones que ahí se precisan, sin distinguir por forma de pago. La restricción al uso de efectivo y Metales Preciosos es una obligación distinta e independiente, con umbrales propios y consecuencia propia.</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19, primer párrafo; Ley art. 32; Reglamento art. 42.</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73"/>
    <w:bookmarkEnd w:id="74"/>
    <w:bookmarkStart w:id="86" w:name="beneficiario-controlador"/>
    <w:p>
      <w:pPr>
        <w:pStyle w:val="Heading2"/>
      </w:pPr>
      <w:r>
        <w:t xml:space="preserve">7. Beneficiario Controlador</w:t>
      </w:r>
    </w:p>
    <w:bookmarkStart w:id="75" w:name="X5be7713957c98eefd8ed4705336279af5a07201"/>
    <w:p>
      <w:pPr>
        <w:pStyle w:val="Heading3"/>
        <w:pBdr>
          <w:left w:val="single" w:sz="24" w:space="8" w:color="2E7D32"/>
        </w:pBdr>
        <w:ind w:left="220"/>
      </w:pPr>
      <w:r>
        <w:t xml:space="preserve">44. ¿Cuál es el orden de prelación para identificar al Beneficiario Controlador de un Cliente persona moral?</w:t>
      </w:r>
    </w:p>
    <w:p>
      <w:pPr>
        <w:pStyle w:val="FirstParagraph"/>
        <w:pBdr>
          <w:left w:val="single" w:sz="24" w:space="8" w:color="2E7D32"/>
        </w:pBdr>
        <w:ind w:left="220"/>
      </w:pPr>
      <w:r>
        <w:t xml:space="preserve">Un orden de tres escalones que se recorre en cascada y que debe considerarse «por lo menos»: primero, la persona física o grupo de personas físicas que directa o indirectamente adquiera, sea titular o posea por cualquier título legal el 25% o más de la composición accionaria o parte social; segundo, la persona física o grupo de personas físicas que tenga el control por medios distintos al anterior y cuyas funciones se relacionen con la estrategia, la toma de decisiones y la dirección de las principales políticas; tercero, quien ocupe la posición de funcionario administrativo de mayor grado o de alta dirección. El procedimiento seguido debe documentarse.</w:t>
      </w:r>
    </w:p>
    <w:p>
      <w:pPr>
        <w:pStyle w:val="BodyText"/>
        <w:pBdr>
          <w:left w:val="single" w:sz="24" w:space="8" w:color="2E7D32"/>
        </w:pBdr>
        <w:ind w:left="220"/>
      </w:pPr>
      <w:r>
        <w:t xml:space="preserve">La exigibilidad tiene fecha y conviene no perderla. El artículo 23 Quinquies integra el Capítulo III Quinquies de las Reglas, que conforme al Transitorio Cuarto del ACUERDO 115/2026 debe observarse a partir de los actos u operaciones realizados el 1 de marzo de 2027. Hasta esa fecha rige el régimen anterior: el artículo 18, fracción III, de la Ley y los artículos 12, fracción VII, y 22 de las Reglas. En lo demás el Acuerdo entra en vigor el 30 de noviembre de 2026, conforme a su Transitorio Primero.</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23 Quinquies, segundo párrafo, fracciones I a III y párrafo final; Transitorio Cuarto del ACUERDO 115/2026 (exigible a partir del 1 de marzo de 2027).</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75"/>
    <w:bookmarkStart w:id="76" w:name="X095ec899f8795282f0171506a24ebc08d4b7f3d"/>
    <w:p>
      <w:pPr>
        <w:pStyle w:val="Heading3"/>
        <w:pBdr>
          <w:left w:val="single" w:sz="24" w:space="8" w:color="2E7D32"/>
        </w:pBdr>
        <w:ind w:left="220"/>
      </w:pPr>
      <w:r>
        <w:t xml:space="preserve">45. ¿Qué umbral accionario define hoy al Beneficiario Controlador?</w:t>
      </w:r>
    </w:p>
    <w:p>
      <w:pPr>
        <w:pStyle w:val="FirstParagraph"/>
        <w:pBdr>
          <w:left w:val="single" w:sz="24" w:space="8" w:color="2E7D32"/>
        </w:pBdr>
        <w:ind w:left="220"/>
      </w:pPr>
      <w:r>
        <w:t xml:space="preserve">El 25%, con un matiz de fuente y de fecha que conviene no perder. En la definición de control efectivo en última instancia el umbral bajó de cincuenta a veinticinco por ciento por la reforma a la</w:t>
      </w:r>
      <w:r>
        <w:t xml:space="preserve"> </w:t>
      </w:r>
      <w:r>
        <w:rPr>
          <w:bCs/>
          <w:b/>
        </w:rPr>
        <w:t xml:space="preserve">Ley</w:t>
      </w:r>
      <w:r>
        <w:t xml:space="preserve"> </w:t>
      </w:r>
      <w:r>
        <w:t xml:space="preserve">del 16 de julio de 2025; el ACUERDO 115/2026 armonizó las Reglas con ese umbral y lo trasladó al primer escalón de la prelación, que es de nueva creación y por tanto no redujo nada.</w:t>
      </w:r>
    </w:p>
    <w:p>
      <w:pPr>
        <w:pStyle w:val="BodyText"/>
        <w:pBdr>
          <w:left w:val="single" w:sz="24" w:space="8" w:color="2E7D32"/>
        </w:pBdr>
        <w:ind w:left="220"/>
      </w:pPr>
      <w:r>
        <w:t xml:space="preserve">Las dos fórmulas no son idénticas ni miden lo mismo. La prelación se activa con «el 25% o más» de la composición accionaria o parte social del capital social; la definición de control efectivo en última instancia exige mantener la titularidad de los derechos que permitan, directa o indirectamente, ejercer el voto respecto de «más del» veinticinco por ciento</w:t>
      </w:r>
      <w:r>
        <w:t xml:space="preserve"> </w:t>
      </w:r>
      <w:r>
        <w:rPr>
          <w:bCs/>
          <w:b/>
        </w:rPr>
        <w:t xml:space="preserve">del capital social</w:t>
      </w:r>
      <w:r>
        <w:t xml:space="preserve">. Una tenencia de exactamente 25% activa la prelación, pero no por sí sola la definición de control, que además de superar el umbral se mide sobre el capital social y no sobre el número de votos.</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 3, fracción III, inciso b), subinciso ii) (reformado DOF 16 de julio de 2025); RCG art. 3, fracción IV, subinciso ii); RCG art. 23 Quinquies, fracción I; Transitorio Cuarto del ACUERDO 115/2026 en cuanto al artículo 23 Quinquies (exigible a partir del 1 de marzo de 2027).</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76"/>
    <w:bookmarkStart w:id="77" w:name="X011c8927c405b433d5445bc2d69648daa47aa45"/>
    <w:p>
      <w:pPr>
        <w:pStyle w:val="Heading3"/>
        <w:pBdr>
          <w:left w:val="single" w:sz="24" w:space="8" w:color="C77700"/>
        </w:pBdr>
        <w:ind w:left="220"/>
      </w:pPr>
      <w:r>
        <w:t xml:space="preserve">46. ¿Qué ocurre cuando la tenencia accionaria y los derechos de voto no coinciden, por ejemplo 20% de acciones y 40% de voto?</w:t>
      </w:r>
    </w:p>
    <w:p>
      <w:pPr>
        <w:pStyle w:val="FirstParagraph"/>
        <w:pBdr>
          <w:left w:val="single" w:sz="24" w:space="8" w:color="C77700"/>
        </w:pBdr>
        <w:ind w:left="220"/>
      </w:pPr>
      <w:r>
        <w:t xml:space="preserve">Puede quedar cubierto, pero conviene medir bien. El control efectivo en última instancia comprende mantener la titularidad de los derechos que permitan ejercer el voto respecto de más del veinticinco por ciento</w:t>
      </w:r>
      <w:r>
        <w:t xml:space="preserve"> </w:t>
      </w:r>
      <w:r>
        <w:rPr>
          <w:bCs/>
          <w:b/>
        </w:rPr>
        <w:t xml:space="preserve">del capital social</w:t>
      </w:r>
      <w:r>
        <w:t xml:space="preserve">. El dato relevante no es el porcentaje de votos en abstracto, sino la porción de capital social respecto de la cual esos derechos permiten votar: si los derechos que dan el 40% de los votos recaen sobre acciones que representan más del 25% del capital social, se actualiza el subinciso ii); si recaen sobre acciones que representan sólo el 20% del capital social —voto plural—, el subinciso no se actualiza por sí mismo y hay que descender al segundo escalón de la prelación o examinar los subincisos i) o iii). El texto no resuelve el caso; lo que exige es documentar el análisis.</w:t>
      </w:r>
    </w:p>
    <w:p>
      <w:pPr>
        <w:pStyle w:val="BodyText"/>
        <w:pBdr>
          <w:left w:val="single" w:sz="24" w:space="8" w:color="C77700"/>
        </w:pBdr>
        <w:ind w:left="220"/>
      </w:pPr>
      <w:r>
        <w:t xml:space="preserve">Ubicar el supuesto en el segundo escalón de la prelación es construcción del intérprete, porque esa fracción exige además que las funciones se relacionen con la estrategia, la toma de decisiones y la dirección de las principales políticas. Por esa parte la respuesta es lectura sistemática. En la práctica conviene asentar por qué escalón se llegó, porque lo que la autoridad verifica es el procedimiento documentado.</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Ley art. 3, fracción III, inciso b), subincisos i), ii) y iii); RCG art. 3, fracción IV, subincisos i), ii) y iii); RCG art. 23 Quinquies, fracciones I y II; Transitorio Cuarto del ACUERDO 115/2026 en cuanto al artículo 23 Quinquies (exigible a partir del 1 de marzo de 2027).</w:t>
      </w:r>
      <w:r>
        <w:rPr>
          <w:sz w:val="19"/>
          <w:szCs w:val="19"/>
        </w:rPr>
        <w:t xml:space="preserve"> </w:t>
      </w:r>
      <w:r>
        <w:rPr>
          <w:rStyle w:val="Ambar"/>
          <w:sz w:val="19"/>
          <w:szCs w:val="19"/>
        </w:rPr>
        <w:t xml:space="preserve">· Ámbar · Recurrencia baja</w:t>
      </w:r>
    </w:p>
    <w:p>
      <w:pPr>
        <w:spacing w:before="0" w:after="0" w:line="130" w:lineRule="exact"/>
        <w:rPr>
          <w:sz w:val="10"/>
          <w:szCs w:val="10"/>
        </w:rPr>
      </w:pPr>
    </w:p>
    <w:bookmarkEnd w:id="77"/>
    <w:bookmarkStart w:id="78" w:name="X3f71a586b55ac9cf4d9c19e4d1967f4fc62724e"/>
    <w:p>
      <w:pPr>
        <w:pStyle w:val="Heading3"/>
        <w:pBdr>
          <w:left w:val="single" w:sz="24" w:space="8" w:color="C77700"/>
        </w:pBdr>
        <w:ind w:left="220"/>
      </w:pPr>
      <w:r>
        <w:t xml:space="preserve">47. ¿Pueden coexistir varios Beneficiarios Controladores con el mismo porcentaje?</w:t>
      </w:r>
    </w:p>
    <w:p>
      <w:pPr>
        <w:pStyle w:val="FirstParagraph"/>
        <w:pBdr>
          <w:left w:val="single" w:sz="24" w:space="8" w:color="C77700"/>
        </w:pBdr>
        <w:ind w:left="220"/>
      </w:pPr>
      <w:r>
        <w:t xml:space="preserve">Sí. El precepto está redactado en plural —«la persona física o grupo de personas físicas»— en la definición y en los dos primeros escalones de la prelación; el tercero dice «la persona física o grupo de personas», sin repetir «físicas», y así quedó el texto publicado. De ese plural se sigue, por lectura del propio precepto, que deben identificarse todas las personas que se ubiquen en el supuesto: ninguna disposición fija un número máximo, ni autoriza a fijarlo a quien realiza la Actividad Vulnerable. Cuatro socios con 25% cada uno quedan comprendidos en el primer escalón.</w:t>
      </w:r>
    </w:p>
    <w:p>
      <w:pPr>
        <w:pStyle w:val="BodyText"/>
        <w:pBdr>
          <w:left w:val="single" w:sz="24" w:space="8" w:color="C77700"/>
        </w:pBdr>
        <w:ind w:left="220"/>
      </w:pPr>
      <w:r>
        <w:t xml:space="preserve">La conclusión se construye del plural y de la ausencia de tope, no de un precepto que responda la pregunta. Y su exigibilidad tiene fecha: el artículo 23 Quinquies integra el Capítulo III Quinquies de las Reglas, observable a partir de los actos u operaciones realizados el 1 de marzo de 2027 conforme al Transitorio Cuarto del ACUERDO 115/2026. Hasta esa fecha rige el régimen anterior del artículo 18, fracción III, de la Ley y de los artículos 12, fracción VII, y 22 de las Reglas.</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RCG art. 3, fracción IV, y art. 23 Quinquies, fracciones I a III; Ley art. 3, fracción III; ausencia de disposición que limite el número de Beneficiarios Controladores; Transitorio Cuarto del ACUERDO 115/2026 (exigible a partir del 1 de marzo de 2027).</w:t>
      </w:r>
      <w:r>
        <w:rPr>
          <w:sz w:val="19"/>
          <w:szCs w:val="19"/>
        </w:rPr>
        <w:t xml:space="preserve"> </w:t>
      </w:r>
      <w:r>
        <w:rPr>
          <w:rStyle w:val="Ambar"/>
          <w:sz w:val="19"/>
          <w:szCs w:val="19"/>
        </w:rPr>
        <w:t xml:space="preserve">· Ámbar · Recurrencia media</w:t>
      </w:r>
    </w:p>
    <w:p>
      <w:pPr>
        <w:spacing w:before="0" w:after="0" w:line="130" w:lineRule="exact"/>
        <w:rPr>
          <w:sz w:val="10"/>
          <w:szCs w:val="10"/>
        </w:rPr>
      </w:pPr>
    </w:p>
    <w:bookmarkEnd w:id="78"/>
    <w:bookmarkStart w:id="79" w:name="X55fbb9d6a067c352e678ba4337179a7c2a51f2b"/>
    <w:p>
      <w:pPr>
        <w:pStyle w:val="Heading3"/>
        <w:pBdr>
          <w:left w:val="single" w:sz="24" w:space="8" w:color="2E7D32"/>
        </w:pBdr>
        <w:ind w:left="220"/>
      </w:pPr>
      <w:r>
        <w:t xml:space="preserve">48. ¿Cómo se identifica al Beneficiario Controlador cuando el accionista es a su vez una persona moral o un fideicomiso?</w:t>
      </w:r>
    </w:p>
    <w:p>
      <w:pPr>
        <w:pStyle w:val="FirstParagraph"/>
        <w:pBdr>
          <w:left w:val="single" w:sz="24" w:space="8" w:color="2E7D32"/>
        </w:pBdr>
        <w:ind w:left="220"/>
      </w:pPr>
      <w:r>
        <w:t xml:space="preserve">Ascendiendo en la cadena de titularidad y control hasta identificar a la persona física que en última instancia ejerza el control efectivo. Tratándose de un Cliente persona moral cuyo accionista es otra persona moral, el anclaje textual es la fórmula «directa o indirectamente» del primer escalón, leída con la definición legal de control efectivo en última instancia. Tratándose de estructuras fiduciarias el mandato está escrito: cuando los fideicomitentes, fideicomisarios o cualquier otra persona considerada Beneficiario Controlador del fideicomiso sean personas morales o estructuras jurídicas, debe identificarse a la persona física que sea su Beneficiario Controlador. La cadena no se detiene en el intermedio.</w:t>
      </w:r>
    </w:p>
    <w:p>
      <w:pPr>
        <w:pStyle w:val="BodyText"/>
        <w:pBdr>
          <w:left w:val="single" w:sz="24" w:space="8" w:color="2E7D32"/>
        </w:pBdr>
        <w:ind w:left="220"/>
      </w:pPr>
      <w:r>
        <w:t xml:space="preserve">Ambos preceptos de las Reglas integran el Capítulo III Quinquies, cuya observancia se difiere a los actos u operaciones realizados a partir del 1 de marzo de 2027 por el Transitorio Cuarto del ACUERDO 115/2026. Hasta esa fecha la identificación se rige por el artículo 18, fracción III, de la Ley y por los artículos 12, fracción VII, y 22 de las Reglas; en lo demás el Acuerdo entra en vigor el 30 de noviembre de 2026.</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23 Quinquies, fracción I, y art. 23 Quinquies 1, segundo párrafo; Ley art. 3, fracción III, inciso b), y art. 18, fracción III, primer párrafo; Transitorio Cuarto del ACUERDO 115/2026 (exigible a partir del 1 de marzo de 2027).</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79"/>
    <w:bookmarkStart w:id="80" w:name="X027da24b7a425b809b8d7980a277a2d88711b72"/>
    <w:p>
      <w:pPr>
        <w:pStyle w:val="Heading3"/>
        <w:pBdr>
          <w:left w:val="single" w:sz="24" w:space="8" w:color="2E7D32"/>
        </w:pBdr>
        <w:ind w:left="220"/>
      </w:pPr>
      <w:r>
        <w:t xml:space="preserve">49. ¿Quién es Beneficiario Controlador cuando el Cliente es un fideicomiso?</w:t>
      </w:r>
    </w:p>
    <w:p>
      <w:pPr>
        <w:pStyle w:val="FirstParagraph"/>
        <w:pBdr>
          <w:left w:val="single" w:sz="24" w:space="8" w:color="2E7D32"/>
        </w:pBdr>
        <w:ind w:left="220"/>
      </w:pPr>
      <w:r>
        <w:t xml:space="preserve">Cualquier persona física que en última instancia ejerza el control efectivo sobre el fideicomiso mediante facultades contractuales, legales o de cualquier otra naturaleza que le permitan disponer, administrar o dirigir el destino de los bienes</w:t>
      </w:r>
      <w:r>
        <w:t xml:space="preserve"> </w:t>
      </w:r>
      <w:r>
        <w:rPr>
          <w:bCs/>
          <w:b/>
        </w:rPr>
        <w:t xml:space="preserve">o derechos</w:t>
      </w:r>
      <w:r>
        <w:t xml:space="preserve"> </w:t>
      </w:r>
      <w:r>
        <w:t xml:space="preserve">fideicomitidos, instruir o autorizar distribuciones, modificar o extinguir el fideicomiso, nombrar o remover a quienes ejerzan funciones de administración o decisión, o imponer decisiones sobre su operación o administración. Puede tener el carácter de fiduciario, fideicomitente, fideicomisario, persona protectora cuando exista, o miembro del comité técnico u órgano equivalente que ejerza funciones de dirección o decisión.</w:t>
      </w:r>
    </w:p>
    <w:p>
      <w:pPr>
        <w:pStyle w:val="BodyText"/>
        <w:pBdr>
          <w:left w:val="single" w:sz="24" w:space="8" w:color="2E7D32"/>
        </w:pBdr>
        <w:ind w:left="220"/>
      </w:pPr>
      <w:r>
        <w:t xml:space="preserve">La regla es de exigibilidad diferida: el artículo 23 Quinquies 1 integra el Capítulo III Quinquies de las Reglas y debe observarse a partir de los actos u operaciones realizados el 1 de marzo de 2027, conforme al Transitorio Cuarto del ACUERDO 115/2026. Hasta esa fecha rige el régimen anterior del artículo 18, fracción III, de la Ley y de los artículos 12, fracción VII, y 22 de las Reglas.</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23 Quinquies 1, primer párrafo; Transitorio Cuarto del ACUERDO 115/2026 (exigible a partir del 1 de marzo de 2027).</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80"/>
    <w:bookmarkStart w:id="81" w:name="Xe9f35b34e67419eb1030efb3c1df4628328a6b4"/>
    <w:p>
      <w:pPr>
        <w:pStyle w:val="Heading3"/>
        <w:pBdr>
          <w:left w:val="single" w:sz="24" w:space="8" w:color="C77700"/>
        </w:pBdr>
        <w:ind w:left="220"/>
      </w:pPr>
      <w:r>
        <w:t xml:space="preserve">50. Si el Cliente exhibe la constancia o declaración de Beneficiario Controlador rendida ante otra autoridad, ¿queda relevada la obligación propia?</w:t>
      </w:r>
    </w:p>
    <w:p>
      <w:pPr>
        <w:pStyle w:val="FirstParagraph"/>
        <w:pBdr>
          <w:left w:val="single" w:sz="24" w:space="8" w:color="C77700"/>
        </w:pBdr>
        <w:ind w:left="220"/>
      </w:pPr>
      <w:r>
        <w:t xml:space="preserve">No releva, aunque ningún precepto lo diga con esas palabras: la conclusión se sigue de que son dos obligaciones distintas con destinatarios distintos. La Ley impone a las</w:t>
      </w:r>
      <w:r>
        <w:t xml:space="preserve"> </w:t>
      </w:r>
      <w:r>
        <w:rPr>
          <w:bCs/>
          <w:b/>
        </w:rPr>
        <w:t xml:space="preserve">sociedades mercantiles</w:t>
      </w:r>
      <w:r>
        <w:t xml:space="preserve"> </w:t>
      </w:r>
      <w:r>
        <w:t xml:space="preserve">atender los requerimientos de las autoridades competentes para determinar claramente a quien sea su Beneficiario Controlador y conservar la información que lo soporte, registrar esa información en el sistema electrónico que determina y opera la Secretaría de Economía y, cuando se transmita el dominio o se constituyan derechos de cualquier naturaleza sobre los títulos representativos de partes sociales o acciones, presentar aviso respecto de la inscripción en el libro de registro de la sociedad. Y por separado impone a</w:t>
      </w:r>
      <w:r>
        <w:t xml:space="preserve"> </w:t>
      </w:r>
      <w:r>
        <w:rPr>
          <w:bCs/>
          <w:b/>
        </w:rPr>
        <w:t xml:space="preserve">quien realiza la Actividad Vulnerable</w:t>
      </w:r>
      <w:r>
        <w:t xml:space="preserve"> </w:t>
      </w:r>
      <w:r>
        <w:t xml:space="preserve">identificar al Beneficiario Controlador de su Cliente conforme al orden de prelación de las Reglas y documentar el procedimiento seguido. Que el Cliente haya cumplido su deber no extingue el propio. En la práctica conviene integrar la constancia ajena al expediente como soporte y documentar además el procedimiento propio; lo que la norma exige es el procedimiento, no la constancia.</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Ley arts. 18, fracción III, 33 Bis y 33 Ter; RCG art. 23 Quinquies; ausencia de disposición que reconozca efecto liberatorio a la constancia ajena.</w:t>
      </w:r>
      <w:r>
        <w:rPr>
          <w:sz w:val="19"/>
          <w:szCs w:val="19"/>
        </w:rPr>
        <w:t xml:space="preserve"> </w:t>
      </w:r>
      <w:r>
        <w:rPr>
          <w:rStyle w:val="Ambar"/>
          <w:sz w:val="19"/>
          <w:szCs w:val="19"/>
        </w:rPr>
        <w:t xml:space="preserve">· Ámbar · Recurrencia media</w:t>
      </w:r>
    </w:p>
    <w:p>
      <w:pPr>
        <w:spacing w:before="0" w:after="0" w:line="130" w:lineRule="exact"/>
        <w:rPr>
          <w:sz w:val="10"/>
          <w:szCs w:val="10"/>
        </w:rPr>
      </w:pPr>
    </w:p>
    <w:bookmarkEnd w:id="81"/>
    <w:bookmarkStart w:id="82" w:name="X432b4f4954baa44f31a7c05bb764260169c9b70"/>
    <w:p>
      <w:pPr>
        <w:pStyle w:val="Heading3"/>
        <w:pBdr>
          <w:left w:val="single" w:sz="24" w:space="8" w:color="2E7D32"/>
        </w:pBdr>
        <w:ind w:left="220"/>
      </w:pPr>
      <w:r>
        <w:t xml:space="preserve">51. ¿Qué debe documentarse y por cuánto tiempo respecto del Beneficiario Controlador?</w:t>
      </w:r>
    </w:p>
    <w:p>
      <w:pPr>
        <w:pStyle w:val="FirstParagraph"/>
        <w:pBdr>
          <w:left w:val="single" w:sz="24" w:space="8" w:color="2E7D32"/>
        </w:pBdr>
        <w:ind w:left="220"/>
      </w:pPr>
      <w:r>
        <w:t xml:space="preserve">Debe documentarse el procedimiento seguido para su identificación y conservarse la información, documentación y registros que lo sustenten, mantenidos actualizados durante la vigencia de la Relación de negocios. La identificación se practica con carácter previo al acto u operación o, a más tardar, al momento de establecerse la Relación de negocios.</w:t>
      </w:r>
    </w:p>
    <w:p>
      <w:pPr>
        <w:pStyle w:val="BodyText"/>
        <w:pBdr>
          <w:left w:val="single" w:sz="24" w:space="8" w:color="2E7D32"/>
        </w:pBdr>
        <w:ind w:left="220"/>
      </w:pPr>
      <w:r>
        <w:t xml:space="preserve">El plazo es el general del expediente y sí está fijado: no menos de diez años contados a partir de la fecha de realización de la Actividad Vulnerable, con conservación física o electrónica en el domicilio registrado ante la Secretaría. Los registros históricos de las modificaciones al Grado de Riesgo y al Perfil transaccional se conservan también por no menos de diez años. Ambos bloques tienen fecha propia de exigibilidad: los artículos 23 Quinquies y 23 Quinquies 1 integran el Capítulo III Quinquies de las Reglas, observable a partir de los actos u operaciones realizados el 1 de marzo de 2027 conforme al Transitorio Cuarto del ACUERDO 115/2026, y los mecanismos automatizados del Capítulo XIII, donde vive el artículo 41, deben existir a más tardar el 1 de junio de 2027 y contener la información de los actos u operaciones realizados a partir de esa fecha, conforme al Transitorio Noveno. El plazo de conservación del artículo 18, fracción IV, de la Ley, en cambio, rige hoy.</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23 Quinquies, párrafo final, y art. 23 Quinquies 1, tercer párrafo; RCG art. 41, fracción IV; Ley art. 18, fracción IV, segundo párrafo; Transitorios Cuarto y Noveno del ACUERDO 115/2026 (exigibles el 1 de marzo y el 1 de junio de 2027, respectivamente).</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82"/>
    <w:bookmarkStart w:id="83" w:name="X600f255dfab00485f3ae2f50102d1243cfe27da"/>
    <w:p>
      <w:pPr>
        <w:pStyle w:val="Heading3"/>
        <w:pBdr>
          <w:left w:val="single" w:sz="24" w:space="8" w:color="2E7D32"/>
        </w:pBdr>
        <w:ind w:left="220"/>
      </w:pPr>
      <w:r>
        <w:t xml:space="preserve">52. Tratándose de Clientes personas físicas, ¿aplica la identificación de Beneficiario Controlador?</w:t>
      </w:r>
    </w:p>
    <w:p>
      <w:pPr>
        <w:pStyle w:val="FirstParagraph"/>
        <w:pBdr>
          <w:left w:val="single" w:sz="24" w:space="8" w:color="2E7D32"/>
        </w:pBdr>
        <w:ind w:left="220"/>
      </w:pPr>
      <w:r>
        <w:t xml:space="preserve">Sí aplica, y con regla propia. La Ley separa dos supuestos: cuando el Cliente es persona moral, fideicomiso u otra figura jurídica deben recabarse documentos u otros medios de identificación con reconocimiento oficial que permitan identificar al Beneficiario Controlador; cuando el Cliente es</w:t>
      </w:r>
      <w:r>
        <w:t xml:space="preserve"> </w:t>
      </w:r>
      <w:r>
        <w:rPr>
          <w:bCs/>
          <w:b/>
        </w:rPr>
        <w:t xml:space="preserve">persona física</w:t>
      </w:r>
      <w:r>
        <w:t xml:space="preserve"> </w:t>
      </w:r>
      <w:r>
        <w:t xml:space="preserve">debe recabarse su declaración acerca de si tiene o no conocimiento de la existencia de un Beneficiario Controlador y, en caso afirmativo, la documentación que permita identificarlo. Las Reglas lo desarrollan: la constancia firmada que exige el Anexo 3, los mismos datos y documentos de los Anexos cuando la persona física cuente con esa información, y el deber de indagar cuando existan indicios de que el Cliente actúa por cuenta de otra persona. Lo que no aplica a personas físicas es el orden de prelación en cascada, construido para personas morales y fideicomisos.</w:t>
      </w:r>
    </w:p>
    <w:p>
      <w:pPr>
        <w:pStyle w:val="BodyText"/>
        <w:pBdr>
          <w:left w:val="single" w:sz="24" w:space="8" w:color="2E7D32"/>
        </w:pBdr>
        <w:ind w:left="220"/>
      </w:pPr>
      <w:r>
        <w:t xml:space="preserve">Conviene precisar el anclaje de la definición y la fecha. Detrás de un Cliente o Usuaria persona física el inciso que opera es el a) de la definición —quien obtiene en última instancia el beneficio del bien o servicio y las personas por cuenta de quienes se celebra el acto—, no el b), que está formulado sólo para personas morales. Y el orden de prelación del artículo 23 Quinquies, que aquí se descarta, integra el Capítulo III Quinquies de las Reglas y no será observable sino a partir de los actos u operaciones realizados el 1 de marzo de 2027, conforme al Transitorio Cuarto del ACUERDO 115/2026.</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 18, fracción III, párrafos primero y segundo; RCG art. 12, fracción VII, primer párrafo; RCG art. 22; RCG Anexo 3, inciso b), numeral iv); RCG art. 3, fracción IV, inciso a); Transitorio Cuarto del ACUERDO 115/2026 en cuanto al artículo 23 Quinquies (exigible a partir del 1 de marzo de 2027).</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83"/>
    <w:bookmarkStart w:id="84" w:name="X6690db1566352ca1bb4674454de88fbf93e31aa"/>
    <w:p>
      <w:pPr>
        <w:pStyle w:val="Heading3"/>
        <w:pBdr>
          <w:left w:val="single" w:sz="24" w:space="8" w:color="2E7D32"/>
        </w:pBdr>
        <w:ind w:left="220"/>
      </w:pPr>
      <w:r>
        <w:t xml:space="preserve">53. ¿Hay casos en que no se está obligado a recabar los datos del Beneficiario Controlador?</w:t>
      </w:r>
    </w:p>
    <w:p>
      <w:pPr>
        <w:pStyle w:val="FirstParagraph"/>
        <w:pBdr>
          <w:left w:val="single" w:sz="24" w:space="8" w:color="2E7D32"/>
        </w:pBdr>
        <w:ind w:left="220"/>
      </w:pPr>
      <w:r>
        <w:t xml:space="preserve">Sí, y son dos, taxativos. El primero: cuando el Cliente sea un fideicomiso o persona moral que cotice en bolsa de valores mexicana o en mercados de valores del exterior reconocidos en la legislación mexicana, siempre que proporcione la clave de pizarra, referencia o identificador con el que pueda localizarse. El segundo, que es el de mayor uso práctico: cuando el Cliente sea una persona moral de las previstas en los Anexos 4 Bis, 6 Bis, 7-A y 7 Bis A —personas morales mexicanas de derecho público, embajadas, consulados y organismos internacionales, y los sujetos del régimen simplificado—. La excepción opera respecto de la obligación del primer párrafo de la fracción III del artículo 18 de la Ley.</w:t>
      </w:r>
    </w:p>
    <w:p>
      <w:pPr>
        <w:pStyle w:val="BodyText"/>
        <w:pBdr>
          <w:left w:val="single" w:sz="24" w:space="8" w:color="2E7D32"/>
        </w:pBdr>
        <w:ind w:left="220"/>
      </w:pPr>
      <w:r>
        <w:t xml:space="preserve">La advertencia de fecha es aquí la de mayor consecuencia práctica, porque quien crea que la excepción ya lo releva incumple hoy: el artículo 23 Quinquies 2 integra el Capítulo III Quinquies de las Reglas y sólo debe observarse a partir de los actos u operaciones realizados el 1 de marzo de 2027, conforme al Transitorio Cuarto del ACUERDO 115/2026. Hasta esa fecha rige el régimen anterior del artículo 18, fracción III, de la Ley y de los artículos 12, fracción VII, y 22 de las Reglas, que no contempla estas dos excepciones.</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23 Quinquies 2, fracciones I y II; Reglamento art. 14; Ley art. 18, fracción III, primer párrafo; Transitorio Cuarto del ACUERDO 115/2026 (exigible a partir del 1 de marzo de 2027).</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84"/>
    <w:bookmarkStart w:id="85" w:name="X715dfa81113afe2667a6210bbbd8493d4887cee"/>
    <w:p>
      <w:pPr>
        <w:pStyle w:val="Heading3"/>
        <w:pBdr>
          <w:left w:val="single" w:sz="24" w:space="8" w:color="2E7D32"/>
        </w:pBdr>
        <w:ind w:left="220"/>
      </w:pPr>
      <w:r>
        <w:t xml:space="preserve">54. ¿Beneficiario Controlador, beneficiario final y propietario real son lo mismo?</w:t>
      </w:r>
    </w:p>
    <w:p>
      <w:pPr>
        <w:pStyle w:val="FirstParagraph"/>
        <w:pBdr>
          <w:left w:val="single" w:sz="24" w:space="8" w:color="2E7D32"/>
        </w:pBdr>
        <w:ind w:left="220"/>
      </w:pPr>
      <w:r>
        <w:t xml:space="preserve">Sí. La reforma de 2025 lo estableció expresamente: para efectos de la Ley y demás disposiciones jurídicas aplicables, la definición de Beneficiario Controlador es equiparable a beneficiario final y propietario real. La precisión importa porque esos dos términos son los que usan los estándares internacionales y la documentación de matrices extranjeras.</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 3, fracción III, párrafo final.</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85"/>
    <w:bookmarkEnd w:id="86"/>
    <w:bookmarkStart w:id="93" w:name="X6fc3824464e48e44ab3cffc0747050514ed82e8"/>
    <w:p>
      <w:pPr>
        <w:pStyle w:val="Heading2"/>
      </w:pPr>
      <w:r>
        <w:t xml:space="preserve">8. Enfoque basado en Riesgos, proporcionalidad y guías pendientes</w:t>
      </w:r>
    </w:p>
    <w:bookmarkStart w:id="87" w:name="Xe0be6aaa7596682f62aa69784b339abdbadd5fd"/>
    <w:p>
      <w:pPr>
        <w:pStyle w:val="Heading3"/>
        <w:pBdr>
          <w:left w:val="single" w:sz="24" w:space="8" w:color="2E7D32"/>
        </w:pBdr>
        <w:ind w:left="220"/>
      </w:pPr>
      <w:r>
        <w:t xml:space="preserve">55. ¿Desde cuándo es exigible la evaluación con enfoque basado en Riesgos y con qué información se elabora la primera?</w:t>
      </w:r>
    </w:p>
    <w:p>
      <w:pPr>
        <w:pStyle w:val="FirstParagraph"/>
        <w:pBdr>
          <w:left w:val="single" w:sz="24" w:space="8" w:color="2E7D32"/>
        </w:pBdr>
        <w:ind w:left="220"/>
      </w:pPr>
      <w:r>
        <w:t xml:space="preserve">Debe estar a disposición de las autoridades competentes, previo requerimiento, a partir del 1 de marzo de 2027, y la información y los factores considerados corresponden al año inmediato anterior. Cuando no se cuente con información de la totalidad de ese año, se utiliza la disponible desde el inicio de la Actividad Vulnerable y hasta la fecha de elaboración de la evaluación.</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Transitorio Segundo del ACUERDO 115/2026; RCG Capítulo II Quáter.</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87"/>
    <w:bookmarkStart w:id="88" w:name="Xd905144862b65a240e30695d1ccc13980cfd991"/>
    <w:p>
      <w:pPr>
        <w:pStyle w:val="Heading3"/>
        <w:pBdr>
          <w:left w:val="single" w:sz="24" w:space="8" w:color="C77700"/>
        </w:pBdr>
        <w:ind w:left="220"/>
      </w:pPr>
      <w:r>
        <w:t xml:space="preserve">56. ¿Puede elaborarse una sola evaluación de Riesgos para todo un grupo empresarial?</w:t>
      </w:r>
    </w:p>
    <w:p>
      <w:pPr>
        <w:pStyle w:val="FirstParagraph"/>
        <w:pBdr>
          <w:left w:val="single" w:sz="24" w:space="8" w:color="C77700"/>
        </w:pBdr>
        <w:ind w:left="220"/>
      </w:pPr>
      <w:r>
        <w:t xml:space="preserve">Hay que distinguir dos planos. La</w:t>
      </w:r>
      <w:r>
        <w:t xml:space="preserve"> </w:t>
      </w:r>
      <w:r>
        <w:rPr>
          <w:bCs/>
          <w:b/>
        </w:rPr>
        <w:t xml:space="preserve">evaluación de Riesgos</w:t>
      </w:r>
      <w:r>
        <w:t xml:space="preserve"> </w:t>
      </w:r>
      <w:r>
        <w:t xml:space="preserve">está construida por sujeto obligado: cada quien diseña e implementa su metodología conforme a su actividad, sus Clientes y su exposición, y no existe figura de evaluación consolidada de grupo. Las</w:t>
      </w:r>
      <w:r>
        <w:t xml:space="preserve"> </w:t>
      </w:r>
      <w:r>
        <w:rPr>
          <w:bCs/>
          <w:b/>
        </w:rPr>
        <w:t xml:space="preserve">políticas</w:t>
      </w:r>
      <w:r>
        <w:t xml:space="preserve">, en cambio, sí tienen alcance de grupo: la Ley lo ordena y las Reglas lo desarrollan exigiendo políticas y mecanismos centralizados de cumplimiento aplicables a todas las sucursales y filiales de propiedad mayoritaria, incluidas las extranjeras, bajo tres condiciones, la tercera de las cuales es que garanticen el cumplimiento en lo individual de cada sucursal o filial. Lo que no está resuelto es cómo se documenta esa articulación cuando los Riesgos de las filiales difieren.</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Ley art. 18, fracción VIII, segundo párrafo; RCG arts. 10 Septies y 37 Bis 1, fracción III; RCG Capítulo II Quáter.</w:t>
      </w:r>
      <w:r>
        <w:rPr>
          <w:sz w:val="19"/>
          <w:szCs w:val="19"/>
        </w:rPr>
        <w:t xml:space="preserve"> </w:t>
      </w:r>
      <w:r>
        <w:rPr>
          <w:rStyle w:val="Ambar"/>
          <w:sz w:val="19"/>
          <w:szCs w:val="19"/>
        </w:rPr>
        <w:t xml:space="preserve">· Ámbar · Recurrencia baja</w:t>
      </w:r>
    </w:p>
    <w:p>
      <w:pPr>
        <w:spacing w:before="0" w:after="0" w:line="130" w:lineRule="exact"/>
        <w:rPr>
          <w:sz w:val="10"/>
          <w:szCs w:val="10"/>
        </w:rPr>
      </w:pPr>
    </w:p>
    <w:bookmarkEnd w:id="88"/>
    <w:bookmarkStart w:id="89" w:name="Xdf380b94f953caa3f7c9f94667e95783f35bba5"/>
    <w:p>
      <w:pPr>
        <w:pStyle w:val="Heading3"/>
        <w:pBdr>
          <w:left w:val="single" w:sz="24" w:space="8" w:color="2E7D32"/>
        </w:pBdr>
        <w:ind w:left="220"/>
      </w:pPr>
      <w:r>
        <w:t xml:space="preserve">57. ¿Por cuánto tiempo debe conservarse la documentación de la evaluación de Riesgos?</w:t>
      </w:r>
    </w:p>
    <w:p>
      <w:pPr>
        <w:pStyle w:val="FirstParagraph"/>
        <w:pBdr>
          <w:left w:val="single" w:sz="24" w:space="8" w:color="2E7D32"/>
        </w:pBdr>
        <w:ind w:left="220"/>
      </w:pPr>
      <w:r>
        <w:t xml:space="preserve">Por al menos diez años. La información y documentación generada con motivo del capítulo de enfoque basado en Riesgos debe conservarse por ese plazo y proporcionarse al SAT o a la UIF cuando la requieran.</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10 Septies 3, último párrafo.</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89"/>
    <w:bookmarkStart w:id="90" w:name="X90236e4a58d45d6bcfbd774cd44bffec83dd658"/>
    <w:p>
      <w:pPr>
        <w:pStyle w:val="Heading3"/>
        <w:pBdr>
          <w:left w:val="single" w:sz="24" w:space="8" w:color="C77700"/>
        </w:pBdr>
        <w:ind w:left="220"/>
      </w:pPr>
      <w:r>
        <w:t xml:space="preserve">58. ¿Existe fundamento para exigir proporcionalidad a la autoridad?</w:t>
      </w:r>
    </w:p>
    <w:p>
      <w:pPr>
        <w:pStyle w:val="FirstParagraph"/>
        <w:pBdr>
          <w:left w:val="single" w:sz="24" w:space="8" w:color="C77700"/>
        </w:pBdr>
        <w:ind w:left="220"/>
      </w:pPr>
      <w:r>
        <w:t xml:space="preserve">Existe base textual, que es distinto de un derecho exigible. El Acuerdo ordena que la Secretaría privilegie el enfoque basado en Riesgo en el ejercicio de sus facultades, y no es el único anclaje: también obliga a la UIF a aplicar medidas proporcionales y con enfoque basado en Riesgo —acotadas al Riesgo relacionado con el delito previsto en el artículo 139 Quáter del Código Penal Federal— respecto de las asociaciones y sociedades sin fines de lucro cuyo fin preponderante sea recibir donativos o destinar fondos a fines caritativos, religiosos, culturales, educativos, sociales o filantrópicos, y exige que los mecanismos automatizados sean razonablemente adecuados al volumen, naturaleza y complejidad de los actos u operaciones y al Riesgo. Que de una regla dirigida a la actuación de la autoridad se derive un derecho del gobernado a «exigir» proporcionalidad es tesis, no texto: sirve como argumento y para pedir motivación reforzada, no como eximente.</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RCG arts. 10 Septies 6, 38 Bis y 41.</w:t>
      </w:r>
      <w:r>
        <w:rPr>
          <w:sz w:val="19"/>
          <w:szCs w:val="19"/>
        </w:rPr>
        <w:t xml:space="preserve"> </w:t>
      </w:r>
      <w:r>
        <w:rPr>
          <w:rStyle w:val="Ambar"/>
          <w:sz w:val="19"/>
          <w:szCs w:val="19"/>
        </w:rPr>
        <w:t xml:space="preserve">· Ámbar · Recurrencia media</w:t>
      </w:r>
    </w:p>
    <w:p>
      <w:pPr>
        <w:spacing w:before="0" w:after="0" w:line="130" w:lineRule="exact"/>
        <w:rPr>
          <w:sz w:val="10"/>
          <w:szCs w:val="10"/>
        </w:rPr>
      </w:pPr>
    </w:p>
    <w:bookmarkEnd w:id="90"/>
    <w:bookmarkStart w:id="91" w:name="Xa3f72456f52dfeaf4e4bac8776096613338d018"/>
    <w:p>
      <w:pPr>
        <w:pStyle w:val="Heading3"/>
        <w:pBdr>
          <w:left w:val="single" w:sz="24" w:space="8" w:color="C77700"/>
        </w:pBdr>
        <w:ind w:left="220"/>
      </w:pPr>
      <w:r>
        <w:t xml:space="preserve">59. ¿Cómo se traduce la proporcionalidad a exigencias concretas para un sujeto obligado pequeño?</w:t>
      </w:r>
    </w:p>
    <w:p>
      <w:pPr>
        <w:pStyle w:val="FirstParagraph"/>
        <w:pBdr>
          <w:left w:val="single" w:sz="24" w:space="8" w:color="C77700"/>
        </w:pBdr>
        <w:ind w:left="220"/>
      </w:pPr>
      <w:r>
        <w:t xml:space="preserve">No hay parámetros generales. Ninguna disposición fija escalas, umbrales ni criterios verificables que permitan anticipar qué se exigirá a una operación pequeña. Lo que sí existe es un escalonamiento de obligaciones por Riesgo disperso en el texto: expediente simplificado, ordinario o reforzado según el Grado de Riesgo del Cliente, medidas reforzadas para Riesgo alto, exención de políticas para supuestos que se declare no realizar, y dictamen por área interna frente a auditoría externa según el Riesgo de quien realiza la Actividad. De ahí se construye una respuesta, pero es lectura sistemática. La proporcionalidad no alcanza a la evidencia: el documento existe o no existe.</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RCG art. 10 Septies 6; arts. 17 y 17 Bis; arts. 23 Ter 3 y 23 Ter 4; art. 37 Bis 2; arts. 44 y 45; ausencia de lineamientos del art. 10 Septies 5.</w:t>
      </w:r>
      <w:r>
        <w:rPr>
          <w:sz w:val="19"/>
          <w:szCs w:val="19"/>
        </w:rPr>
        <w:t xml:space="preserve"> </w:t>
      </w:r>
      <w:r>
        <w:rPr>
          <w:rStyle w:val="Ambar"/>
          <w:sz w:val="19"/>
          <w:szCs w:val="19"/>
        </w:rPr>
        <w:t xml:space="preserve">· Ámbar · Recurrencia media</w:t>
      </w:r>
    </w:p>
    <w:p>
      <w:pPr>
        <w:spacing w:before="0" w:after="0" w:line="130" w:lineRule="exact"/>
        <w:rPr>
          <w:sz w:val="10"/>
          <w:szCs w:val="10"/>
        </w:rPr>
      </w:pPr>
    </w:p>
    <w:bookmarkEnd w:id="91"/>
    <w:bookmarkStart w:id="92" w:name="Xb07bc4c29533327e88715bc1b0b41e5c69b403e"/>
    <w:p>
      <w:pPr>
        <w:pStyle w:val="Heading3"/>
        <w:pBdr>
          <w:left w:val="single" w:sz="24" w:space="8" w:color="2E7D32"/>
        </w:pBdr>
        <w:ind w:left="220"/>
      </w:pPr>
      <w:r>
        <w:t xml:space="preserve">60. ¿Quién debe emitir las guías y lineamientos que faltan?</w:t>
      </w:r>
    </w:p>
    <w:p>
      <w:pPr>
        <w:pStyle w:val="FirstParagraph"/>
        <w:pBdr>
          <w:left w:val="single" w:sz="24" w:space="8" w:color="2E7D32"/>
        </w:pBdr>
        <w:ind w:left="220"/>
      </w:pPr>
      <w:r>
        <w:t xml:space="preserve">La UIF, con previa opinión del SAT, pero con distinto grado de exigencia según la materia. Para el enfoque basado en Riesgos el texto le impone elaborarlos: «elaborará lineamientos, guías o mejores prácticas». Para el Beneficiario Controlador prevé lineamientos en los mismos términos, que el sujeto obligado «podrá considerar». Para la capacitación, en cambio, sólo la faculta: «podrá emitir». En ningún caso hay plazo de emisión.</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arts. 10 Septies 5, 23 Quinquies 3 y 39.</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92"/>
    <w:bookmarkEnd w:id="93"/>
    <w:bookmarkStart w:id="98" w:name="X37ec676b3ff5937e8e3fd8328e157ee8b509628"/>
    <w:p>
      <w:pPr>
        <w:pStyle w:val="Heading2"/>
      </w:pPr>
      <w:r>
        <w:t xml:space="preserve">9. Conocimiento del Cliente y Perfil transaccional</w:t>
      </w:r>
    </w:p>
    <w:bookmarkStart w:id="94" w:name="X12dbeb8d96cb5c4a849370c0fcbf7715a50554f"/>
    <w:p>
      <w:pPr>
        <w:pStyle w:val="Heading3"/>
        <w:pBdr>
          <w:left w:val="single" w:sz="24" w:space="8" w:color="2E7D32"/>
        </w:pBdr>
        <w:ind w:left="220"/>
      </w:pPr>
      <w:r>
        <w:t xml:space="preserve">61. ¿Qué debe contener la política de conocimiento del Cliente?</w:t>
      </w:r>
    </w:p>
    <w:p>
      <w:pPr>
        <w:pStyle w:val="FirstParagraph"/>
        <w:pBdr>
          <w:left w:val="single" w:sz="24" w:space="8" w:color="2E7D32"/>
        </w:pBdr>
        <w:ind w:left="220"/>
      </w:pPr>
      <w:r>
        <w:t xml:space="preserve">Debe elaborarse y observarse una política que incluya, al menos, las políticas, criterios, medidas, procedimientos y controles para mitigar los Riesgos, ajustados a los resultados de la metodología; los procedimientos de seguimiento y monitoreo de los actos u operaciones; los procedimientos para el debido conocimiento del Perfil transaccional de cada Cliente; los supuestos en que los actos u operaciones se aparten de ese perfil y, en caso de cambios significativos en él, los casos en que procede la revisión y actualización del expediente de identificación; y los criterios para establecer y, en su caso, modificar el Grado de Riesgo. La política debe basarse en el Grado de Riesgo del Cliente o Usuaria e integrarse al Manual de Políticas Internas.</w:t>
      </w:r>
    </w:p>
    <w:p>
      <w:pPr>
        <w:pStyle w:val="BodyText"/>
        <w:pBdr>
          <w:left w:val="single" w:sz="24" w:space="8" w:color="2E7D32"/>
        </w:pBdr>
        <w:ind w:left="220"/>
      </w:pPr>
      <w:r>
        <w:t xml:space="preserve">La obligación tiene fecha. El artículo 23 Ter integra el Capítulo III Ter de las Reglas, que conforme al Transitorio Cuarto del ACUERDO 115/2026 debe observarse a partir de los actos u operaciones realizados el 1 de marzo de 2027. Hasta esa fecha rige el deber de identificación y conocimiento del Cliente o Usuaria en su formulación anterior: artículo 18, fracción I, de la Ley y Capítulo III de las Reglas. En lo demás el Acuerdo entra en vigor el 30 de noviembre de 2026.</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23 Ter, fracciones I a V y párrafo final; Transitorio Cuarto del ACUERDO 115/2026 (exigible a partir del 1 de marzo de 2027).</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94"/>
    <w:bookmarkStart w:id="95" w:name="Xf615303d0075994c7a49096813d4c8f01cf2299"/>
    <w:p>
      <w:pPr>
        <w:pStyle w:val="Heading3"/>
        <w:pBdr>
          <w:left w:val="single" w:sz="24" w:space="8" w:color="2E7D32"/>
        </w:pBdr>
        <w:ind w:left="220"/>
      </w:pPr>
      <w:r>
        <w:t xml:space="preserve">62. ¿Cómo se determina el Perfil transaccional de un Cliente que opera una sola vez?</w:t>
      </w:r>
    </w:p>
    <w:p>
      <w:pPr>
        <w:pStyle w:val="FirstParagraph"/>
        <w:pBdr>
          <w:left w:val="single" w:sz="24" w:space="8" w:color="2E7D32"/>
        </w:pBdr>
        <w:ind w:left="220"/>
      </w:pPr>
      <w:r>
        <w:t xml:space="preserve">La norma sí lo prevé. Tratándose de Clientes o Usuarias con quienes únicamente se realiza un acto u operación y en ese momento se extingue la relación con quien realiza la Actividad Vulnerable, el Perfil transaccional se integra con la información que la persona proporcione al llevar a cabo ese único acto u operación. No hay que construir historial: el perfil es el acto, y los elementos son los mismos —información proporcionada, monto, número y frecuencia, origen y destino de los recursos y los demás criterios que determine quien realiza la Actividad Vulnerable—.</w:t>
      </w:r>
    </w:p>
    <w:p>
      <w:pPr>
        <w:pStyle w:val="BodyText"/>
        <w:pBdr>
          <w:left w:val="single" w:sz="24" w:space="8" w:color="2E7D32"/>
        </w:pBdr>
        <w:ind w:left="220"/>
      </w:pPr>
      <w:r>
        <w:t xml:space="preserve">La regla tiene fecha de exigibilidad: el artículo 23 Ter 1 integra el Capítulo III Ter de las Reglas y se observa a partir de los actos u operaciones realizados el 1 de marzo de 2027, conforme al Transitorio Cuarto del ACUERDO 115/2026. Hasta esa fecha no existe deber de integrar un Perfil transaccional en los términos de ese capítulo.</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23 Ter 1, fracciones I a IV y último párrafo; Transitorio Cuarto del ACUERDO 115/2026 (exigible a partir del 1 de marzo de 2027).</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95"/>
    <w:bookmarkStart w:id="96" w:name="Xbf8bec0ef72e0c316dd9691aa59a78e42ffccb6"/>
    <w:p>
      <w:pPr>
        <w:pStyle w:val="Heading3"/>
        <w:pBdr>
          <w:left w:val="single" w:sz="24" w:space="8" w:color="2E7D32"/>
        </w:pBdr>
        <w:ind w:left="220"/>
      </w:pPr>
      <w:r>
        <w:t xml:space="preserve">63. ¿Qué exige la norma cuando el Grado de Riesgo del Cliente es alto?</w:t>
      </w:r>
    </w:p>
    <w:p>
      <w:pPr>
        <w:pStyle w:val="FirstParagraph"/>
        <w:pBdr>
          <w:left w:val="single" w:sz="24" w:space="8" w:color="2E7D32"/>
        </w:pBdr>
        <w:ind w:left="220"/>
      </w:pPr>
      <w:r>
        <w:t xml:space="preserve">Seis cosas verificables. Requerir mayor información sobre la actividad preponderante del Cliente y aplicar una revisión y monitoreo más estrictos de su comportamiento transaccional. Aplicar cuestionarios de identificación para obtener mayor información sobre el origen y destino de los recursos, que si se realizan por medios digitales deben contener Firma Electrónica. Adoptar medidas reforzadas de origen y destino de los recursos y, tratándose de personas físicas, recabar en su caso los datos del cónyuge, dependientes económicos y sociedades o asociaciones con vínculos patrimoniales. Tratándose de personas morales, obtener mayor información de sus principales accionistas o socios y confirmarla en los registros electrónicos de la Secretaría de Economía. Tratándose de Personas Políticamente Expuestas extranjeras, obtener además la documentación señalada en el Capítulo III de las Reglas respecto del cónyuge, los dependientes económicos y las sociedades o asociaciones con las que se mantengan vínculos patrimoniales. Y cuando se trate de una Persona Políticamente Expuesta con Grado de Riesgo alto —detectada antes o después del acto u operación—, obtener la aprobación de un directivo o su equivalente que consienta los actos u operaciones respectivos, o, si quien realiza la Actividad Vulnerable es persona física, dejar constancia de los motivos que consideró para realizarlos. La periodicidad y el nivel jerárquico concretos los fija el Manual de Políticas Internas.</w:t>
      </w:r>
    </w:p>
    <w:p>
      <w:pPr>
        <w:pStyle w:val="BodyText"/>
        <w:pBdr>
          <w:left w:val="single" w:sz="24" w:space="8" w:color="2E7D32"/>
        </w:pBdr>
        <w:ind w:left="220"/>
      </w:pPr>
      <w:r>
        <w:t xml:space="preserve">Los tres preceptos integran el Capítulo III Ter de las Reglas y deben observarse a partir de los actos u operaciones realizados el 1 de marzo de 2027, conforme al Transitorio Cuarto del ACUERDO 115/2026. Distinto es el Capítulo III Quáter, el de la lista de Personas Políticamente Expuestas, que no está comprendido en ese transitorio y rige desde el 30 de noviembre de 2026.</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arts. 23 Ter 3, 23 Ter 4, fracciones I a III, y 23 Ter 5; Transitorio Cuarto del ACUERDO 115/2026 (exigible a partir del 1 de marzo de 2027).</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96"/>
    <w:bookmarkStart w:id="97" w:name="Xdd848b73114c29da13fa40771d48ccbc0a23445"/>
    <w:p>
      <w:pPr>
        <w:pStyle w:val="Heading3"/>
        <w:pBdr>
          <w:left w:val="single" w:sz="24" w:space="8" w:color="C77700"/>
        </w:pBdr>
        <w:ind w:left="220"/>
      </w:pPr>
      <w:r>
        <w:t xml:space="preserve">64. ¿Debe acreditarse el origen de los recursos y cómo, cuando no hay antecedentes documentales, por ejemplo una herencia o una donación?</w:t>
      </w:r>
    </w:p>
    <w:p>
      <w:pPr>
        <w:pStyle w:val="FirstParagraph"/>
        <w:pBdr>
          <w:left w:val="single" w:sz="24" w:space="8" w:color="C77700"/>
        </w:pBdr>
        <w:ind w:left="220"/>
      </w:pPr>
      <w:r>
        <w:t xml:space="preserve">La norma exige considerar el origen y destino de los recursos como factor de Riesgo y como elemento del Perfil transaccional, y adoptar medidas reforzadas para conocerlo cuando el Grado de Riesgo sea alto, pero no establece un catálogo de documentos idóneos ni un estándar de suficiencia. En los casos con soporte —adjudicación hereditaria, contrato de donación— la documentación es directa. En los que carecen de antecedente, la práctica es documentar la declaración del Cliente y valorarla como factor de Riesgo: eso es criterio de la casa apoyado en estándares internacionales de debida diligencia, no texto.</w:t>
      </w:r>
    </w:p>
    <w:p>
      <w:pPr>
        <w:pStyle w:val="BodyText"/>
        <w:pBdr>
          <w:left w:val="single" w:sz="24" w:space="8" w:color="C77700"/>
        </w:pBdr>
        <w:ind w:left="220"/>
      </w:pPr>
      <w:r>
        <w:t xml:space="preserve">Los preceptos que se citan integran los Capítulos III Bis y III Ter de las Reglas, cuya observancia se difiere a los actos u operaciones realizados a partir del 1 de marzo de 2027 por el Transitorio Cuarto del ACUERDO 115/2026. Hoy no hay, pues, ni siquiera ese anclaje textual: la exigencia de conocer el origen de los recursos se sostiene en el deber general de identificación y conocimiento del Cliente o Usuaria del artículo 18, fracción I, de la Ley.</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RCG arts. 23 Bis 2, fracción II, 23 Ter 1, fracción III, y 23 Ter 4, fracción I, inciso a); Ley art. 18, fracción I; estándares internacionales de debida diligencia; Transitorio Cuarto del ACUERDO 115/2026 (exigible a partir del 1 de marzo de 2027).</w:t>
      </w:r>
      <w:r>
        <w:rPr>
          <w:sz w:val="19"/>
          <w:szCs w:val="19"/>
        </w:rPr>
        <w:t xml:space="preserve"> </w:t>
      </w:r>
      <w:r>
        <w:rPr>
          <w:rStyle w:val="Ambar"/>
          <w:sz w:val="19"/>
          <w:szCs w:val="19"/>
        </w:rPr>
        <w:t xml:space="preserve">· Ámbar · Recurrencia media</w:t>
      </w:r>
    </w:p>
    <w:p>
      <w:pPr>
        <w:spacing w:before="0" w:after="0" w:line="130" w:lineRule="exact"/>
        <w:rPr>
          <w:sz w:val="10"/>
          <w:szCs w:val="10"/>
        </w:rPr>
      </w:pPr>
    </w:p>
    <w:bookmarkEnd w:id="97"/>
    <w:bookmarkEnd w:id="98"/>
    <w:bookmarkStart w:id="110" w:name="avisos-e-informes"/>
    <w:p>
      <w:pPr>
        <w:pStyle w:val="Heading2"/>
      </w:pPr>
      <w:r>
        <w:t xml:space="preserve">10. Avisos e Informes</w:t>
      </w:r>
    </w:p>
    <w:bookmarkStart w:id="99" w:name="Xbc77a1ab95f090d34944b015b60911d55ae5f14"/>
    <w:p>
      <w:pPr>
        <w:pStyle w:val="Heading3"/>
        <w:pBdr>
          <w:left w:val="single" w:sz="24" w:space="8" w:color="2E7D32"/>
        </w:pBdr>
        <w:ind w:left="220"/>
      </w:pPr>
      <w:r>
        <w:t xml:space="preserve">65. ¿Sobre qué base se reporta el monto en el Aviso: bruto, neto o con impuestos?</w:t>
      </w:r>
    </w:p>
    <w:p>
      <w:pPr>
        <w:pStyle w:val="FirstParagraph"/>
        <w:pBdr>
          <w:left w:val="single" w:sz="24" w:space="8" w:color="2E7D32"/>
        </w:pBdr>
        <w:ind w:left="220"/>
      </w:pPr>
      <w:r>
        <w:t xml:space="preserve">El Reglamento lo resuelve y la regla tiene dos partes. Para determinar si el acto alcanza el umbral no deben considerarse las contribuciones ni los demás accesorios. Pero al presentar el Aviso deben reportarse los montos totales de los pagos recibidos, incluidos los relacionados con contribuciones, sin necesidad de desglosarlos. Es decir: el impuesto no cuenta para decidir si se avisa, pero sí forma parte del monto que se reporta. Para las restricciones al uso de efectivo la regla se invierte: ahí el cálculo sí incluye contribuciones y accesorios.</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Reglamento art. 6, párrafos primero y tercero; Ley art. 32.</w:t>
      </w:r>
      <w:r>
        <w:rPr>
          <w:sz w:val="19"/>
          <w:szCs w:val="19"/>
        </w:rPr>
        <w:t xml:space="preserve"> </w:t>
      </w:r>
      <w:r>
        <w:rPr>
          <w:rStyle w:val="Verde"/>
          <w:sz w:val="19"/>
          <w:szCs w:val="19"/>
        </w:rPr>
        <w:t xml:space="preserve">· Verde · Recurrencia alta</w:t>
      </w:r>
    </w:p>
    <w:p>
      <w:pPr>
        <w:spacing w:before="0" w:after="0" w:line="130" w:lineRule="exact"/>
        <w:rPr>
          <w:sz w:val="10"/>
          <w:szCs w:val="10"/>
        </w:rPr>
      </w:pPr>
    </w:p>
    <w:bookmarkEnd w:id="99"/>
    <w:bookmarkStart w:id="100" w:name="Xe763e6c5487d69a8e026e0bdcc10c016566b87f"/>
    <w:p>
      <w:pPr>
        <w:pStyle w:val="Heading3"/>
        <w:pBdr>
          <w:left w:val="single" w:sz="24" w:space="8" w:color="2E7D32"/>
        </w:pBdr>
        <w:ind w:left="220"/>
      </w:pPr>
      <w:r>
        <w:t xml:space="preserve">66. Si no hubo actos u operaciones objeto de Aviso en el mes, ¿debe presentarse algo?</w:t>
      </w:r>
    </w:p>
    <w:p>
      <w:pPr>
        <w:pStyle w:val="FirstParagraph"/>
        <w:pBdr>
          <w:left w:val="single" w:sz="24" w:space="8" w:color="2E7D32"/>
        </w:pBdr>
        <w:ind w:left="220"/>
      </w:pPr>
      <w:r>
        <w:t xml:space="preserve">Sí. Debe remitirse el informe correspondiente, en el mismo formato del Aviso, llenando sólo los campos de identificación de quien realiza la Actividad Vulnerable, el periodo y el señalamiento de que no hubo actos u operaciones objeto de Aviso. El Acuerdo añadió además un informe propio para quienes en el mes sólo realizaron actos u operaciones ubicados en alguno de los supuestos exceptuados —no únicamente los intragrupo—: mismo formato, campos equivalentes y señalamiento de que en el periodo correspondiente solamente se realizaron actos u operaciones que se ubican en los supuestos del artículo 27 Bis, sin que se exija precisar cuál de ellos. Si además se realizaron operaciones con quienes no integran el Grupo Empresarial, se presentan los Avisos que correspondan o, de no haberlos, el informe ordinario.</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arts. 25, primer párrafo, 25 Bis y 27 Bis; Reglamento art. 12, último párrafo.</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100"/>
    <w:bookmarkStart w:id="101" w:name="Xfcc232a56c277bb47c0214d0e49d55c8a687c74"/>
    <w:p>
      <w:pPr>
        <w:pStyle w:val="Heading3"/>
        <w:pBdr>
          <w:left w:val="single" w:sz="24" w:space="8" w:color="2E7D32"/>
        </w:pBdr>
        <w:ind w:left="220"/>
      </w:pPr>
      <w:r>
        <w:t xml:space="preserve">67. ¿Desde cuándo es exigible el Aviso por sospecha dentro de las 24 horas?</w:t>
      </w:r>
    </w:p>
    <w:p>
      <w:pPr>
        <w:pStyle w:val="FirstParagraph"/>
        <w:pBdr>
          <w:left w:val="single" w:sz="24" w:space="8" w:color="2E7D32"/>
        </w:pBdr>
        <w:ind w:left="220"/>
      </w:pPr>
      <w:r>
        <w:t xml:space="preserve">No hay fecha cierta, y hay dos condicionamientos acumulados. El Transitorio Quinto del Acuerdo está redactado como habilitación —«podrán realizar el envío»— de los Avisos de los artículos 26 Bis, 26 Bis 1, 26 Bis 2 y 27, segundo párrafo, seis meses después de que entre en vigor la Resolución que modifique la de formatos oficiales y prevea su identificación expresa. Y el decreto que reformó el Reglamento el 27 de marzo de 2026 sujeta además la presentación de este Aviso a que los Anexos de esa Resolución se actualicen y abarquen los escenarios de la Ley, sin fijar plazo. Debe subrayarse el alcance: lo condicionado es el envío, no la obligación sustantiva de detectar, analizar y dejar constancia.</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Transitorio Quinto del ACUERDO 115/2026; RCG arts. 26 Bis, 26 Bis 1, 26 Bis 2 y 27, segundo párrafo; Reglamento art. 7 Bis y Transitorio Quinto del decreto publicado el 27 de marzo de 2026.</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101"/>
    <w:bookmarkStart w:id="102" w:name="X21dd2cbea6c8b368166c9ce06b818b6844fd883"/>
    <w:p>
      <w:pPr>
        <w:pStyle w:val="Heading3"/>
        <w:pBdr>
          <w:left w:val="single" w:sz="24" w:space="8" w:color="2E7D32"/>
        </w:pBdr>
        <w:ind w:left="220"/>
      </w:pPr>
      <w:r>
        <w:t xml:space="preserve">68. ¿Desde cuándo corren las 24 horas del Aviso por sospecha?</w:t>
      </w:r>
    </w:p>
    <w:p>
      <w:pPr>
        <w:pStyle w:val="FirstParagraph"/>
        <w:pBdr>
          <w:left w:val="single" w:sz="24" w:space="8" w:color="2E7D32"/>
        </w:pBdr>
        <w:ind w:left="220"/>
      </w:pPr>
      <w:r>
        <w:t xml:space="preserve">Desde que quien realiza la Actividad Vulnerable</w:t>
      </w:r>
      <w:r>
        <w:t xml:space="preserve"> </w:t>
      </w:r>
      <w:r>
        <w:rPr>
          <w:bCs/>
          <w:b/>
        </w:rPr>
        <w:t xml:space="preserve">reconoce</w:t>
      </w:r>
      <w:r>
        <w:t xml:space="preserve"> </w:t>
      </w:r>
      <w:r>
        <w:t xml:space="preserve">una actividad, conducta o comportamiento del Cliente o Usuaria que resulta inusitado en la realización de esos actos u operaciones y que podría vincularse con los delitos. La información recabada para la identificación del Cliente y las características con las que comúnmente se llevan a cabo esos actos son el insumo de la valoración, no el hecho detonante; dentro de esas características deben considerarse al menos los montos, la frecuencia, las formas de pago, los periodos e instrumentos de pago, el área geográfica y el tipo o naturaleza del acto u operación.</w:t>
      </w:r>
    </w:p>
    <w:p>
      <w:pPr>
        <w:pStyle w:val="BodyText"/>
        <w:pBdr>
          <w:left w:val="single" w:sz="24" w:space="8" w:color="2E7D32"/>
        </w:pBdr>
        <w:ind w:left="220"/>
      </w:pPr>
      <w:r>
        <w:t xml:space="preserve">Hay que separar dos supuestos que la norma trata distinto. Cuando el acto</w:t>
      </w:r>
      <w:r>
        <w:t xml:space="preserve"> </w:t>
      </w:r>
      <w:r>
        <w:rPr>
          <w:bCs/>
          <w:b/>
        </w:rPr>
        <w:t xml:space="preserve">no se celebró</w:t>
      </w:r>
      <w:r>
        <w:t xml:space="preserve">, el Aviso no es potestativo: la Ley ordena presentarlo «incluso si el acto u operación no se celebró» y el Reglamento lo reitera en imperativo —«se presentará aunque el acto u operación no se haya celebrado»—, bastando que se cuente con los datos que identifiquen a quien intentó llevarlo a cabo. Lo que las Reglas formulan como facultad —«se podrán enviar»— es el envío cuando el acto sí se celebró pero no alcanza el monto o la condición de Aviso del artículo 17 de la Ley. La redacción potestativa del artículo 26 Bis 2 no puede leerse como dispensa del deber que la Ley y el Reglamento ya imponen. Conviene además no confundir este Aviso con el Aviso por hechos o indicios del artículo 26 Bis 1, cuyo plazo también es de 24 horas pero cuyo detonante es distinto: no el reconocimiento de una conducta inusitada del Cliente o Usuaria, sino el conocimiento de una acción, evento o acontecimiento obtenido de otras fuentes públicas o privadas.</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 18, fracción VI, segundo párrafo; Reglamento art. 7 Bis; RCG art. 26 Bis, primero y segundo párrafos, art. 26 Bis 1 y art. 26 Bis 2.</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02"/>
    <w:bookmarkStart w:id="103" w:name="qué-operaciones-no-son-objeto-de-aviso"/>
    <w:p>
      <w:pPr>
        <w:pStyle w:val="Heading3"/>
        <w:pBdr>
          <w:left w:val="single" w:sz="24" w:space="8" w:color="2E7D32"/>
        </w:pBdr>
        <w:ind w:left="220"/>
      </w:pPr>
      <w:r>
        <w:t xml:space="preserve">69. ¿Qué operaciones no son objeto de Aviso?</w:t>
      </w:r>
    </w:p>
    <w:p>
      <w:pPr>
        <w:pStyle w:val="FirstParagraph"/>
        <w:pBdr>
          <w:left w:val="single" w:sz="24" w:space="8" w:color="2E7D32"/>
        </w:pBdr>
        <w:ind w:left="220"/>
      </w:pPr>
      <w:r>
        <w:t xml:space="preserve">Las del catálogo del artículo 27 Bis, que ya existía y que el Acuerdo no modificó: determinadas operaciones de mutuo, préstamo o crédito entre personas morales de un mismo Grupo Empresarial o con cargo a recursos de sus trabajadores; los fideicomisos públicos ahí descritos y las operaciones de mutuo, garantía, préstamo o crédito a Instituciones del Sistema Financiero; la primera venta de inmuebles con recursos de banca de desarrollo u organismos públicos de vivienda; la comercialización de vehículos terrestres entre armadoras y sus distribuidores, franquiciatarios o concesionarios autorizados; y el arrendamiento intragrupo. En todos los casos con las condiciones de pago que el propio artículo precisa —ministración o cobertura por conducto de Instituciones del Sistema Financiero—, salvo el arrendamiento intragrupo, donde basta además que no exista un flujo de recursos. Lo que el Acuerdo sí añadió es el informe del artículo 25 Bis para quien en el mes sólo realizó operaciones de este catálogo.</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27 Bis, fracciones I a V; Ley art. 17, último párrafo.</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03"/>
    <w:bookmarkStart w:id="104" w:name="X867b0728e02012aaded4fe6ac736c0be1905d91"/>
    <w:p>
      <w:pPr>
        <w:pStyle w:val="Heading3"/>
        <w:pBdr>
          <w:left w:val="single" w:sz="24" w:space="8" w:color="C77700"/>
        </w:pBdr>
        <w:ind w:left="220"/>
      </w:pPr>
      <w:r>
        <w:t xml:space="preserve">70. Si se detecta un error en un Aviso ya presentado, ¿puede corregirse?</w:t>
      </w:r>
    </w:p>
    <w:p>
      <w:pPr>
        <w:pStyle w:val="FirstParagraph"/>
        <w:pBdr>
          <w:left w:val="single" w:sz="24" w:space="8" w:color="C77700"/>
        </w:pBdr>
        <w:ind w:left="220"/>
      </w:pPr>
      <w:r>
        <w:t xml:space="preserve">En la práctica sí, mediante Aviso modificatorio presentado por el Portal en los términos del formato oficial, pero conviene decir de dónde no viene ese fundamento. Las Reglas no regulan la figura: lo único que su Capítulo IV establece en materia de corrección es lo contrario, la imposibilidad de modificar el informe sin operaciones una vez enviado. Y el Reglamento tampoco lo regula: los dos primeros párrafos de su artículo 17 fueron derogados el 27 de marzo de 2026, y el único párrafo que subsiste no trata de la modificación de Avisos sino de la vía de presentación de los Avisos de las personas notarias. Citar hoy ese artículo como fundamento del Aviso modificatorio es citar texto derogado o texto ajeno a la figura. La corrección se sostiene en el formato oficial y en el principio de que quien puede presentar puede rectificar, no en un precepto que la establezca.</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Por contraste, RCG art. 25, segundo párrafo; Reglamento art. 17, párrafos primero y segundo, derogados el 27 de marzo de 2026; ausencia de disposición vigente que regule el Aviso modificatorio.</w:t>
      </w:r>
      <w:r>
        <w:rPr>
          <w:sz w:val="19"/>
          <w:szCs w:val="19"/>
        </w:rPr>
        <w:t xml:space="preserve"> </w:t>
      </w:r>
      <w:r>
        <w:rPr>
          <w:rStyle w:val="Ambar"/>
          <w:sz w:val="19"/>
          <w:szCs w:val="19"/>
        </w:rPr>
        <w:t xml:space="preserve">· Ámbar · Recurrencia media</w:t>
      </w:r>
    </w:p>
    <w:p>
      <w:pPr>
        <w:spacing w:before="0" w:after="0" w:line="130" w:lineRule="exact"/>
        <w:rPr>
          <w:sz w:val="10"/>
          <w:szCs w:val="10"/>
        </w:rPr>
      </w:pPr>
    </w:p>
    <w:bookmarkEnd w:id="104"/>
    <w:bookmarkStart w:id="105" w:name="X3003cd9bc9c5af12556849a860d359d0f0bfdad"/>
    <w:p>
      <w:pPr>
        <w:pStyle w:val="Heading3"/>
        <w:pBdr>
          <w:left w:val="single" w:sz="24" w:space="8" w:color="C77700"/>
        </w:pBdr>
        <w:ind w:left="220"/>
      </w:pPr>
      <w:r>
        <w:t xml:space="preserve">71. ¿Qué consecuencia tiene presentar un Aviso que no debía presentarse?</w:t>
      </w:r>
    </w:p>
    <w:p>
      <w:pPr>
        <w:pStyle w:val="FirstParagraph"/>
        <w:pBdr>
          <w:left w:val="single" w:sz="24" w:space="8" w:color="C77700"/>
        </w:pBdr>
        <w:ind w:left="220"/>
      </w:pPr>
      <w:r>
        <w:t xml:space="preserve">Ninguna prevista. El catálogo de infracciones es cerrado y tipifica la omisión, la presentación extemporánea, la presentación sin los requisitos del artículo 24 y el incumplimiento de las obligaciones del artículo 18, pero no la presentación innecesaria. Aplicado el principio de tipicidad —lo no tipificado no se sanciona—, no hay sanción administrativa por ese hecho. La respuesta se apoya en ese principio y no en una disposición que declare inocua la presentación innecesaria. La conclusión es administrativa: si el Aviso innecesario incorporara información, documentación, datos o imágenes falsos, alterados o ilegibles que impidan el conocimiento efectivo de su contenido, el plano aplicable ya no es el del artículo 53 sino el del artículo 62 de la Ley.</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Ley arts. 53 y 54; principio de tipicidad; ausencia de tipificación del supuesto; por contraste, Ley art. 62.</w:t>
      </w:r>
      <w:r>
        <w:rPr>
          <w:sz w:val="19"/>
          <w:szCs w:val="19"/>
        </w:rPr>
        <w:t xml:space="preserve"> </w:t>
      </w:r>
      <w:r>
        <w:rPr>
          <w:rStyle w:val="Ambar"/>
          <w:sz w:val="19"/>
          <w:szCs w:val="19"/>
        </w:rPr>
        <w:t xml:space="preserve">· Ámbar · Recurrencia baja</w:t>
      </w:r>
    </w:p>
    <w:p>
      <w:pPr>
        <w:spacing w:before="0" w:after="0" w:line="130" w:lineRule="exact"/>
        <w:rPr>
          <w:sz w:val="10"/>
          <w:szCs w:val="10"/>
        </w:rPr>
      </w:pPr>
    </w:p>
    <w:bookmarkEnd w:id="105"/>
    <w:bookmarkStart w:id="106" w:name="X98aaa0f52ccc322b00055eb445d4f3194adcd30"/>
    <w:p>
      <w:pPr>
        <w:pStyle w:val="Heading3"/>
        <w:pBdr>
          <w:left w:val="single" w:sz="24" w:space="8" w:color="C77700"/>
        </w:pBdr>
        <w:ind w:left="220"/>
      </w:pPr>
      <w:r>
        <w:t xml:space="preserve">72. Si otra área entrega información incorrecta o incompleta y por ello el Aviso se presenta mal, ¿quién responde?</w:t>
      </w:r>
    </w:p>
    <w:p>
      <w:pPr>
        <w:pStyle w:val="FirstParagraph"/>
        <w:pBdr>
          <w:left w:val="single" w:sz="24" w:space="8" w:color="C77700"/>
        </w:pBdr>
        <w:ind w:left="220"/>
      </w:pPr>
      <w:r>
        <w:t xml:space="preserve">Frente a la autoridad, quien realiza la Actividad Vulnerable: la norma no distribuye responsabilidad entre áreas internas y la obligación es del sujeto obligado. Hacia adentro, el instrumento donde se fija el perímetro de cada rol es el Manual de Políticas Internas, que debe contener los procedimientos para la presentación de Avisos e Informes y las funciones y responsabilidades de la persona Representante Encargada de Cumplimiento. Los mecanismos automatizados y la rectificación del Aviso son las vías de mitigación disponibles. Lo que la norma no resuelve es el efecto liberatorio de esa delimitación interna frente a la autoridad.</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RCG art. 37 Bis, fracciones VI y X, y art. 41; Ley arts. 18 y 20; ausencia de regla de imputación interna.</w:t>
      </w:r>
      <w:r>
        <w:rPr>
          <w:sz w:val="19"/>
          <w:szCs w:val="19"/>
        </w:rPr>
        <w:t xml:space="preserve"> </w:t>
      </w:r>
      <w:r>
        <w:rPr>
          <w:rStyle w:val="Ambar"/>
          <w:sz w:val="19"/>
          <w:szCs w:val="19"/>
        </w:rPr>
        <w:t xml:space="preserve">· Ámbar · Recurrencia media</w:t>
      </w:r>
    </w:p>
    <w:p>
      <w:pPr>
        <w:spacing w:before="0" w:after="0" w:line="130" w:lineRule="exact"/>
        <w:rPr>
          <w:sz w:val="10"/>
          <w:szCs w:val="10"/>
        </w:rPr>
      </w:pPr>
    </w:p>
    <w:bookmarkEnd w:id="106"/>
    <w:bookmarkStart w:id="107" w:name="Xfedf85f8a66b68114e0aec4c9afaf45d7d1b8c1"/>
    <w:p>
      <w:pPr>
        <w:pStyle w:val="Heading3"/>
        <w:pBdr>
          <w:left w:val="single" w:sz="24" w:space="8" w:color="2E7D32"/>
        </w:pBdr>
        <w:ind w:left="220"/>
      </w:pPr>
      <w:r>
        <w:t xml:space="preserve">73. ¿Cuál es el plazo general para presentar los Avisos?</w:t>
      </w:r>
    </w:p>
    <w:p>
      <w:pPr>
        <w:pStyle w:val="FirstParagraph"/>
        <w:pBdr>
          <w:left w:val="single" w:sz="24" w:space="8" w:color="2E7D32"/>
        </w:pBdr>
        <w:ind w:left="220"/>
      </w:pPr>
      <w:r>
        <w:t xml:space="preserve">A más tardar el día 17 del mes inmediato siguiente a aquel en que se hubiera llevado a cabo la operación que dé origen al Aviso. El plazo está en el artículo 23 de la Ley, no en el 17, que es el que enumera las Actividades Vulnerables y sus umbrales. La Secretaría puede establecer excepciones a ese plazo mediante acuerdo publicado en el Diario Oficial de la Federación. El Acuerdo precisó además, por Actividad Vulnerable, cuál es la fecha del acto u operación desde la que se inicia el conteo, y aclaró que el Aviso puede presentarse desde esa misma fecha. Las personas notarias, tratándose de los actos del artículo 17, fracción XII, Apartado A, inciso a), presentan el Aviso en todos los casos por el sistema electrónico de declaraciones fiscales federales y en los plazos que esas disposiciones señalen.</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 23, párrafos primero y segundo; RCG art. 24 Bis, fracciones I a IX y último párrafo; Reglamento arts. 5 y 17, párrafo vigente (sus dos primeros párrafos fueron derogados el 27 de marzo de 2026).</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107"/>
    <w:bookmarkStart w:id="108" w:name="X49436ed89c5db9e09b57bdc431117339b4cca87"/>
    <w:p>
      <w:pPr>
        <w:pStyle w:val="Heading3"/>
        <w:pBdr>
          <w:left w:val="single" w:sz="24" w:space="8" w:color="2E7D32"/>
        </w:pBdr>
        <w:ind w:left="220"/>
      </w:pPr>
      <w:r>
        <w:t xml:space="preserve">74. ¿Por cuánto tiempo deben conservarse los Avisos, su soporte y los acuses?</w:t>
      </w:r>
    </w:p>
    <w:p>
      <w:pPr>
        <w:pStyle w:val="FirstParagraph"/>
        <w:pBdr>
          <w:left w:val="single" w:sz="24" w:space="8" w:color="2E7D32"/>
        </w:pBdr>
        <w:ind w:left="220"/>
      </w:pPr>
      <w:r>
        <w:t xml:space="preserve">Diez años en ambos ordenamientos, pero contados desde momentos distintos y conviene no mezclarlos. El Reglamento, para la copia de los Avisos e Informes, su documentación soporte y los acuses electrónicos, cuenta el plazo desde la presentación del Aviso o Informe y desde la emisión del acuse. La Ley, para la información y documentación soporte de la Actividad Vulnerable, lo cuenta desde la fecha de realización de la Actividad Vulnerable, exige conservarla en el domicilio registrado ante la Secretaría —salvo la fracción XIV del artículo 17— y prevé que el plazo se interrumpe al presentarse recurso o juicio y se reinicia cuando la resolución definitiva quede firme. La conservación puede ser física o electrónica y debe cumplir criterios de integridad, disponibilidad, auditabilidad y confidencialidad.</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Reglamento art. 20 y Transitorio Séptimo del decreto publicado el 27 de marzo de 2026; Ley art. 18, fracción IV, párrafos primero y segundo.</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08"/>
    <w:bookmarkStart w:id="109" w:name="X9dd536ea2a71b2a86dfd378adfc9255e7b95d8e"/>
    <w:p>
      <w:pPr>
        <w:pStyle w:val="Heading3"/>
        <w:pBdr>
          <w:left w:val="single" w:sz="24" w:space="8" w:color="2E7D32"/>
        </w:pBdr>
        <w:ind w:left="220"/>
      </w:pPr>
      <w:r>
        <w:t xml:space="preserve">75. Una vez enviado el informe de que no hubo operaciones objeto de Aviso, ¿puede corregirse?</w:t>
      </w:r>
    </w:p>
    <w:p>
      <w:pPr>
        <w:pStyle w:val="FirstParagraph"/>
        <w:pBdr>
          <w:left w:val="single" w:sz="24" w:space="8" w:color="2E7D32"/>
        </w:pBdr>
        <w:ind w:left="220"/>
      </w:pPr>
      <w:r>
        <w:t xml:space="preserve">No. El informe no puede modificarse ni eliminarse una vez enviado por el Portal en Internet. Si después se identifica que sí se realizó un acto u operación objeto de Aviso, debe presentarse el Aviso correspondiente, sin perjuicio de que la autoridad competente determine si la obligación se cumplió dentro del plazo máximo previsto por el artículo 23 de la Ley. Ese es el criterio con el que se medirá la extemporaneidad.</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25, primero y segundo párrafos; Ley art. 23.</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09"/>
    <w:bookmarkEnd w:id="110"/>
    <w:bookmarkStart w:id="118" w:name="Xb9f23b6a8ba1b887f9340f5f7f58510a9bd596b"/>
    <w:p>
      <w:pPr>
        <w:pStyle w:val="Heading2"/>
      </w:pPr>
      <w:r>
        <w:t xml:space="preserve">11. Manual de Políticas Internas y delimitación de funciones</w:t>
      </w:r>
    </w:p>
    <w:bookmarkStart w:id="111" w:name="Xa8f75ab564d4b8737c5830d940137ba339d4f7c"/>
    <w:p>
      <w:pPr>
        <w:pStyle w:val="Heading3"/>
        <w:pBdr>
          <w:left w:val="single" w:sz="24" w:space="8" w:color="2E7D32"/>
        </w:pBdr>
        <w:ind w:left="220"/>
      </w:pPr>
      <w:r>
        <w:t xml:space="preserve">76. ¿Quiénes deben contar con Manual de Políticas Internas y desde cuándo?</w:t>
      </w:r>
    </w:p>
    <w:p>
      <w:pPr>
        <w:pStyle w:val="FirstParagraph"/>
        <w:pBdr>
          <w:left w:val="single" w:sz="24" w:space="8" w:color="2E7D32"/>
        </w:pBdr>
        <w:ind w:left="220"/>
      </w:pPr>
      <w:r>
        <w:t xml:space="preserve">Quienes realicen Actividades Vulnerables, a los noventa días naturales del alta y registro. La obligación nace de la Ley, que exige elaborar y observar un Manual con los criterios, medidas y procedimientos necesarios para cumplir con sus obligaciones, incluidos los que permitan identificar y dar seguimiento a los actos u operaciones con Personas Políticamente Expuestas. Para quienes ya agotaron ese plazo de noventa días, el Manual que incluya la metodología de evaluación de Riesgos es exigible a partir del 1 de marzo de 2027.</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 18, fracción VIII; RCG art. 37; Transitorio Tercero del ACUERDO 115/2026.</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111"/>
    <w:bookmarkStart w:id="112" w:name="qué-debe-contener-el-manual"/>
    <w:p>
      <w:pPr>
        <w:pStyle w:val="Heading3"/>
        <w:pBdr>
          <w:left w:val="single" w:sz="24" w:space="8" w:color="2E7D32"/>
        </w:pBdr>
        <w:ind w:left="220"/>
      </w:pPr>
      <w:r>
        <w:t xml:space="preserve">77. ¿Qué debe contener el Manual?</w:t>
      </w:r>
    </w:p>
    <w:p>
      <w:pPr>
        <w:pStyle w:val="FirstParagraph"/>
        <w:pBdr>
          <w:left w:val="single" w:sz="24" w:space="8" w:color="2E7D32"/>
        </w:pBdr>
        <w:ind w:left="220"/>
      </w:pPr>
      <w:r>
        <w:t xml:space="preserve">El Acuerdo fijó por primera vez un contenido mínimo detallado, de catorce apartados: criterios de identificación y conocimiento del Cliente; mecanismos de clasificación de Riesgo; medidas de debida diligencia por Grado de Riesgo; procedimientos de identificación y seguimiento reforzado de Personas Políticamente Expuestas; mecanismos para detectar desviaciones del Perfil transaccional; procedimientos de presentación de Avisos e Informes; conservación de información; acumulación de operaciones; identificación de personas incluidas en listas; funciones y responsabilidades de la persona Representante Encargada de Cumplimiento; programas de capacitación; mecanismos de control interno, supervisión y auditoría; confidencialidad; y actualización del propio Manual.</w:t>
      </w:r>
    </w:p>
    <w:p>
      <w:pPr>
        <w:pStyle w:val="BodyText"/>
        <w:pBdr>
          <w:left w:val="single" w:sz="24" w:space="8" w:color="2E7D32"/>
        </w:pBdr>
        <w:ind w:left="220"/>
      </w:pPr>
      <w:r>
        <w:t xml:space="preserve">A ello se suman, en otros preceptos de las mismas Reglas, el diseño de la metodología de Riesgos, los criterios y procedimientos de identificación del Beneficiario Controlador y, para grupos empresariales, las políticas y mecanismos centralizados aplicables a sucursales y filiales de propiedad mayoritaria, incluidas las extranjeras.</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37 Bis, fracciones I a XIV; art. 37, tercer párrafo; art. 23 Quinquies; art. 37 Bis 1; Ley art. 18, fracción VIII.</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112"/>
    <w:bookmarkStart w:id="113" w:name="Xe1d8a0b39a272f199ba09d8047f150d98894328"/>
    <w:p>
      <w:pPr>
        <w:pStyle w:val="Heading3"/>
        <w:pBdr>
          <w:left w:val="single" w:sz="24" w:space="8" w:color="C77700"/>
        </w:pBdr>
        <w:ind w:left="220"/>
      </w:pPr>
      <w:r>
        <w:t xml:space="preserve">78. ¿Toda sociedad mercantil debe contar con Manual, o sólo quien realiza Actividad Vulnerable?</w:t>
      </w:r>
    </w:p>
    <w:p>
      <w:pPr>
        <w:pStyle w:val="FirstParagraph"/>
        <w:pBdr>
          <w:left w:val="single" w:sz="24" w:space="8" w:color="C77700"/>
        </w:pBdr>
        <w:ind w:left="220"/>
      </w:pPr>
      <w:r>
        <w:t xml:space="preserve">Sólo quien realiza Actividad Vulnerable, con independencia de su forma societaria: una sociedad mercantil que no realiza ninguna de las actividades del artículo 17 de la Ley no debe Manual, y una persona moral no lucrativa que sí la realiza, sí.</w:t>
      </w:r>
    </w:p>
    <w:p>
      <w:pPr>
        <w:pStyle w:val="BodyText"/>
        <w:pBdr>
          <w:left w:val="single" w:sz="24" w:space="8" w:color="C77700"/>
        </w:pBdr>
        <w:ind w:left="220"/>
      </w:pPr>
      <w:r>
        <w:t xml:space="preserve">Conviene precisar de dónde nace la obligación, porque se presta a un error costoso: nace de</w:t>
      </w:r>
      <w:r>
        <w:t xml:space="preserve"> </w:t>
      </w:r>
      <w:r>
        <w:rPr>
          <w:bCs/>
          <w:b/>
        </w:rPr>
        <w:t xml:space="preserve">realizar</w:t>
      </w:r>
      <w:r>
        <w:t xml:space="preserve"> </w:t>
      </w:r>
      <w:r>
        <w:t xml:space="preserve">la Actividad Vulnerable, no de estar inscrito en el padrón. El alta y registro es una obligación más, consecuencia de realizar la actividad, no condición de las demás. Quien realiza Actividad Vulnerable y no se ha dado de alta no está exento del Manual: está incumpliendo el alta además de lo demás. El plazo de noventa días se cuenta desde el alta y registro porque ése es el momento en que ordinariamente debió practicarse; qué ocurre con ese cómputo cuando el alta nunca se hizo es algo que el texto no resuelve.</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RCG art. 37; Ley arts. 17 y 18, fracciones IV Bis y VIII; Reglamento art. 12; ausencia de regla sobre el cómputo del plazo en ausencia de alta.</w:t>
      </w:r>
      <w:r>
        <w:rPr>
          <w:sz w:val="19"/>
          <w:szCs w:val="19"/>
        </w:rPr>
        <w:t xml:space="preserve"> </w:t>
      </w:r>
      <w:r>
        <w:rPr>
          <w:rStyle w:val="Ambar"/>
          <w:sz w:val="19"/>
          <w:szCs w:val="19"/>
        </w:rPr>
        <w:t xml:space="preserve">· Ámbar · Recurrencia baja</w:t>
      </w:r>
    </w:p>
    <w:p>
      <w:pPr>
        <w:spacing w:before="0" w:after="0" w:line="130" w:lineRule="exact"/>
        <w:rPr>
          <w:sz w:val="10"/>
          <w:szCs w:val="10"/>
        </w:rPr>
      </w:pPr>
    </w:p>
    <w:bookmarkEnd w:id="113"/>
    <w:bookmarkStart w:id="114" w:name="X2905898fe5b8844de835d336bd9a69a13cf65ea"/>
    <w:p>
      <w:pPr>
        <w:pStyle w:val="Heading3"/>
        <w:pBdr>
          <w:left w:val="single" w:sz="24" w:space="8" w:color="C77700"/>
        </w:pBdr>
        <w:ind w:left="220"/>
      </w:pPr>
      <w:r>
        <w:t xml:space="preserve">79. ¿Debe el Manual delimitar qué corresponde al órgano de administración y qué a la persona Representante?</w:t>
      </w:r>
    </w:p>
    <w:p>
      <w:pPr>
        <w:pStyle w:val="FirstParagraph"/>
        <w:pBdr>
          <w:left w:val="single" w:sz="24" w:space="8" w:color="C77700"/>
        </w:pBdr>
        <w:ind w:left="220"/>
      </w:pPr>
      <w:r>
        <w:t xml:space="preserve">Una mitad sí, y es contenido mínimo obligatorio: el Manual debe contener las funciones y responsabilidades de la persona Representante Encargada de Cumplimiento a que se refiere el artículo 20 de la Ley. No es construcción defensiva ni cláusula opcional.</w:t>
      </w:r>
    </w:p>
    <w:p>
      <w:pPr>
        <w:pStyle w:val="BodyText"/>
        <w:pBdr>
          <w:left w:val="single" w:sz="24" w:space="8" w:color="C77700"/>
        </w:pBdr>
        <w:ind w:left="220"/>
      </w:pPr>
      <w:r>
        <w:t xml:space="preserve">La otra mitad no está exigida. Ninguna disposición obliga a que el Manual delimite además, por contraste, qué corresponde al órgano de administración, ni fija el contenido de esa delimitación. La Ley sólo aporta el punto de partida al trasladar el cumplimiento, cuando no hay Representante o la designación no fue aceptada, a los integrantes del órgano de administración o a quien funja como administrador único de la persona moral y, tratándose de fideicomisos u otras figuras jurídicas, a la parte fideicomitente o su representante, o a quien funja como administrador. Documentar ese reverso es prudente, pero es criterio de la casa.</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RCG art. 37 Bis, fracción X, y art. 37; Ley art. 20, segundo párrafo; ausencia de disposición sobre la delimitación respecto del órgano de administración.</w:t>
      </w:r>
      <w:r>
        <w:rPr>
          <w:sz w:val="19"/>
          <w:szCs w:val="19"/>
        </w:rPr>
        <w:t xml:space="preserve"> </w:t>
      </w:r>
      <w:r>
        <w:rPr>
          <w:rStyle w:val="Ambar"/>
          <w:sz w:val="19"/>
          <w:szCs w:val="19"/>
        </w:rPr>
        <w:t xml:space="preserve">· Ámbar · Recurrencia media</w:t>
      </w:r>
    </w:p>
    <w:p>
      <w:pPr>
        <w:spacing w:before="0" w:after="0" w:line="130" w:lineRule="exact"/>
        <w:rPr>
          <w:sz w:val="10"/>
          <w:szCs w:val="10"/>
        </w:rPr>
      </w:pPr>
    </w:p>
    <w:bookmarkEnd w:id="114"/>
    <w:bookmarkStart w:id="115" w:name="Xc1b903383e1677e1832581858dac4795faaabda"/>
    <w:p>
      <w:pPr>
        <w:pStyle w:val="Heading3"/>
        <w:pBdr>
          <w:left w:val="single" w:sz="24" w:space="8" w:color="C77700"/>
        </w:pBdr>
        <w:ind w:left="220"/>
      </w:pPr>
      <w:r>
        <w:t xml:space="preserve">80. ¿Existe la figura del Comité de Comunicación y Control?</w:t>
      </w:r>
    </w:p>
    <w:p>
      <w:pPr>
        <w:pStyle w:val="FirstParagraph"/>
        <w:pBdr>
          <w:left w:val="single" w:sz="24" w:space="8" w:color="C77700"/>
        </w:pBdr>
        <w:ind w:left="220"/>
      </w:pPr>
      <w:r>
        <w:t xml:space="preserve">No existe en este régimen. La Ley, el Reglamento y las Reglas no la prevén, no la regulan y tampoco la prohíben, de modo que la respuesta se sostiene en la ausencia de disposición y en el principio de que lo no prohibido a los particulares está permitido. Es una figura del régimen financiero cuya adopción aquí es una buena práctica de gobierno, razonable en entidades de mayor complejidad y prescindible en operaciones pequeñas.</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Ausencia de disposición en Ley, Reglamento y RCG; por analogía, régimen financiero.</w:t>
      </w:r>
      <w:r>
        <w:rPr>
          <w:sz w:val="19"/>
          <w:szCs w:val="19"/>
        </w:rPr>
        <w:t xml:space="preserve"> </w:t>
      </w:r>
      <w:r>
        <w:rPr>
          <w:rStyle w:val="Ambar"/>
          <w:sz w:val="19"/>
          <w:szCs w:val="19"/>
        </w:rPr>
        <w:t xml:space="preserve">· Ámbar · Recurrencia media</w:t>
      </w:r>
    </w:p>
    <w:p>
      <w:pPr>
        <w:spacing w:before="0" w:after="0" w:line="130" w:lineRule="exact"/>
        <w:rPr>
          <w:sz w:val="10"/>
          <w:szCs w:val="10"/>
        </w:rPr>
      </w:pPr>
    </w:p>
    <w:bookmarkEnd w:id="115"/>
    <w:bookmarkStart w:id="116" w:name="X0603623ca012188a2433fdb6371d24e1f87d0ca"/>
    <w:p>
      <w:pPr>
        <w:pStyle w:val="Heading3"/>
        <w:pBdr>
          <w:left w:val="single" w:sz="24" w:space="8" w:color="C77700"/>
        </w:pBdr>
        <w:ind w:left="220"/>
      </w:pPr>
      <w:r>
        <w:t xml:space="preserve">81. ¿Puede sustituirse un comité por acuerdos del Consejo de Administración documentados en actas mensuales?</w:t>
      </w:r>
    </w:p>
    <w:p>
      <w:pPr>
        <w:pStyle w:val="FirstParagraph"/>
        <w:pBdr>
          <w:left w:val="single" w:sz="24" w:space="8" w:color="C77700"/>
        </w:pBdr>
        <w:ind w:left="220"/>
      </w:pPr>
      <w:r>
        <w:t xml:space="preserve">La norma no exige comité ni ningún órgano colegiado, de modo que tampoco exige una forma determinada de deliberar: documentar las decisiones en actas del Consejo es una opción disponible. Lo que sí resulta exigible es que las decisiones en materia de cumplimiento, su seguimiento y su resultado queden documentados y sean atribuibles a quien las tomó. La forma es libre; la evidencia no. Que las actas basten dependerá de que registren análisis y decisiones y no sólo la presentación del punto, valoración que la norma no hace y que es criterio de la casa.</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Ausencia de órgano colegiado obligatorio; RCG art. 37 Bis, fracción XII.</w:t>
      </w:r>
      <w:r>
        <w:rPr>
          <w:sz w:val="19"/>
          <w:szCs w:val="19"/>
        </w:rPr>
        <w:t xml:space="preserve"> </w:t>
      </w:r>
      <w:r>
        <w:rPr>
          <w:rStyle w:val="Ambar"/>
          <w:sz w:val="19"/>
          <w:szCs w:val="19"/>
        </w:rPr>
        <w:t xml:space="preserve">· Ámbar · Recurrencia baja</w:t>
      </w:r>
    </w:p>
    <w:p>
      <w:pPr>
        <w:spacing w:before="0" w:after="0" w:line="130" w:lineRule="exact"/>
        <w:rPr>
          <w:sz w:val="10"/>
          <w:szCs w:val="10"/>
        </w:rPr>
      </w:pPr>
    </w:p>
    <w:bookmarkEnd w:id="116"/>
    <w:bookmarkStart w:id="117" w:name="X50edc2ce7b858da71b9ac0cd88aa806c7997877"/>
    <w:p>
      <w:pPr>
        <w:pStyle w:val="Heading3"/>
        <w:pBdr>
          <w:left w:val="single" w:sz="24" w:space="8" w:color="C77700"/>
        </w:pBdr>
        <w:ind w:left="220"/>
      </w:pPr>
      <w:r>
        <w:t xml:space="preserve">82. ¿Conviene fijar las funciones del Representante en el perfil de puesto o en el contrato laboral?</w:t>
      </w:r>
    </w:p>
    <w:p>
      <w:pPr>
        <w:pStyle w:val="FirstParagraph"/>
        <w:pBdr>
          <w:left w:val="single" w:sz="24" w:space="8" w:color="C77700"/>
        </w:pBdr>
        <w:ind w:left="220"/>
      </w:pPr>
      <w:r>
        <w:t xml:space="preserve">Puede hacerse y aporta claridad interna, pero el instrumento que la autoridad verifica es el Manual de Políticas Internas: es ahí donde las Reglas ordenan que consten las funciones y responsabilidades de la persona Representante Encargada de Cumplimiento. Un perfil de puesto o una cláusula contractual que no estén reflejados en el Manual difícilmente serán oponibles frente a la autoridad, aunque ninguna disposición se pronuncia sobre su valor: esa conclusión es criterio de la casa.</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RCG art. 37 Bis, fracción X, y art. 37; ausencia de disposición sobre el valor de instrumentos laborales.</w:t>
      </w:r>
      <w:r>
        <w:rPr>
          <w:sz w:val="19"/>
          <w:szCs w:val="19"/>
        </w:rPr>
        <w:t xml:space="preserve"> </w:t>
      </w:r>
      <w:r>
        <w:rPr>
          <w:rStyle w:val="Ambar"/>
          <w:sz w:val="19"/>
          <w:szCs w:val="19"/>
        </w:rPr>
        <w:t xml:space="preserve">· Ámbar · Recurrencia baja</w:t>
      </w:r>
    </w:p>
    <w:p>
      <w:pPr>
        <w:spacing w:before="0" w:after="0" w:line="130" w:lineRule="exact"/>
        <w:rPr>
          <w:sz w:val="10"/>
          <w:szCs w:val="10"/>
        </w:rPr>
      </w:pPr>
    </w:p>
    <w:bookmarkEnd w:id="117"/>
    <w:bookmarkEnd w:id="118"/>
    <w:bookmarkStart w:id="126" w:name="Xabd3bb67907fb51e9ec343a993b62a9c24257f0"/>
    <w:p>
      <w:pPr>
        <w:pStyle w:val="Heading2"/>
      </w:pPr>
      <w:r>
        <w:t xml:space="preserve">12. Responsabilidad de la persona Representante y frontera penal</w:t>
      </w:r>
    </w:p>
    <w:bookmarkStart w:id="119" w:name="Xf32db7f8f7501b623880ba525199b8a5855137c"/>
    <w:p>
      <w:pPr>
        <w:pStyle w:val="Heading3"/>
        <w:pBdr>
          <w:left w:val="single" w:sz="24" w:space="8" w:color="C62828"/>
        </w:pBdr>
        <w:ind w:left="220"/>
      </w:pPr>
      <w:r>
        <w:t xml:space="preserve">83. ¿Hasta dónde llega la responsabilidad personal de quien aceptó el cargo y dónde empieza la de la persona moral?</w:t>
      </w:r>
    </w:p>
    <w:p>
      <w:pPr>
        <w:pStyle w:val="FirstParagraph"/>
        <w:pBdr>
          <w:left w:val="single" w:sz="24" w:space="8" w:color="C62828"/>
        </w:pBdr>
        <w:ind w:left="220"/>
      </w:pPr>
      <w:r>
        <w:t xml:space="preserve">No hay respuesta en el texto. Hay un dato textual firme, pero es negativo: el catálogo de infracciones se construye sobre los artículos 17, 18, 24, 32, 33, 33 Bis y 33 Ter de la Ley y</w:t>
      </w:r>
      <w:r>
        <w:t xml:space="preserve"> </w:t>
      </w:r>
      <w:r>
        <w:rPr>
          <w:bCs/>
          <w:b/>
        </w:rPr>
        <w:t xml:space="preserve">no incluye al artículo 20</w:t>
      </w:r>
      <w:r>
        <w:t xml:space="preserve">, que es donde vive la figura de la persona Representante. De ahí no se sigue una frontera, sino una ausencia de tipo. Ni la Ley ni el Reglamento ni las Reglas trazan dónde termina la responsabilidad de la persona moral y dónde empieza la personal de quien aceptó el cargo en el funcionamiento ordinario, ni definen un estándar de diligencia personal frente al cual medir su actuación. El único reparto expreso es el traslado, cuando no hay Representante o la designación no fue aceptada, a los integrantes del órgano de administración o a quien funja como administrador único de la persona moral y, tratándose de fideicomisos u otras figuras jurídicas, a la parte fideicomitente o su representante, o a quien funja como administrador. Todo ello pese a que el Acuerdo intensificó de manera sustantiva las obligaciones de una persona física identificada por su RFC y su e.firma.</w:t>
      </w:r>
    </w:p>
    <w:p>
      <w:pPr>
        <w:pStyle w:val="BodyText"/>
        <w:pBdr>
          <w:left w:val="single" w:sz="24" w:space="8" w:color="C62828"/>
        </w:pBdr>
        <w:ind w:left="220"/>
      </w:pPr>
      <w:r>
        <w:rPr>
          <w:bCs/>
          <w:b/>
          <w:sz w:val="19"/>
          <w:szCs w:val="19"/>
        </w:rPr>
        <w:t xml:space="preserve">Fundamento:</w:t>
      </w:r>
      <w:r>
        <w:rPr>
          <w:sz w:val="19"/>
          <w:szCs w:val="19"/>
        </w:rPr>
        <w:t xml:space="preserve"> </w:t>
      </w:r>
      <w:r>
        <w:rPr>
          <w:iCs/>
          <w:i/>
          <w:sz w:val="19"/>
          <w:szCs w:val="19"/>
        </w:rPr>
        <w:t xml:space="preserve">Ley arts. 20, segundo párrafo, 52, 53 (catálogo que no comprende el artículo 20) y 54; Reglamento art. 55; ausencia de estándar de diligencia personal.</w:t>
      </w:r>
      <w:r>
        <w:rPr>
          <w:sz w:val="19"/>
          <w:szCs w:val="19"/>
        </w:rPr>
        <w:t xml:space="preserve"> </w:t>
      </w:r>
      <w:r>
        <w:rPr>
          <w:rStyle w:val="Rojo"/>
          <w:sz w:val="19"/>
          <w:szCs w:val="19"/>
        </w:rPr>
        <w:t xml:space="preserve">· Rojo · Recurrencia media</w:t>
      </w:r>
    </w:p>
    <w:p>
      <w:pPr>
        <w:spacing w:before="0" w:after="0" w:line="130" w:lineRule="exact"/>
        <w:rPr>
          <w:sz w:val="10"/>
          <w:szCs w:val="10"/>
        </w:rPr>
      </w:pPr>
    </w:p>
    <w:bookmarkEnd w:id="119"/>
    <w:bookmarkStart w:id="120" w:name="Xd5e775518212ea25556db21d6c2df5264202339"/>
    <w:p>
      <w:pPr>
        <w:pStyle w:val="Heading3"/>
        <w:pBdr>
          <w:left w:val="single" w:sz="24" w:space="8" w:color="C62828"/>
        </w:pBdr>
        <w:ind w:left="220"/>
      </w:pPr>
      <w:r>
        <w:t xml:space="preserve">84. Si el Representante detecta un incumplimiento, lo informa a la dirección y ésta decide no corregirlo, ¿qué evidencia acredita que cumplió?</w:t>
      </w:r>
    </w:p>
    <w:p>
      <w:pPr>
        <w:pStyle w:val="FirstParagraph"/>
        <w:pBdr>
          <w:left w:val="single" w:sz="24" w:space="8" w:color="C62828"/>
        </w:pBdr>
        <w:ind w:left="220"/>
      </w:pPr>
      <w:r>
        <w:t xml:space="preserve">Ninguna disposición lo establece. La bitácora de escalamiento fechada, con la detección, la comunicación, el destinatario, el medio y la respuesta recibida, es la construcción defensiva que el sector ha adoptado, pero no es exigencia normativa ni eximente reconocida, y ningún precepto ni principio permite anticipar qué valor probatorio le dará la autoridad. Es, junto con la pregunta 83, la zona abierta de mayor consecuencia personal de todo el paquete.</w:t>
      </w:r>
    </w:p>
    <w:p>
      <w:pPr>
        <w:pStyle w:val="BodyText"/>
        <w:pBdr>
          <w:left w:val="single" w:sz="24" w:space="8" w:color="C62828"/>
        </w:pBdr>
        <w:ind w:left="220"/>
      </w:pPr>
      <w:r>
        <w:rPr>
          <w:bCs/>
          <w:b/>
          <w:sz w:val="19"/>
          <w:szCs w:val="19"/>
        </w:rPr>
        <w:t xml:space="preserve">Fundamento:</w:t>
      </w:r>
      <w:r>
        <w:rPr>
          <w:sz w:val="19"/>
          <w:szCs w:val="19"/>
        </w:rPr>
        <w:t xml:space="preserve"> </w:t>
      </w:r>
      <w:r>
        <w:rPr>
          <w:iCs/>
          <w:i/>
          <w:sz w:val="19"/>
          <w:szCs w:val="19"/>
        </w:rPr>
        <w:t xml:space="preserve">Ausencia de disposición sobre estándar de diligencia y sobre el valor probatorio del escalamiento.</w:t>
      </w:r>
      <w:r>
        <w:rPr>
          <w:sz w:val="19"/>
          <w:szCs w:val="19"/>
        </w:rPr>
        <w:t xml:space="preserve"> </w:t>
      </w:r>
      <w:r>
        <w:rPr>
          <w:rStyle w:val="Rojo"/>
          <w:sz w:val="19"/>
          <w:szCs w:val="19"/>
        </w:rPr>
        <w:t xml:space="preserve">· Rojo · Recurrencia media</w:t>
      </w:r>
    </w:p>
    <w:p>
      <w:pPr>
        <w:spacing w:before="0" w:after="0" w:line="130" w:lineRule="exact"/>
        <w:rPr>
          <w:sz w:val="10"/>
          <w:szCs w:val="10"/>
        </w:rPr>
      </w:pPr>
    </w:p>
    <w:bookmarkEnd w:id="120"/>
    <w:bookmarkStart w:id="121" w:name="Xfcd8a30fd4f087d9adb0de7fc4d2839ed896e57"/>
    <w:p>
      <w:pPr>
        <w:pStyle w:val="Heading3"/>
        <w:pBdr>
          <w:left w:val="single" w:sz="24" w:space="8" w:color="C77700"/>
        </w:pBdr>
        <w:ind w:left="220"/>
      </w:pPr>
      <w:r>
        <w:t xml:space="preserve">85. ¿Cómo se demuestra ante una visita de verificación que la designación no es meramente formal?</w:t>
      </w:r>
    </w:p>
    <w:p>
      <w:pPr>
        <w:pStyle w:val="FirstParagraph"/>
        <w:pBdr>
          <w:left w:val="single" w:sz="24" w:space="8" w:color="C77700"/>
        </w:pBdr>
        <w:ind w:left="220"/>
      </w:pPr>
      <w:r>
        <w:t xml:space="preserve">El régimen no lista medios de prueba, pero sí aporta el criterio del que se deduce la respuesta: cuando el régimen de auditoría empiece a correr —su primer periodo de revisión inicia el 1 de enero de 2028 y concluye el 31 de diciembre del mismo año, conforme al Transitorio Octavo del ACUERDO 115/2026—, lo que se evaluará y dictaminará es la</w:t>
      </w:r>
      <w:r>
        <w:t xml:space="preserve"> </w:t>
      </w:r>
      <w:r>
        <w:rPr>
          <w:bCs/>
          <w:b/>
        </w:rPr>
        <w:t xml:space="preserve">efectividad</w:t>
      </w:r>
      <w:r>
        <w:t xml:space="preserve"> </w:t>
      </w:r>
      <w:r>
        <w:t xml:space="preserve">del cumplimiento de todas las obligaciones, no su existencia documental. Ese estándar, aunque todavía no exigible, es el que el propio ordenamiento fija y del que se sigue qué evidencia sirve. De ahí se sigue que la evidencia útil es la que muestra actuación —revisiones practicadas, hallazgos, comunicaciones al órgano de administración, decisiones y seguimiento— y no la mera existencia de la designación. La conclusión es sólida, pero es lectura sistemática.</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RCG arts. 42 y 46 (evaluación de la efectividad del cumplimiento); Transitorio Octavo del ACUERDO 115/2026 (primer periodo de revisión: 1 de enero a 31 de diciembre de 2028); ausencia de catálogo de medios de prueba.</w:t>
      </w:r>
      <w:r>
        <w:rPr>
          <w:sz w:val="19"/>
          <w:szCs w:val="19"/>
        </w:rPr>
        <w:t xml:space="preserve"> </w:t>
      </w:r>
      <w:r>
        <w:rPr>
          <w:rStyle w:val="Ambar"/>
          <w:sz w:val="19"/>
          <w:szCs w:val="19"/>
        </w:rPr>
        <w:t xml:space="preserve">· Ámbar · Recurrencia media</w:t>
      </w:r>
    </w:p>
    <w:p>
      <w:pPr>
        <w:spacing w:before="0" w:after="0" w:line="130" w:lineRule="exact"/>
        <w:rPr>
          <w:sz w:val="10"/>
          <w:szCs w:val="10"/>
        </w:rPr>
      </w:pPr>
    </w:p>
    <w:bookmarkEnd w:id="121"/>
    <w:bookmarkStart w:id="122" w:name="X6f2fc8e878582c9c15aeee91800279430659d67"/>
    <w:p>
      <w:pPr>
        <w:pStyle w:val="Heading3"/>
        <w:pBdr>
          <w:left w:val="single" w:sz="24" w:space="8" w:color="C77700"/>
        </w:pBdr>
        <w:ind w:left="220"/>
      </w:pPr>
      <w:r>
        <w:t xml:space="preserve">86. ¿Existe seguro de responsabilidad profesional para la persona Representante?</w:t>
      </w:r>
    </w:p>
    <w:p>
      <w:pPr>
        <w:pStyle w:val="FirstParagraph"/>
        <w:pBdr>
          <w:left w:val="single" w:sz="24" w:space="8" w:color="C77700"/>
        </w:pBdr>
        <w:ind w:left="220"/>
      </w:pPr>
      <w:r>
        <w:t xml:space="preserve">El régimen no lo prevé, no lo regula y tampoco lo prohíbe: contratarlo es posible por aplicación del principio de que lo no prohibido a los particulares está permitido. La disponibilidad y el alcance de una cobertura de esa naturaleza son cuestiones del mercado asegurador, ajenas a la norma, y no puede afirmarse hoy que exista un producto que responda a esta exposición específica. No es una laguna que un criterio o una guía de la autoridad vaya a cerrar: está fuera del ámbito de la norma.</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Ausencia de disposición; principio de permisión de lo no prohibido.</w:t>
      </w:r>
      <w:r>
        <w:rPr>
          <w:sz w:val="19"/>
          <w:szCs w:val="19"/>
        </w:rPr>
        <w:t xml:space="preserve"> </w:t>
      </w:r>
      <w:r>
        <w:rPr>
          <w:rStyle w:val="Ambar"/>
          <w:sz w:val="19"/>
          <w:szCs w:val="19"/>
        </w:rPr>
        <w:t xml:space="preserve">· Ámbar · Recurrencia baja</w:t>
      </w:r>
    </w:p>
    <w:p>
      <w:pPr>
        <w:spacing w:before="0" w:after="0" w:line="130" w:lineRule="exact"/>
        <w:rPr>
          <w:sz w:val="10"/>
          <w:szCs w:val="10"/>
        </w:rPr>
      </w:pPr>
    </w:p>
    <w:bookmarkEnd w:id="122"/>
    <w:bookmarkStart w:id="123" w:name="Xa49c2ec44f147b659312087410495ff489f4e3a"/>
    <w:p>
      <w:pPr>
        <w:pStyle w:val="Heading3"/>
        <w:pBdr>
          <w:left w:val="single" w:sz="24" w:space="8" w:color="C77700"/>
        </w:pBdr>
        <w:ind w:left="220"/>
      </w:pPr>
      <w:r>
        <w:t xml:space="preserve">87. ¿Pueden imponerse sanciones a la persona Representante en lo personal?</w:t>
      </w:r>
    </w:p>
    <w:p>
      <w:pPr>
        <w:pStyle w:val="FirstParagraph"/>
        <w:pBdr>
          <w:left w:val="single" w:sz="24" w:space="8" w:color="C77700"/>
        </w:pBdr>
        <w:ind w:left="220"/>
      </w:pPr>
      <w:r>
        <w:t xml:space="preserve">Hay que separar tres planos y decir con precisión qué está resuelto en cada uno. En el</w:t>
      </w:r>
      <w:r>
        <w:t xml:space="preserve"> </w:t>
      </w:r>
      <w:r>
        <w:rPr>
          <w:bCs/>
          <w:b/>
        </w:rPr>
        <w:t xml:space="preserve">administrativo</w:t>
      </w:r>
      <w:r>
        <w:t xml:space="preserve"> </w:t>
      </w:r>
      <w:r>
        <w:t xml:space="preserve">el dato textual es negativo pero firme: el catálogo de infracciones se construye sobre los artículos 17, 18, 24, 32, 33, 33 Bis y 33 Ter, y no incluye al artículo 20, donde vive la figura. Hoy no existe tipo administrativo que tenga por destinataria a la persona Representante como tal. Eso no es una inmunidad declarada: tanto la Ley como el Reglamento formulan el sujeto pasivo en abstracto —«a quienes infrinjan esta Ley»— y ninguna disposición exime expresamente al cargo ni fija un estándar de diligencia personal. Lo que sostiene la respuesta es la ausencia de tipo, no una exclusión.</w:t>
      </w:r>
    </w:p>
    <w:p>
      <w:pPr>
        <w:pStyle w:val="BodyText"/>
        <w:pBdr>
          <w:left w:val="single" w:sz="24" w:space="8" w:color="C77700"/>
        </w:pBdr>
        <w:ind w:left="220"/>
      </w:pPr>
      <w:r>
        <w:t xml:space="preserve">En el</w:t>
      </w:r>
      <w:r>
        <w:t xml:space="preserve"> </w:t>
      </w:r>
      <w:r>
        <w:rPr>
          <w:bCs/>
          <w:b/>
        </w:rPr>
        <w:t xml:space="preserve">de traslado</w:t>
      </w:r>
      <w:r>
        <w:t xml:space="preserve">, la Ley asigna el cumplimiento, cuando no hay Representante o la designación no fue aceptada, a los integrantes del órgano de administración o a quien funja como administrador único de la persona moral y, tratándose de fideicomisos u otras figuras jurídicas, a la parte fideicomitente o su representante, o a quien funja como administrador; ese traslado sí alcanza a personas físicas identificadas. En el</w:t>
      </w:r>
      <w:r>
        <w:t xml:space="preserve"> </w:t>
      </w:r>
      <w:r>
        <w:rPr>
          <w:bCs/>
          <w:b/>
        </w:rPr>
        <w:t xml:space="preserve">penal</w:t>
      </w:r>
      <w:r>
        <w:t xml:space="preserve">, la Ley prevé responsabilidad personal de cualquiera —no sólo del Representante— que proporcione información, documentación, datos o imágenes falsos, los modifique o altere, o incorpore información ilegible que impida el conocimiento efectivo de su contenido, con prisión de dos a ocho años y de quinientos a dos mil días multa conforme al Código Penal Federal. Estos delitos admiten comisión culposa, a la que no corresponde esa pena porque la Ley no señala una específica y remite al Código Penal Federal, cuyo régimen general de los delitos culposos es sensiblemente menor y añade suspensión o privación de derechos para ejercer profesión u oficio. Y la propia Ley cierra con una regla que conviene no perder: la comisión culposa no será sancionada cuando medie un error de tipo vencible y éste sea corregido de manera espontánea antes de que la autoridad tome conocimiento del delito. Dónde termina la responsabilidad de la persona moral y dónde empieza la personal en el funcionamiento ordinario sigue sin trazarse: véase la pregunta 83. Ninguna respuesta de este compendio debe leerse como garantía de indemnidad.</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Ley arts. 52, 53 (catálogo que no comprende el artículo 20) y 54; Reglamento art. 55; Ley art. 20, segundo párrafo (traslado); Ley art. 62, primer párrafo y párrafos penúltimo y último, y Código Penal Federal art. 60 (penal).</w:t>
      </w:r>
      <w:r>
        <w:rPr>
          <w:sz w:val="19"/>
          <w:szCs w:val="19"/>
        </w:rPr>
        <w:t xml:space="preserve"> </w:t>
      </w:r>
      <w:r>
        <w:rPr>
          <w:rStyle w:val="Ambar"/>
          <w:sz w:val="19"/>
          <w:szCs w:val="19"/>
        </w:rPr>
        <w:t xml:space="preserve">· Ámbar · Recurrencia media</w:t>
      </w:r>
    </w:p>
    <w:p>
      <w:pPr>
        <w:spacing w:before="0" w:after="0" w:line="130" w:lineRule="exact"/>
        <w:rPr>
          <w:sz w:val="10"/>
          <w:szCs w:val="10"/>
        </w:rPr>
      </w:pPr>
    </w:p>
    <w:bookmarkEnd w:id="123"/>
    <w:bookmarkStart w:id="124" w:name="Xa02b0898aad0a3aa07eb13f252adfaee445540d"/>
    <w:p>
      <w:pPr>
        <w:pStyle w:val="Heading3"/>
        <w:pBdr>
          <w:left w:val="single" w:sz="24" w:space="8" w:color="2E7D32"/>
        </w:pBdr>
        <w:ind w:left="220"/>
      </w:pPr>
      <w:r>
        <w:t xml:space="preserve">88. ¿La identidad de la persona Representante está protegida?</w:t>
      </w:r>
    </w:p>
    <w:p>
      <w:pPr>
        <w:pStyle w:val="FirstParagraph"/>
        <w:pBdr>
          <w:left w:val="single" w:sz="24" w:space="8" w:color="2E7D32"/>
        </w:pBdr>
        <w:ind w:left="220"/>
      </w:pPr>
      <w:r>
        <w:t xml:space="preserve">Sí, y con tres disposiciones. La Ley considera confidencial y reservada la identidad de las personas Representantes Encargadas del Cumplimiento designadas, junto con la información y documentación soporte de los Avisos. El Reglamento impone a las personas servidoras públicas guardar reserva de esa identidad. Y cuando una autoridad judicial o administrativa requiera su comparecencia para desahogar una diligencia relacionada con sus funciones, la diligencia puede ser desahogada por las personas representantes legales o apoderadas de quien realiza la Actividad Vulnerable.</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arts. 38 y 41 Bis; Reglamento art. 46.</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24"/>
    <w:bookmarkStart w:id="125" w:name="X3e899c38ec531402d9f1f3b7bcd99de32a8d32c"/>
    <w:p>
      <w:pPr>
        <w:pStyle w:val="Heading3"/>
        <w:pBdr>
          <w:left w:val="single" w:sz="24" w:space="8" w:color="C77700"/>
        </w:pBdr>
        <w:ind w:left="220"/>
      </w:pPr>
      <w:r>
        <w:t xml:space="preserve">89. ¿Qué conductas constituyen delito en esta materia y admiten comisión culposa?</w:t>
      </w:r>
    </w:p>
    <w:p>
      <w:pPr>
        <w:pStyle w:val="FirstParagraph"/>
        <w:pBdr>
          <w:left w:val="single" w:sz="24" w:space="8" w:color="C77700"/>
        </w:pBdr>
        <w:ind w:left="220"/>
      </w:pPr>
      <w:r>
        <w:t xml:space="preserve">Son tres y están enumeradas: proporcionar a quienes deban dar Avisos información, documentación, datos o imágenes falsos para ser incorporados en ellos; modificar o alterar los destinados a incorporarse a los Avisos o al desahogo de requerimientos de la Secretaría, o los ya incorporados en Avisos presentados; e incorporar a unos u otros información ilegible que impida el conocimiento efectivo de su contenido. El tipo doloso se sanciona con prisión de dos a ocho años y de quinientos a dos mil días multa, estos últimos «conforme al Código Penal Federal», ordenamiento al que la Ley remite para su cuantificación y cuyo texto no se transcribe aquí. Las penas se duplican si quien comete el ilícito es, o fue dentro de los dos años anteriores, persona servidora pública encargada de prevenir, detectar, investigar o juzgar delitos, y a quien incurra en cualquiera de estos delitos se le aplica además una sanción de inhabilitación para desempeñar el servicio público por un tiempo igual al de la pena de prisión que haya sido impuesta, la cual comienza a correr una vez cumplida ésta.</w:t>
      </w:r>
    </w:p>
    <w:p>
      <w:pPr>
        <w:pStyle w:val="BodyText"/>
        <w:pBdr>
          <w:left w:val="single" w:sz="24" w:space="8" w:color="C77700"/>
        </w:pBdr>
        <w:ind w:left="220"/>
      </w:pPr>
      <w:r>
        <w:t xml:space="preserve">Estos delitos admiten comisión culposa, y aquí hay que ser preciso porque la yuxtaposición engaña: a la modalidad culposa</w:t>
      </w:r>
      <w:r>
        <w:t xml:space="preserve"> </w:t>
      </w:r>
      <w:r>
        <w:rPr>
          <w:bCs/>
          <w:b/>
        </w:rPr>
        <w:t xml:space="preserve">no</w:t>
      </w:r>
      <w:r>
        <w:t xml:space="preserve"> </w:t>
      </w:r>
      <w:r>
        <w:t xml:space="preserve">le corresponde sin más la pena de dos a ocho años. La Ley se limita a declarar que los delitos «admitirán la comisión culposa» y no le fija pena propia; tampoco remite a precepto alguno que la determine, pues la única mención del Código Penal Federal en el artículo 62 va referida a los días multa del tipo doloso, y el catálogo de supletoriedad del artículo 4 de la Ley no comprende a ese ordenamiento. Cuál sea la consecuencia penal de la modalidad culposa se determina conforme a las reglas generales del Código Penal Federal en materia de delitos culposos, cuyo texto debe consultarse directamente y cuya aplicación al caso concreto corresponde a la jueza o al juez penal, no a la autoridad administrativa ni a quien realiza la Actividad Vulnerable. La Ley añade que la comisión culposa no se sanciona cuando media un error de tipo vencible corregido de manera espontánea antes de que la autoridad tome conocimiento del delito, y ese párrafo exige tres advertencias: no alcanza a la conducta intencional; no opera si la autoridad ya tuvo conocimiento por cualquier vía; y quien determina si concurren esos elementos es una jueza o un juez penal, no la persona obligada. Describe una defensa posible, no un permiso para corregir después: ante un hecho de esta naturaleza lo que corresponde es asistencia penal inmediata. Por ese tramo se colorea así la respuesta: la Ley prevé la modalidad culposa pero no fija su pena, y la consecuencia concreta no está en el texto que aquí se cita.</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Ley art. 62, encabezado, fracciones I a III y párrafos adicionados el 16 de julio de 2025; Ley art. 64, párrafos primero y segundo; Ley art. 4 (catálogo de supletoriedad, que no comprende al Código Penal Federal); la pena de la comisión culposa no está fijada en la Ley y su determinación corresponde a la autoridad judicial conforme al Código Penal Federal, cuyo texto no se transcribe en este documento.</w:t>
      </w:r>
      <w:r>
        <w:rPr>
          <w:sz w:val="19"/>
          <w:szCs w:val="19"/>
        </w:rPr>
        <w:t xml:space="preserve"> </w:t>
      </w:r>
      <w:r>
        <w:rPr>
          <w:rStyle w:val="Ambar"/>
          <w:sz w:val="19"/>
          <w:szCs w:val="19"/>
        </w:rPr>
        <w:t xml:space="preserve">· Ámbar · Recurrencia baja</w:t>
      </w:r>
    </w:p>
    <w:p>
      <w:pPr>
        <w:spacing w:before="0" w:after="0" w:line="130" w:lineRule="exact"/>
        <w:rPr>
          <w:sz w:val="10"/>
          <w:szCs w:val="10"/>
        </w:rPr>
      </w:pPr>
    </w:p>
    <w:bookmarkEnd w:id="125"/>
    <w:bookmarkEnd w:id="126"/>
    <w:bookmarkStart w:id="132" w:name="capacitación-y-selección-de-personal"/>
    <w:p>
      <w:pPr>
        <w:pStyle w:val="Heading2"/>
      </w:pPr>
      <w:r>
        <w:t xml:space="preserve">13. Capacitación y selección de personal</w:t>
      </w:r>
    </w:p>
    <w:bookmarkStart w:id="127" w:name="X9430a9c4f6793bfdf6d3ad486a5edc2271baca0"/>
    <w:p>
      <w:pPr>
        <w:pStyle w:val="Heading3"/>
        <w:pBdr>
          <w:left w:val="single" w:sz="24" w:space="8" w:color="2E7D32"/>
        </w:pBdr>
        <w:ind w:left="220"/>
      </w:pPr>
      <w:r>
        <w:t xml:space="preserve">90. ¿Quiénes deben recibir capacitación y desde cuándo?</w:t>
      </w:r>
    </w:p>
    <w:p>
      <w:pPr>
        <w:pStyle w:val="FirstParagraph"/>
        <w:pBdr>
          <w:left w:val="single" w:sz="24" w:space="8" w:color="2E7D32"/>
        </w:pBdr>
        <w:ind w:left="220"/>
      </w:pPr>
      <w:r>
        <w:t xml:space="preserve">Los miembros del consejo de administración, el administrador único o su equivalente, directivos, funcionarios, la persona Representante Encargada de Cumplimiento y, en todo caso, los empleados que laboren en áreas de atención al público, participen en la identificación o conocimiento de la persona Cliente o Usuaria, en el envío de Avisos o realicen actividades de auditoría. El primer periodo anual comprende del 1 de enero al 31 de diciembre de 2027.</w:t>
      </w:r>
    </w:p>
    <w:p>
      <w:pPr>
        <w:pStyle w:val="BodyText"/>
        <w:pBdr>
          <w:left w:val="single" w:sz="24" w:space="8" w:color="2E7D32"/>
        </w:pBdr>
        <w:ind w:left="220"/>
      </w:pPr>
      <w:r>
        <w:t xml:space="preserve">Conviene advertir la tensión, porque se plantea en toda visita: el Transitorio Segundo del decreto de reforma a la Ley situaba ese primer periodo en el año calendario siguiente al de la publicación —2026—, pero el Transitorio Tercero del mismo decreto difirió la vigencia de las fracciones VII a XI del artículo 18 a los plazos que fijaran las reglas de carácter general, y éstas lo llevaron a 2027 (véase la pregunta 94). Tratándose del primer año de operaciones, el periodo corre desde la fecha en que se inician operaciones como Actividad Vulnerable y hasta el 31 de diciembre del año siguiente.</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 18, fracción IX; Transitorios Segundo y Tercero del Decreto de reforma a la Ley de 16 de julio de 2025; RCG art. 39 Bis; Transitorio Séptimo del ACUERDO 115/2026.</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127"/>
    <w:bookmarkStart w:id="128" w:name="X226a695c9aa1f7be39ce0c806c64026e4b2cad8"/>
    <w:p>
      <w:pPr>
        <w:pStyle w:val="Heading3"/>
        <w:pBdr>
          <w:left w:val="single" w:sz="24" w:space="8" w:color="2E7D32"/>
        </w:pBdr>
        <w:ind w:left="220"/>
      </w:pPr>
      <w:r>
        <w:t xml:space="preserve">91. ¿Qué requisitos debe cumplir quien imparte la capacitación?</w:t>
      </w:r>
    </w:p>
    <w:p>
      <w:pPr>
        <w:pStyle w:val="FirstParagraph"/>
        <w:pBdr>
          <w:left w:val="single" w:sz="24" w:space="8" w:color="2E7D32"/>
        </w:pBdr>
        <w:ind w:left="220"/>
      </w:pPr>
      <w:r>
        <w:t xml:space="preserve">Debe contar y acreditar experiencia de por lo menos cinco años en materia de prevención de lavado de dinero y de los delitos relacionados a que se refieren las Reglas. El texto exige experiencia acreditable, no certificación: no remite al artículo 34 Bis ni a la certificación que otorga la UIF, y tampoco fija el medio con el que esa experiencia se acredita. Nota de transparencia: quien publica este material presta servicios de capacitación en la materia; la respuesta se sostiene únicamente en el texto del precepto, que puede consultarse directamente.</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39 Bis, fracción III.</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28"/>
    <w:bookmarkStart w:id="129" w:name="X3b34e3da57103ad569a6ce23b3a120b27b78ede"/>
    <w:p>
      <w:pPr>
        <w:pStyle w:val="Heading3"/>
        <w:pBdr>
          <w:left w:val="single" w:sz="24" w:space="8" w:color="2E7D32"/>
        </w:pBdr>
        <w:ind w:left="220"/>
      </w:pPr>
      <w:r>
        <w:t xml:space="preserve">92. ¿Qué evidencia de capacitación debe conservarse y por cuánto tiempo?</w:t>
      </w:r>
    </w:p>
    <w:p>
      <w:pPr>
        <w:pStyle w:val="FirstParagraph"/>
        <w:pBdr>
          <w:left w:val="single" w:sz="24" w:space="8" w:color="2E7D32"/>
        </w:pBdr>
        <w:ind w:left="220"/>
      </w:pPr>
      <w:r>
        <w:t xml:space="preserve">Evidencia documental de los programas, talleres, materiales, listas de asistencia, evaluaciones, constancias y cualquier otro documento que ayude a comprobar que la capacitación se llevó a cabo, en forma física o electrónica y durante un plazo mínimo de diez años. Dos exigencias asociadas suelen omitirse: para expedir las constancias que acrediten la participación debe practicarse a las personas participantes una evaluación sobre los conocimientos adquiridos, y el Manual de Políticas Internas debe establecer las medidas aplicables a quienes no obtengan resultados satisfactorios; y quienes vayan a operar o laborar en áreas de atención al público o de administración de recursos deben recibir la capacitación de manera previa o simultánea a su ingreso o al inicio de sus actividades en esas áreas.</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39 Bis 1, párrafos primero a tercero.</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29"/>
    <w:bookmarkStart w:id="130" w:name="Xaae4f7f23171b27ee8e1653133b21db89c2b2fa"/>
    <w:p>
      <w:pPr>
        <w:pStyle w:val="Heading3"/>
        <w:pBdr>
          <w:left w:val="single" w:sz="24" w:space="8" w:color="2E7D32"/>
        </w:pBdr>
        <w:ind w:left="220"/>
      </w:pPr>
      <w:r>
        <w:t xml:space="preserve">93. ¿Desde cuándo aplican los procedimientos de selección de personal?</w:t>
      </w:r>
    </w:p>
    <w:p>
      <w:pPr>
        <w:pStyle w:val="FirstParagraph"/>
        <w:pBdr>
          <w:left w:val="single" w:sz="24" w:space="8" w:color="2E7D32"/>
        </w:pBdr>
        <w:ind w:left="220"/>
      </w:pPr>
      <w:r>
        <w:t xml:space="preserve">A las nuevas contrataciones realizadas a partir del 1 de marzo de 2027. Los procedimientos deben garantizar que el personal cuente con calidad técnica, experiencia necesaria y honorabilidad, y obligan a obtener de cada funcionaria, funcionario o empleado una declaración firmada en la que conste, al menos, la información de cualquier otro sector sujeto a la Ley en el que hubiera laborado previamente, y que no ha sido sentenciada por delitos patrimoniales ni inhabilitada para ejercer el comercio o para desempeñar empleo, cargo o comisión en el servicio público o en el sistema financiero mexicano. Tanto los procedimientos como las medidas aplicables cuando el personal deje de reunir esas condiciones deben constar en el Manual de Políticas Internas o en otro documento propio.</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39 Bis 2; Transitorio Sexto del ACUERDO 115/2026.</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30"/>
    <w:bookmarkStart w:id="131" w:name="Xc2be8aef316d025baa357264aead3b9e4cf1d3a"/>
    <w:p>
      <w:pPr>
        <w:pStyle w:val="Heading3"/>
        <w:pBdr>
          <w:left w:val="single" w:sz="24" w:space="8" w:color="2E7D32"/>
        </w:pBdr>
        <w:ind w:left="220"/>
      </w:pPr>
      <w:r>
        <w:t xml:space="preserve">94. ¿Por qué el primer periodo de capacitación es 2027 y el de auditoría 2028, si la Ley hablaba del año siguiente a su publicación?</w:t>
      </w:r>
    </w:p>
    <w:p>
      <w:pPr>
        <w:pStyle w:val="FirstParagraph"/>
        <w:pBdr>
          <w:left w:val="single" w:sz="24" w:space="8" w:color="2E7D32"/>
        </w:pBdr>
        <w:ind w:left="220"/>
      </w:pPr>
      <w:r>
        <w:t xml:space="preserve">Porque la reforma a la Ley dejó en manos de las reglas de carácter general la fecha en que empezarían a correr esas obligaciones. Un transitorio del decreto de 16 de julio de 2025 fijó el criterio del calendario —el periodo anual se entiende por año calendario y el primero inicia el 1 de enero del año siguiente al de la publicación—, pero otro transitorio del mismo decreto difirió la vigencia de las fracciones VII a XI del artículo 18 a los plazos que establecieran esas reglas. Las reglas se publicaron el 7 de agosto de 2026 y situaron el primer periodo anual de capacitación en 2027 y el primer periodo de revisión de auditoría en 2028. En resumen: la Ley marcó la regla del calendario y las reglas marcaron el punto de partida.</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Transitorios Segundo y Tercero del Decreto de reforma a la Ley de 16 de julio de 2025; Transitorios Séptimo y Octavo del ACUERDO 115/2026.</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31"/>
    <w:bookmarkEnd w:id="132"/>
    <w:bookmarkStart w:id="136" w:name="mecanismos-automatizados"/>
    <w:p>
      <w:pPr>
        <w:pStyle w:val="Heading2"/>
      </w:pPr>
      <w:r>
        <w:t xml:space="preserve">14. Mecanismos automatizados</w:t>
      </w:r>
    </w:p>
    <w:bookmarkStart w:id="133" w:name="Xc7dc89e032c487ca6f35cf3c3cd8f50b1836a02"/>
    <w:p>
      <w:pPr>
        <w:pStyle w:val="Heading3"/>
        <w:pBdr>
          <w:left w:val="single" w:sz="24" w:space="8" w:color="2E7D32"/>
        </w:pBdr>
        <w:ind w:left="220"/>
      </w:pPr>
      <w:r>
        <w:t xml:space="preserve">95. ¿Una hoja de cálculo puede considerarse mecanismo automatizado?</w:t>
      </w:r>
    </w:p>
    <w:p>
      <w:pPr>
        <w:pStyle w:val="FirstParagraph"/>
        <w:pBdr>
          <w:left w:val="single" w:sz="24" w:space="8" w:color="2E7D32"/>
        </w:pBdr>
        <w:ind w:left="220"/>
      </w:pPr>
      <w:r>
        <w:t xml:space="preserve">Sí. La definición incorporada por el Acuerdo comprende expresamente los procesos automatizados apoyados en hojas de cálculo, bases de datos u otros medios equivalentes, y no sólo los sistemas informáticos especializados. Es probablemente la disposición que más tranquiliza al sujeto obligado pequeño, y suele presentarse como opinión cuando es texto publicado. Ahora bien, la misma definición trae dos condiciones en el mismo enunciado: que sus funciones cumplan lo previsto para estos mecanismos y que sea verificable ante la autoridad competente. Que el medio sea admisible no significa que cualquier hoja de cálculo baste: debe desempeñar las funciones de la pregunta 96 y poder mostrarse (véase también la pregunta 97).</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3, fracción XI Ter; art. 41.</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33"/>
    <w:bookmarkStart w:id="134" w:name="X9db4b9fbf44d2d912f604bfcf6e2a8936b52913"/>
    <w:p>
      <w:pPr>
        <w:pStyle w:val="Heading3"/>
        <w:pBdr>
          <w:left w:val="single" w:sz="24" w:space="8" w:color="2E7D32"/>
        </w:pBdr>
        <w:ind w:left="220"/>
      </w:pPr>
      <w:r>
        <w:t xml:space="preserve">96. ¿Qué funciones debe cumplir el mecanismo y desde cuándo es exigible?</w:t>
      </w:r>
    </w:p>
    <w:p>
      <w:pPr>
        <w:pStyle w:val="FirstParagraph"/>
        <w:pBdr>
          <w:left w:val="single" w:sz="24" w:space="8" w:color="2E7D32"/>
        </w:pBdr>
        <w:ind w:left="220"/>
      </w:pPr>
      <w:r>
        <w:t xml:space="preserve">Debe ser razonablemente adecuado al volumen, naturaleza y complejidad de los actos u operaciones y al Riesgo de quien realiza la Actividad Vulnerable, y desarrollar por lo menos seis funciones: conservar, actualizar y permitir la consulta del expediente único de identificación; agrupar en una base consolidada las operaciones de cada Cliente o Usuaria, de modo que permita su monitoreo y la identificación de las que se aparten de su Perfil transaccional, así como la acumulación en periodos de hasta seis meses; proveer la información que alimenta la metodología de Riesgos; ejecutar el modelo de evaluación de Riesgos, conservando los registros históricos de las modificaciones del Grado de Riesgo y del Perfil transaccional por un periodo no menor a diez años; ejecutar un sistema de alertas; y monitorear el uso de efectivo y Metales Preciosos. El mandato del transitorio es categórico y conviene citarlo como está: deben contar con él a más tardar el 1 de junio de 2027, y debe contener la información de los actos u operaciones realizados a partir de esa fecha.</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41, fracciones I a VI; Transitorio Noveno del ACUERDO 115/2026.</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134"/>
    <w:bookmarkStart w:id="135" w:name="Xa0a9d524cdcd124c209807ce0d0d860efa06586"/>
    <w:p>
      <w:pPr>
        <w:pStyle w:val="Heading3"/>
        <w:pBdr>
          <w:left w:val="single" w:sz="24" w:space="8" w:color="C77700"/>
        </w:pBdr>
        <w:ind w:left="220"/>
      </w:pPr>
      <w:r>
        <w:t xml:space="preserve">97. ¿Hasta dónde basta funcionalmente un mecanismo sencillo?</w:t>
      </w:r>
    </w:p>
    <w:p>
      <w:pPr>
        <w:pStyle w:val="FirstParagraph"/>
        <w:pBdr>
          <w:left w:val="single" w:sz="24" w:space="8" w:color="C77700"/>
        </w:pBdr>
        <w:ind w:left="220"/>
      </w:pPr>
      <w:r>
        <w:t xml:space="preserve">No hay escalas ni umbrales, pero sí un criterio, y es funcional: el mecanismo basta cuando desempeña las seis funciones del artículo 41 y es verificable ante la autoridad, porque así lo condiciona la propia definición del Acuerdo. Lo que no existe es un parámetro cuantitativo —número de personas Clientes, volumen de operaciones, tipo de actividad— que permita anticipar cuándo una solución sencilla se considerará suficiente; ese juicio se hace contra el volumen, la naturaleza, la complejidad y el Riesgo de cada operación, sin más referencia. La respuesta se construye enlazando la definición con el catálogo de funciones: es lectura sistemática sostenible, no un criterio de suficiencia expreso.</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RCG art. 3, fracción XI Ter, y art. 41 (principio de adecuación sin parámetros cuantitativos).</w:t>
      </w:r>
      <w:r>
        <w:rPr>
          <w:sz w:val="19"/>
          <w:szCs w:val="19"/>
        </w:rPr>
        <w:t xml:space="preserve"> </w:t>
      </w:r>
      <w:r>
        <w:rPr>
          <w:rStyle w:val="Ambar"/>
          <w:sz w:val="19"/>
          <w:szCs w:val="19"/>
        </w:rPr>
        <w:t xml:space="preserve">· Ámbar · Recurrencia baja</w:t>
      </w:r>
    </w:p>
    <w:p>
      <w:pPr>
        <w:spacing w:before="0" w:after="0" w:line="130" w:lineRule="exact"/>
        <w:rPr>
          <w:sz w:val="10"/>
          <w:szCs w:val="10"/>
        </w:rPr>
      </w:pPr>
    </w:p>
    <w:bookmarkEnd w:id="135"/>
    <w:bookmarkEnd w:id="136"/>
    <w:bookmarkStart w:id="142" w:name="auditoría-y-dictamen"/>
    <w:p>
      <w:pPr>
        <w:pStyle w:val="Heading2"/>
      </w:pPr>
      <w:r>
        <w:t xml:space="preserve">15. Auditoría y dictamen</w:t>
      </w:r>
    </w:p>
    <w:bookmarkStart w:id="137" w:name="X2e541b58ab6c2b89493b027d97ff48e28ccf3e3"/>
    <w:p>
      <w:pPr>
        <w:pStyle w:val="Heading3"/>
        <w:pBdr>
          <w:left w:val="single" w:sz="24" w:space="8" w:color="2E7D32"/>
        </w:pBdr>
        <w:ind w:left="220"/>
      </w:pPr>
      <w:r>
        <w:t xml:space="preserve">98. ¿Desde cuándo debe auditarse y qué periodo comprende la primera revisión?</w:t>
      </w:r>
    </w:p>
    <w:p>
      <w:pPr>
        <w:pStyle w:val="FirstParagraph"/>
        <w:pBdr>
          <w:left w:val="single" w:sz="24" w:space="8" w:color="2E7D32"/>
        </w:pBdr>
        <w:ind w:left="220"/>
      </w:pPr>
      <w:r>
        <w:t xml:space="preserve">La revisión es anual, del 1 de enero al 31 de diciembre, y evalúa la efectividad del cumplimiento de la Ley, su Reglamento y las Reglas, no su existencia documental. El primer periodo de revisión inicia el 1 de enero de 2028 y concluye el 31 de diciembre del mismo año. Tratándose del primer año de operaciones el periodo comprende desde la fecha en que se inician operaciones como Actividad Vulnerable y hasta el 31 de diciembre del año siguiente, de modo que puede abarcar hasta veinticuatro meses: quien inicia operaciones en septiembre de 2028 tiene un primer periodo auditable de septiembre de 2028 al 31 de diciembre de 2029, y se dictamina una sola vez por ese periodo ampliado. La revisión y la emisión del dictamen se realizan dentro de los primeros tres meses siguientes al cierre del año auditado, y el auditor debe entregar el dictamen al auditado a más tardar el último día hábil de marzo; no hay plazo para presentarlo ante el SAT, que lo requiere cuando ejerce sus facultades.</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arts. 42, 43 y 50, primer párrafo; Transitorio Octavo del ACUERDO 115/2026.</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137"/>
    <w:bookmarkStart w:id="138" w:name="Xc192fb35e322da0b144f9dedea803c86f0f7f71"/>
    <w:p>
      <w:pPr>
        <w:pStyle w:val="Heading3"/>
        <w:pBdr>
          <w:left w:val="single" w:sz="24" w:space="8" w:color="2E7D32"/>
        </w:pBdr>
        <w:ind w:left="220"/>
      </w:pPr>
      <w:r>
        <w:t xml:space="preserve">99. ¿Cuándo puede el dictamen emitirlo el área interna y cuándo se requiere auditor externo?</w:t>
      </w:r>
    </w:p>
    <w:p>
      <w:pPr>
        <w:pStyle w:val="FirstParagraph"/>
        <w:pBdr>
          <w:left w:val="single" w:sz="24" w:space="8" w:color="2E7D32"/>
        </w:pBdr>
        <w:ind w:left="220"/>
      </w:pPr>
      <w:r>
        <w:t xml:space="preserve">El área de auditoría interna o de control interno puede emitirlo cuando el Riesgo de quien realiza la Actividad Vulnerable sea evaluado como bajo o medio conforme a la metodología del Capítulo II Quáter, pero sólo si reúne tres condiciones acumulativas: estar integrada por personal independiente de la persona Representante Encargada de Cumplimiento, contar con conocimiento de los procesos y procedimientos internos, y contar con al menos una acreditación del programa de capacitación anual. Se requiere persona auditora externa independiente cuando el Riesgo sea alto o cuando así lo elija quien realiza la Actividad Vulnerable, y esa persona debe además tener la certificación vigente de la UIF al momento de elaborar y firmar el dictamen (véase la pregunta 18).</w:t>
      </w:r>
    </w:p>
    <w:p>
      <w:pPr>
        <w:pStyle w:val="BodyText"/>
        <w:pBdr>
          <w:left w:val="single" w:sz="24" w:space="8" w:color="2E7D32"/>
        </w:pBdr>
        <w:ind w:left="220"/>
      </w:pPr>
      <w:r>
        <w:t xml:space="preserve">Reserva necesaria: la regla es directa, pero descansa en un Grado de Riesgo propio cuyos parámetros de determinación la norma no fija (véanse las preguntas 59 y 97). Autocalificarse de Riesgo bajo no impide que la autoridad recalifique, y la consecuencia de errar no es menor: un dictamen emitido por quien no podía emitirlo.</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arts. 42, 44 y 45; Ley art. 18, fracción XI.</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138"/>
    <w:bookmarkStart w:id="139" w:name="Xbd3eb6c127f2679fc27559999a712a0b15c0990"/>
    <w:p>
      <w:pPr>
        <w:pStyle w:val="Heading3"/>
        <w:pBdr>
          <w:left w:val="single" w:sz="24" w:space="8" w:color="2E7D32"/>
        </w:pBdr>
        <w:ind w:left="220"/>
      </w:pPr>
      <w:r>
        <w:t xml:space="preserve">100. ¿Qué debe contener el dictamen y cómo se califica cada obligación?</w:t>
      </w:r>
    </w:p>
    <w:p>
      <w:pPr>
        <w:pStyle w:val="FirstParagraph"/>
        <w:pBdr>
          <w:left w:val="single" w:sz="24" w:space="8" w:color="2E7D32"/>
        </w:pBdr>
        <w:ind w:left="220"/>
      </w:pPr>
      <w:r>
        <w:t xml:space="preserve">Debe elaborarse con una metodología que permita al auditor conocer al auditado y definir su programa de trabajo, incluyendo por lo menos un cuestionario inicial de conocimiento y el análisis de Riesgo del auditado. Debe estructurarse, como mínimo, en siete secciones: presentación, objeto, volumen de información y muestreo, proceso de auditoría, hallazgos, resultados de cumplimiento, y acciones correctivas y recomendaciones de mejora. Cada obligación evaluada se califica como cumple, cumple mayoritariamente, cumple parcialmente, no cumple o no aplica. El dictamen debe incluir además los plazos y las personas responsables de cada acción correctiva, una proyección económica del monto al que ascenderían las multas en caso de no atenderlas, y el seguimiento que el auditado dio a los hallazgos y acciones correctivas del dictamen del año inmediato anterior.</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arts. 47, 48 y 49.</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39"/>
    <w:bookmarkStart w:id="140" w:name="Xa51e758b7896a408493469b11e11503e0235f32"/>
    <w:p>
      <w:pPr>
        <w:pStyle w:val="Heading3"/>
        <w:pBdr>
          <w:left w:val="single" w:sz="24" w:space="8" w:color="C77700"/>
        </w:pBdr>
        <w:ind w:left="220"/>
      </w:pPr>
      <w:r>
        <w:t xml:space="preserve">101. En una auditoría en curso, ¿cómo deben tratarse las obligaciones cuyo plazo de implementación es posterior al periodo auditado?</w:t>
      </w:r>
    </w:p>
    <w:p>
      <w:pPr>
        <w:pStyle w:val="FirstParagraph"/>
        <w:pBdr>
          <w:left w:val="single" w:sz="24" w:space="8" w:color="C77700"/>
        </w:pBdr>
        <w:ind w:left="220"/>
      </w:pPr>
      <w:r>
        <w:t xml:space="preserve">La calificación «no aplica» las cubre. El texto la prevé para toda obligación que no sea exigible al auditado, sin distinguir si la inexigibilidad proviene de la actividad que se realiza o del calendario de implementación, y una obligación cuyo plazo aún no ha corrido no es exigible en el periodo revisado. El propio precepto impone dos cargas al auditor: verificar que la exclusión no encubra un incumplimiento y dejarla consistente con su análisis de Riesgos. Lo que queda abierto es más estrecho: si conviene además evaluar el grado de preparación para las obligaciones que llegan después, algo que ninguna regla ordena ni prohíbe. La conclusión se apoya en el principio de exigibilidad, no en una regla de transición expresa.</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RCG art. 48, fracción V; ausencia de regla de transición expresa.</w:t>
      </w:r>
      <w:r>
        <w:rPr>
          <w:sz w:val="19"/>
          <w:szCs w:val="19"/>
        </w:rPr>
        <w:t xml:space="preserve"> </w:t>
      </w:r>
      <w:r>
        <w:rPr>
          <w:rStyle w:val="Ambar"/>
          <w:sz w:val="19"/>
          <w:szCs w:val="19"/>
        </w:rPr>
        <w:t xml:space="preserve">· Ámbar · Recurrencia media</w:t>
      </w:r>
    </w:p>
    <w:p>
      <w:pPr>
        <w:spacing w:before="0" w:after="0" w:line="130" w:lineRule="exact"/>
        <w:rPr>
          <w:sz w:val="10"/>
          <w:szCs w:val="10"/>
        </w:rPr>
      </w:pPr>
    </w:p>
    <w:bookmarkEnd w:id="140"/>
    <w:bookmarkStart w:id="141" w:name="X1bbadb666d6d11491d830d128b16c8fc716b206"/>
    <w:p>
      <w:pPr>
        <w:pStyle w:val="Heading3"/>
        <w:pBdr>
          <w:left w:val="single" w:sz="24" w:space="8" w:color="2E7D32"/>
        </w:pBdr>
        <w:ind w:left="220"/>
      </w:pPr>
      <w:r>
        <w:t xml:space="preserve">102. ¿Por cuánto tiempo se conserva el dictamen?</w:t>
      </w:r>
    </w:p>
    <w:p>
      <w:pPr>
        <w:pStyle w:val="FirstParagraph"/>
        <w:pBdr>
          <w:left w:val="single" w:sz="24" w:space="8" w:color="2E7D32"/>
        </w:pBdr>
        <w:ind w:left="220"/>
      </w:pPr>
      <w:r>
        <w:t xml:space="preserve">Por un plazo no menor a cinco años contados a partir de que el auditor entregue el dictamen, junto con la información y documentación que utilizó para justificar los resultados, y debe ponerse a disposición del SAT cuando lo requiera. Es un plazo distinto de los de diez años que el Acuerdo estableció para otros acervos. El Reglamento añade dos exigencias que suelen omitirse: la información del dictamen debe ser fidedigna, completa y actualizada, y debe resguardarse además la documentación soporte que demuestre la regularización de las observaciones identificadas. No basta conservar el dictamen: hay que poder acreditar que los hallazgos se corrigieron.</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51; Reglamento art. 12 Bis; Ley art. 18, fracción XI.</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41"/>
    <w:bookmarkEnd w:id="142"/>
    <w:bookmarkStart w:id="145" w:name="conservación-de-información"/>
    <w:p>
      <w:pPr>
        <w:pStyle w:val="Heading2"/>
      </w:pPr>
      <w:r>
        <w:t xml:space="preserve">16. Conservación de información</w:t>
      </w:r>
    </w:p>
    <w:bookmarkStart w:id="143" w:name="Xe6487a3cbfa02625086bde98ff4e6578948c8cf"/>
    <w:p>
      <w:pPr>
        <w:pStyle w:val="Heading3"/>
        <w:pBdr>
          <w:left w:val="single" w:sz="24" w:space="8" w:color="C77700"/>
        </w:pBdr>
        <w:ind w:left="220"/>
      </w:pPr>
      <w:r>
        <w:t xml:space="preserve">103. ¿Los plazos de diez años operan retroactivamente sobre información anterior a la reforma?</w:t>
      </w:r>
    </w:p>
    <w:p>
      <w:pPr>
        <w:pStyle w:val="FirstParagraph"/>
        <w:pBdr>
          <w:left w:val="single" w:sz="24" w:space="8" w:color="C77700"/>
        </w:pBdr>
        <w:ind w:left="220"/>
      </w:pPr>
      <w:r>
        <w:t xml:space="preserve">Hay que separar dos acervos, y sólo uno tiene respuesta expresa. Para los Avisos e Informes, su documentación soporte y los acuses no opera retroactividad y hay disposición: el Reglamento fija el plazo no menor a diez años y el transitorio del decreto de reforma precisa que ese periodo se empieza a contabilizar a partir de los actos u operaciones que se realicen el 17 de julio de 2025. Para los acervos nuevos —documentación de la evaluación de Riesgos, evidencia de capacitación, registros históricos del Grado de Riesgo y del Perfil transaccional— no hay transitorio equivalente: la lectura razonable es que el plazo sólo puede correr sobre información que se genera con motivo de obligaciones que antes no existían, pero eso es lectura sistemática y no texto, y por esa mitad se colorea la respuesta. Criterio de la casa: no depurar documentación anterior a la reforma apoyándose en esta lectura mientras la autoridad no se pronuncie. Conservar cuesta poco; reconstruir lo destruido, no.</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Reglamento art. 20 y Transitorio Séptimo del Decreto de reforma publicado el 27 de marzo de 2026; Ley art. 18, fracción IV; RCG arts. 10 Septies 3, 39 Bis 1 y 41, fracción IV (que fijan el plazo sin regla de cómputo inicial).</w:t>
      </w:r>
      <w:r>
        <w:rPr>
          <w:sz w:val="19"/>
          <w:szCs w:val="19"/>
        </w:rPr>
        <w:t xml:space="preserve"> </w:t>
      </w:r>
      <w:r>
        <w:rPr>
          <w:rStyle w:val="Ambar"/>
          <w:sz w:val="19"/>
          <w:szCs w:val="19"/>
        </w:rPr>
        <w:t xml:space="preserve">· Ámbar · Recurrencia media</w:t>
      </w:r>
    </w:p>
    <w:p>
      <w:pPr>
        <w:spacing w:before="0" w:after="0" w:line="130" w:lineRule="exact"/>
        <w:rPr>
          <w:sz w:val="10"/>
          <w:szCs w:val="10"/>
        </w:rPr>
      </w:pPr>
    </w:p>
    <w:bookmarkEnd w:id="143"/>
    <w:bookmarkStart w:id="144" w:name="Xc5e4ae55dca320081ed6310a1ceed399411242e"/>
    <w:p>
      <w:pPr>
        <w:pStyle w:val="Heading3"/>
        <w:pBdr>
          <w:left w:val="single" w:sz="24" w:space="8" w:color="2E7D32"/>
        </w:pBdr>
        <w:ind w:left="220"/>
      </w:pPr>
      <w:r>
        <w:t xml:space="preserve">104. ¿Qué acervos deben conservarse por diez años?</w:t>
      </w:r>
    </w:p>
    <w:p>
      <w:pPr>
        <w:pStyle w:val="FirstParagraph"/>
        <w:pBdr>
          <w:left w:val="single" w:sz="24" w:space="8" w:color="2E7D32"/>
        </w:pBdr>
        <w:ind w:left="220"/>
      </w:pPr>
      <w:r>
        <w:t xml:space="preserve">Al menos cinco: la información y documentación generada con motivo de la evaluación de Riesgos; la información de las operaciones con activos virtuales —del originante, del receptor y, en su caso, del Beneficiario Controlador, con los datos que permiten identificar la trazabilidad de cada operación—; la evidencia documental de capacitación; los registros históricos de las modificaciones del Grado de Riesgo y del Perfil transaccional; y la información y documentación en poder de las Entidades Colegiadas conforme a su convenio. Conviene notar un detalle práctico: sólo el último fija punto de partida —la fecha en que se realizó el acto u operación—; los otros cuatro enuncian el plazo sin decir desde cuándo se cuenta. Los diez años de los Avisos, su soporte y los acuses corren por vía distinta y con dos puntos de partida distintos (véase la pregunta 74).</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arts. 10 Septies 3, último párrafo; 24 Bis 2; 39 Bis 1; 41, fracción IV, y 29, tercer párrafo.</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44"/>
    <w:bookmarkEnd w:id="145"/>
    <w:bookmarkStart w:id="148" w:name="Xd72339b323319e3191efaa06f165c6575b3a4bb"/>
    <w:p>
      <w:pPr>
        <w:pStyle w:val="Heading2"/>
      </w:pPr>
      <w:r>
        <w:t xml:space="preserve">17. Listas y Personas Políticamente Expuestas</w:t>
      </w:r>
    </w:p>
    <w:bookmarkStart w:id="146" w:name="X7674f98b57a65ecd922cf5850cd70a804c78146"/>
    <w:p>
      <w:pPr>
        <w:pStyle w:val="Heading3"/>
        <w:pBdr>
          <w:left w:val="single" w:sz="24" w:space="8" w:color="C77700"/>
        </w:pBdr>
        <w:ind w:left="220"/>
      </w:pPr>
      <w:r>
        <w:t xml:space="preserve">105. ¿Son exigibles las consultas en listas de personas bloqueadas y listas internacionales?</w:t>
      </w:r>
    </w:p>
    <w:p>
      <w:pPr>
        <w:pStyle w:val="FirstParagraph"/>
        <w:pBdr>
          <w:left w:val="single" w:sz="24" w:space="8" w:color="C77700"/>
        </w:pBdr>
        <w:ind w:left="220"/>
      </w:pPr>
      <w:r>
        <w:t xml:space="preserve">El mecanismo de identificación sí es exigible, y hay precepto: el Manual de Políticas Internas debe contener los mecanismos utilizados para identificar a las personas publicadas en las listas que emiten autoridades nacionales u organismos internacionales, y el mecanismo automatizado —exigible a partir del 1 de junio de 2027— debe ejecutar un sistema de alertas respecto de quienes se encuentren incluidos en el listado que la UIF dé a conocer. Lo que el Acuerdo difirió es otra cosa: el envío de los Avisos de los artículos 26 Bis, 26 Bis 1, 26 Bis 2 y 27, segundo párrafo —entre ellos el que procede por coincidencia en ese listado—, y no a fecha cierta, sino a seis meses después de que entre en vigor la Resolución que modifique los formatos oficiales, aún no publicada. Lo diferido es el envío del Aviso, no la obligación de identificar. Dejar constancia de cada consulta, en cambio, no está impuesto por precepto expreso: es construcción defensiva, en los mismos términos que la evidencia de acceso al buzón (véase la pregunta 21), y por esa parte se colorea la respuesta.</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RCG art. 37 Bis, fracción IX; RCG art. 41, fracción V; RCG art. 38, primer párrafo; Transitorios Quinto y Noveno del ACUERDO 115/2026; ausencia de disposición que imponga conservar constancia de cada consulta.</w:t>
      </w:r>
      <w:r>
        <w:rPr>
          <w:sz w:val="19"/>
          <w:szCs w:val="19"/>
        </w:rPr>
        <w:t xml:space="preserve"> </w:t>
      </w:r>
      <w:r>
        <w:rPr>
          <w:rStyle w:val="Ambar"/>
          <w:sz w:val="19"/>
          <w:szCs w:val="19"/>
        </w:rPr>
        <w:t xml:space="preserve">· Ámbar · Recurrencia media</w:t>
      </w:r>
    </w:p>
    <w:p>
      <w:pPr>
        <w:spacing w:before="0" w:after="0" w:line="130" w:lineRule="exact"/>
        <w:rPr>
          <w:sz w:val="10"/>
          <w:szCs w:val="10"/>
        </w:rPr>
      </w:pPr>
    </w:p>
    <w:bookmarkEnd w:id="146"/>
    <w:bookmarkStart w:id="147" w:name="Xd2d3a69f360633856effe2d36fd22749e9bd549"/>
    <w:p>
      <w:pPr>
        <w:pStyle w:val="Heading3"/>
        <w:pBdr>
          <w:left w:val="single" w:sz="24" w:space="8" w:color="C77700"/>
        </w:pBdr>
        <w:ind w:left="220"/>
      </w:pPr>
      <w:r>
        <w:t xml:space="preserve">106. ¿Quiénes son Personas Políticamente Expuestas y desde cuándo debe consultarse la lista?</w:t>
      </w:r>
    </w:p>
    <w:p>
      <w:pPr>
        <w:pStyle w:val="FirstParagraph"/>
        <w:pBdr>
          <w:left w:val="single" w:sz="24" w:space="8" w:color="C77700"/>
        </w:pBdr>
        <w:ind w:left="220"/>
      </w:pPr>
      <w:r>
        <w:t xml:space="preserve">La Ley define como Persona Políticamente Expuesta a quien desempeña o ha desempeñado funciones públicas en territorio nacional</w:t>
      </w:r>
      <w:r>
        <w:t xml:space="preserve"> </w:t>
      </w:r>
      <w:r>
        <w:rPr>
          <w:bCs/>
          <w:b/>
        </w:rPr>
        <w:t xml:space="preserve">o en un país extranjero</w:t>
      </w:r>
      <w:r>
        <w:t xml:space="preserve">, así como a las personas relacionadas con ellas, y el Acuerdo desarrolla el concepto enumerando, entre otros, a jefas y jefes de estado o de gobierno, líderes políticos, funcionarios gubernamentales, judiciales o militares de alta jerarquía, altos ejecutivos de empresas estatales y funcionarios o miembros importantes de partidos políticos y de organizaciones internacionales. Se asimilan el cónyuge, la concubina, el concubinario, quienes mantengan parentesco por consanguinidad o afinidad hasta el segundo grado y los asociados o socios de personas morales con las que se mantengan vínculos patrimoniales. La condición de nacional se extiende durante el año siguiente a aquel en que se dejó el cargo. La distinción entre nacional y extranjera importa: las extranjeras deben clasificarse como Grado de Riesgo alto por disposición expresa y sobre ellas pesa documentación reforzada.</w:t>
      </w:r>
    </w:p>
    <w:p>
      <w:pPr>
        <w:pStyle w:val="BodyText"/>
        <w:pBdr>
          <w:left w:val="single" w:sz="24" w:space="8" w:color="C77700"/>
        </w:pBdr>
        <w:ind w:left="220"/>
      </w:pPr>
      <w:r>
        <w:t xml:space="preserve">Sobre la fecha hay que separar la herramienta de la obligación. La consulta en la aplicación Consulta PEP 2.0, con la Firma Electrónica Avanzada utilizada en el alta, podrá realizarse nueve meses después de la entrada en vigor del Acuerdo, esto es, a partir del 30 de agosto de 2027. Las obligaciones sustantivas no dependen de esa fecha: el seguimiento reforzado de Personas Políticamente Expuestas es contenido mínimo del Manual, y los capítulos de clasificación del Grado de Riesgo y de conocimiento del Cliente —donde viven la clasificación de las extranjeras como Riesgo alto, la documentación reforzada y la aprobación de nivel directivo— deben observarse a partir de los actos u operaciones realizados el 1 de marzo de 2027. Los nueve meses difieren la herramienta, no el deber. Cómo se identifica a una Persona Políticamente Expuesta en el intervalo en que el deber ya corre y la aplicación todavía no está disponible es algo que el texto no resuelve, y por esa parte se colorea la respuesta.</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Ley art. 3, fracción IX Bis, y art. 51 Ter; RCG arts. 23 Bis 3, 23 Bis 4, 23 Ter 4, fracción III, 23 Ter 5, 23 Quáter, 23 Quáter 1 y 37 Bis, fracción IV; Reglamento arts. 45 Ter y 45 Quáter; Transitorios Primero, Cuarto y Décimo del ACUERDO 115/2026.</w:t>
      </w:r>
      <w:r>
        <w:rPr>
          <w:sz w:val="19"/>
          <w:szCs w:val="19"/>
        </w:rPr>
        <w:t xml:space="preserve"> </w:t>
      </w:r>
      <w:r>
        <w:rPr>
          <w:rStyle w:val="Ambar"/>
          <w:sz w:val="19"/>
          <w:szCs w:val="19"/>
        </w:rPr>
        <w:t xml:space="preserve">· Ámbar · Recurrencia media</w:t>
      </w:r>
    </w:p>
    <w:p>
      <w:pPr>
        <w:spacing w:before="0" w:after="0" w:line="130" w:lineRule="exact"/>
        <w:rPr>
          <w:sz w:val="10"/>
          <w:szCs w:val="10"/>
        </w:rPr>
      </w:pPr>
    </w:p>
    <w:bookmarkEnd w:id="147"/>
    <w:bookmarkEnd w:id="148"/>
    <w:bookmarkStart w:id="154" w:name="Xb41fd2156926b3f7885e98bce6b66024f715ee4"/>
    <w:p>
      <w:pPr>
        <w:pStyle w:val="Heading2"/>
      </w:pPr>
      <w:r>
        <w:t xml:space="preserve">18. Sanciones, facultades de la autoridad y autocorrección</w:t>
      </w:r>
    </w:p>
    <w:bookmarkStart w:id="149" w:name="Xc93c353f2c1ad7665c441c876128e5455940296"/>
    <w:p>
      <w:pPr>
        <w:pStyle w:val="Heading3"/>
        <w:pBdr>
          <w:left w:val="single" w:sz="24" w:space="8" w:color="C77700"/>
        </w:pBdr>
        <w:ind w:left="220"/>
      </w:pPr>
      <w:r>
        <w:t xml:space="preserve">107. ¿Cuáles son los requisitos de la autocorrección?</w:t>
      </w:r>
    </w:p>
    <w:p>
      <w:pPr>
        <w:pStyle w:val="FirstParagraph"/>
        <w:pBdr>
          <w:left w:val="single" w:sz="24" w:space="8" w:color="C77700"/>
        </w:pBdr>
        <w:ind w:left="220"/>
      </w:pPr>
      <w:r>
        <w:t xml:space="preserve">El artículo 55 contiene</w:t>
      </w:r>
      <w:r>
        <w:t xml:space="preserve"> </w:t>
      </w:r>
      <w:r>
        <w:rPr>
          <w:bCs/>
          <w:b/>
        </w:rPr>
        <w:t xml:space="preserve">dos beneficios distintos</w:t>
      </w:r>
      <w:r>
        <w:t xml:space="preserve">, no uno, y sus plazos también son distintos. El primero es la abstención de sancionar, que opera</w:t>
      </w:r>
      <w:r>
        <w:t xml:space="preserve"> </w:t>
      </w:r>
      <w:r>
        <w:rPr>
          <w:bCs/>
          <w:b/>
        </w:rPr>
        <w:t xml:space="preserve">por única ocasión</w:t>
      </w:r>
      <w:r>
        <w:t xml:space="preserve"> </w:t>
      </w:r>
      <w:r>
        <w:t xml:space="preserve">y sobre el total de las infracciones: exige cumplir con las obligaciones respectivas de manera espontánea y previa al inicio de las facultades de verificación, y reconocer expresamente la falta dentro del plazo inicial del procedimiento de verificación. Ejercido ese beneficio, opera el segundo: la Secretaría reducirá</w:t>
      </w:r>
      <w:r>
        <w:t xml:space="preserve"> </w:t>
      </w:r>
      <w:r>
        <w:rPr>
          <w:bCs/>
          <w:b/>
        </w:rPr>
        <w:t xml:space="preserve">hasta en un cincuenta por ciento</w:t>
      </w:r>
      <w:r>
        <w:t xml:space="preserve"> </w:t>
      </w:r>
      <w:r>
        <w:t xml:space="preserve">—no automáticamente el cincuenta— el monto de las multas de las infracciones que se regularicen de manera espontánea y previa al inicio de las facultades de verificación, siempre que la falta se reconozca dentro del plazo inicial del</w:t>
      </w:r>
      <w:r>
        <w:t xml:space="preserve"> </w:t>
      </w:r>
      <w:r>
        <w:rPr>
          <w:bCs/>
          <w:b/>
        </w:rPr>
        <w:t xml:space="preserve">procedimiento sancionador</w:t>
      </w:r>
      <w:r>
        <w:t xml:space="preserve">. No hay contradicción entre corregir antes y reconocer después: primero se corrige, y el reconocimiento se formula una vez abierto el procedimiento respectivo. El Reglamento define ambos plazos por remisión: el término de cinco días del artículo 68 de la Ley Federal de Procedimiento Administrativo para el de verificación, y, para el sancionador, el periodo establecido en el artículo 72 de esa misma ley, cuyo número de días el Reglamento no incorpora y debe consultarse directamente en el precepto; y detalla cómo se formula el reconocimiento: escrito libre ante el SAT firmado por quien realiza la Actividad Vulnerable o su representante legal con acreditamiento de personalidad, señalando de forma clara y precisa la totalidad de las faltas, la operación y el periodo, manifestando bajo protesta de decir verdad que la totalidad de ellas ya fueron corregidas, y anexando la documentación que lo acredite.</w:t>
      </w:r>
    </w:p>
    <w:p>
      <w:pPr>
        <w:pStyle w:val="BodyText"/>
        <w:pBdr>
          <w:left w:val="single" w:sz="24" w:space="8" w:color="C77700"/>
        </w:pBdr>
        <w:ind w:left="220"/>
      </w:pPr>
      <w:r>
        <w:t xml:space="preserve">Dos advertencias, y la primera es decisiva. Ese escrito es un</w:t>
      </w:r>
      <w:r>
        <w:t xml:space="preserve"> </w:t>
      </w:r>
      <w:r>
        <w:rPr>
          <w:bCs/>
          <w:b/>
        </w:rPr>
        <w:t xml:space="preserve">reconocimiento expreso bajo protesta de decir verdad</w:t>
      </w:r>
      <w:r>
        <w:t xml:space="preserve"> </w:t>
      </w:r>
      <w:r>
        <w:t xml:space="preserve">que documenta el incumplimiento y su periodo: si el beneficio no se obtiene —porque la autoridad estime que el plazo ya corrió, que las faltas no quedaron íntegramente señaladas o que el soporte es insuficiente—, el escrito queda en el expediente y puede leerse en contra de quien lo presentó. La decisión de presentarlo debe tomarse con esa consecuencia a la vista y, tratándose de periodos largos o de montos relevantes, con asistencia legal; el orden importa y es el que suele invertirse: primero se corrige, después se reconoce. La segunda advertencia es normativa: el último párrafo del artículo 55 Bis del Reglamento condiciona ambos beneficios a cumplir con lo previsto en las reglas de carácter general, y las Reglas publicadas no desarrollan la materia —ninguna disposición del ACUERDO 115/2026 regula el artículo 55—, de modo que la condición remite hoy a un texto que no existe. Por ese defecto se colorea así la respuesta.</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Ley art. 55, párrafos primero y segundo; Reglamento art. 55 Bis, párrafos primero a cuarto; Ley art. 4, fracción III, y art. 35 (supletoriedad de la Ley Federal de Procedimiento Administrativo); Ley Federal de Procedimiento Administrativo arts. 68 y 72, por remisión expresa del Reglamento, cuyo contenido no se transcribe en este documento; ausencia de desarrollo del artículo 55 en el ACUERDO 115/2026.</w:t>
      </w:r>
      <w:r>
        <w:rPr>
          <w:sz w:val="19"/>
          <w:szCs w:val="19"/>
        </w:rPr>
        <w:t xml:space="preserve"> </w:t>
      </w:r>
      <w:r>
        <w:rPr>
          <w:rStyle w:val="Ambar"/>
          <w:sz w:val="19"/>
          <w:szCs w:val="19"/>
        </w:rPr>
        <w:t xml:space="preserve">· Ámbar · Recurrencia baja</w:t>
      </w:r>
    </w:p>
    <w:p>
      <w:pPr>
        <w:spacing w:before="0" w:after="0" w:line="130" w:lineRule="exact"/>
        <w:rPr>
          <w:sz w:val="10"/>
          <w:szCs w:val="10"/>
        </w:rPr>
      </w:pPr>
    </w:p>
    <w:bookmarkEnd w:id="149"/>
    <w:bookmarkStart w:id="150" w:name="X425b287f5649948e8c23692827efe02c2f4308f"/>
    <w:p>
      <w:pPr>
        <w:pStyle w:val="Heading3"/>
        <w:pBdr>
          <w:left w:val="single" w:sz="24" w:space="8" w:color="2E7D32"/>
        </w:pBdr>
        <w:ind w:left="220"/>
      </w:pPr>
      <w:r>
        <w:t xml:space="preserve">108. ¿La infracción aplica también a los Informes y no sólo a los Avisos?</w:t>
      </w:r>
    </w:p>
    <w:p>
      <w:pPr>
        <w:pStyle w:val="FirstParagraph"/>
        <w:pBdr>
          <w:left w:val="single" w:sz="24" w:space="8" w:color="2E7D32"/>
        </w:pBdr>
        <w:ind w:left="220"/>
      </w:pPr>
      <w:r>
        <w:t xml:space="preserve">Sí, pero por una vía distinta y con una multa distinta, y conviene no confundirlas. Las fracciones III, IV y VI del artículo 53 se refieren literalmente sólo a los</w:t>
      </w:r>
      <w:r>
        <w:t xml:space="preserve"> </w:t>
      </w:r>
      <w:r>
        <w:rPr>
          <w:bCs/>
          <w:b/>
        </w:rPr>
        <w:t xml:space="preserve">Avisos</w:t>
      </w:r>
      <w:r>
        <w:t xml:space="preserve"> </w:t>
      </w:r>
      <w:r>
        <w:t xml:space="preserve">a que se refiere el artículo 17. El incumplimiento relativo a los</w:t>
      </w:r>
      <w:r>
        <w:t xml:space="preserve"> </w:t>
      </w:r>
      <w:r>
        <w:rPr>
          <w:bCs/>
          <w:b/>
        </w:rPr>
        <w:t xml:space="preserve">Informes</w:t>
      </w:r>
      <w:r>
        <w:t xml:space="preserve"> </w:t>
      </w:r>
      <w:r>
        <w:t xml:space="preserve">entra por la fracción II del mismo artículo 53 —incumplir cualquiera de las obligaciones del artículo 18, cuya fracción VI ordena presentar «los Avisos e Informes»— y se sanciona conforme a la fracción I del artículo 54: de doscientas a dos mil veces el valor diario de la UMA. El Informe es de periodicidad mensual conforme al artículo 25 de las Reglas, pero la Ley no establece que la multa se aplique por cada mes: si cada periodo omitido constituye una infracción autónoma es cuestión de individualización, no de texto. La omisión de un Aviso, en cambio, se sanciona conforme a la fracción III del artículo 54: de diez mil a sesenta y cinco mil veces la UMA, o del diez al cien por ciento del valor del acto u operación cuando sea cuantificable en dinero, la que resulte mayor. No hace falta extender por analogía el régimen de los Avisos: el Informe tiene tipo propio, sólo que en otra fracción y en otro escalón.</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 18, fracción VI; Ley art. 53, fracciones II, III, IV y VI; Ley art. 54, fracciones I y III; RCG art. 25 (periodicidad mensual del Informe).</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50"/>
    <w:bookmarkStart w:id="151" w:name="Xde4b754a8ebb9822379eeae49756e348fcd992d"/>
    <w:p>
      <w:pPr>
        <w:pStyle w:val="Heading3"/>
        <w:pBdr>
          <w:left w:val="single" w:sz="24" w:space="8" w:color="C77700"/>
        </w:pBdr>
        <w:ind w:left="220"/>
      </w:pPr>
      <w:r>
        <w:t xml:space="preserve">109. ¿Puede la autoridad ordenar suspender operaciones con determinados Clientes?</w:t>
      </w:r>
    </w:p>
    <w:p>
      <w:pPr>
        <w:pStyle w:val="FirstParagraph"/>
        <w:pBdr>
          <w:left w:val="single" w:sz="24" w:space="8" w:color="C77700"/>
        </w:pBdr>
        <w:ind w:left="220"/>
      </w:pPr>
      <w:r>
        <w:t xml:space="preserve">La facultad existe en la Ley desde la reforma de 2025: la Secretaría puede determinar que quienes realizan Actividades Vulnerables suspendan de manera temporal la realización de actos u operaciones con determinadas personas Clientes o Usuarias, en tanto se subsane o resuelva el procedimiento establecido en los mecanismos respectivos. Pero el propio artículo condiciona su ejercicio a los mecanismos que para tal efecto se emitan en términos de las reglas de carácter general, y esos mecanismos no se han publicado con su contenido. El andamiaje, en cambio, sí existe: el Transitorio Octavo del decreto DOF 27-mar-2026, que reformó el Reglamento, ordena que los mecanismos que la UIF emita conforme al artículo 54 Bis de la Ley deberán ser observados por quienes realicen Actividades Vulnerables «en términos de lo previsto en las reglas de carácter general vigentes al 17 de julio de 2025 y sus posteriores modificaciones», y el artículo 38 de las Reglas es el cauce por el que la UIF da a conocer sus mecanismos de prevención, al que remite el artículo 26 de las mismas Reglas. Lo que falta es el contenido: hoy no hay plazo, ni vía de defensa reglada, ni régimen de la responsabilidad frente a la persona Cliente o Usuaria cuyas operaciones se suspenden. Quien reciba una comunicación en ese sentido debe atenderla con asistencia legal, no con una plantilla.</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Ley art. 54 Bis; Transitorio Octavo del decreto DOF 27-mar-2026 de reforma al Reglamento; Reglamento art. 18; RCG arts. 26 y 38; ausencia de mecanismo publicado con su contenido.</w:t>
      </w:r>
      <w:r>
        <w:rPr>
          <w:sz w:val="19"/>
          <w:szCs w:val="19"/>
        </w:rPr>
        <w:t xml:space="preserve"> </w:t>
      </w:r>
      <w:r>
        <w:rPr>
          <w:rStyle w:val="Ambar"/>
          <w:sz w:val="19"/>
          <w:szCs w:val="19"/>
        </w:rPr>
        <w:t xml:space="preserve">· Ámbar · Recurrencia baja</w:t>
      </w:r>
    </w:p>
    <w:p>
      <w:pPr>
        <w:spacing w:before="0" w:after="0" w:line="130" w:lineRule="exact"/>
        <w:rPr>
          <w:sz w:val="10"/>
          <w:szCs w:val="10"/>
        </w:rPr>
      </w:pPr>
    </w:p>
    <w:bookmarkEnd w:id="151"/>
    <w:bookmarkStart w:id="152" w:name="Xf537d13c82c3173cc23e95d4cd4b7fcc441963b"/>
    <w:p>
      <w:pPr>
        <w:pStyle w:val="Heading3"/>
        <w:pBdr>
          <w:left w:val="single" w:sz="24" w:space="8" w:color="2E7D32"/>
        </w:pBdr>
        <w:ind w:left="220"/>
      </w:pPr>
      <w:r>
        <w:t xml:space="preserve">110. ¿Qué alcance temporal pueden tener las visitas de verificación?</w:t>
      </w:r>
    </w:p>
    <w:p>
      <w:pPr>
        <w:pStyle w:val="FirstParagraph"/>
        <w:pBdr>
          <w:left w:val="single" w:sz="24" w:space="8" w:color="2E7D32"/>
        </w:pBdr>
        <w:ind w:left="220"/>
      </w:pPr>
      <w:r>
        <w:t xml:space="preserve">Sólo pueden abarcar los actos u operaciones considerados Actividades Vulnerables realizados dentro de los</w:t>
      </w:r>
      <w:r>
        <w:t xml:space="preserve"> </w:t>
      </w:r>
      <w:r>
        <w:rPr>
          <w:bCs/>
          <w:b/>
        </w:rPr>
        <w:t xml:space="preserve">cinco años</w:t>
      </w:r>
      <w:r>
        <w:t xml:space="preserve"> </w:t>
      </w:r>
      <w:r>
        <w:t xml:space="preserve">inmediatos anteriores a la fecha de inicio de la visita. Conviene no confundir este plazo con el de conservación documental, que es de diez años: se conserva por diez, pero se verifica hacia atrás por cinco.</w:t>
      </w:r>
    </w:p>
    <w:p>
      <w:pPr>
        <w:pStyle w:val="BodyText"/>
        <w:pBdr>
          <w:left w:val="single" w:sz="24" w:space="8" w:color="2E7D32"/>
        </w:pBdr>
        <w:ind w:left="220"/>
      </w:pPr>
      <w:r>
        <w:t xml:space="preserve">El Reglamento reguló en 2026 cómo se ejercen esas facultades, y el detalle importa porque contiene una carga y un derecho. El SAT presume cierta la información contenida en los comprobantes fiscales digitales por internet y en las bases de datos que lleve, tenga en su poder o a las que tenga acceso, y no está obligado a demostrar qué bases consultó ni a dar a conocer el resultado de esa consulta cuando se trate de información generada o aportada por el propio sujeto obligado. En cambio, cuando la información, expedientes o documentos provengan de</w:t>
      </w:r>
      <w:r>
        <w:t xml:space="preserve"> </w:t>
      </w:r>
      <w:r>
        <w:rPr>
          <w:bCs/>
          <w:b/>
        </w:rPr>
        <w:t xml:space="preserve">otras autoridades</w:t>
      </w:r>
      <w:r>
        <w:t xml:space="preserve">, debe concederle un plazo de</w:t>
      </w:r>
      <w:r>
        <w:t xml:space="preserve"> </w:t>
      </w:r>
      <w:r>
        <w:rPr>
          <w:bCs/>
          <w:b/>
        </w:rPr>
        <w:t xml:space="preserve">diez días hábiles</w:t>
      </w:r>
      <w:r>
        <w:t xml:space="preserve">, contado desde que se los da a conocer, para manifestar por escrito lo que a su derecho convenga.</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arts. 34 y 36; art. 18, fracción IV; Reglamento art. 10 Bis, párrafos segundo, tercero y último.</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52"/>
    <w:bookmarkStart w:id="153" w:name="Xc9d1225837d6be8d4a72f1c50fdb2fad122c2a7"/>
    <w:p>
      <w:pPr>
        <w:pStyle w:val="Heading3"/>
        <w:pBdr>
          <w:left w:val="single" w:sz="24" w:space="8" w:color="C77700"/>
        </w:pBdr>
        <w:ind w:left="220"/>
      </w:pPr>
      <w:r>
        <w:t xml:space="preserve">111. ¿Cómo se sanciona la presentación extemporánea de un Aviso?</w:t>
      </w:r>
    </w:p>
    <w:p>
      <w:pPr>
        <w:pStyle w:val="FirstParagraph"/>
        <w:pBdr>
          <w:left w:val="single" w:sz="24" w:space="8" w:color="C77700"/>
        </w:pBdr>
        <w:ind w:left="220"/>
      </w:pPr>
      <w:r>
        <w:t xml:space="preserve">Hay dos escalones. Si el Aviso se presenta a más tardar dentro de los treinta días siguientes a la fecha en que debió presentarse, aplica la sanción de la fracción III del artículo 53, que el artículo 54 fija en su fracción I: de doscientas a dos mil veces el valor diario de la UMA. Si la extemporaneidad excede ese plazo, el segundo párrafo de esa fracción remite, en sus propios términos, a «la sanción prevista para el caso de omisión en el artículo 54, fracción II, de esta Ley», que es de dos mil a diez mil veces el valor diario de la UMA. Nota de lectura, y es opinión de la casa: esa fracción II sanciona, por sus propios términos, el supuesto de la fracción V del artículo 53, mientras que la omisión de Avisos, que es la fracción VI, se sanciona conforme a la fracción III del artículo 54, de diez mil a sesenta y cinco mil veces la UMA o del diez al cien por ciento del valor del acto u operación, la que resulte mayor. A nuestro parecer se trata de una imprecisión de remisión y no descartamos una aclaración posterior de la autoridad; caben dos lecturas y la literal favorece al sujeto obligado.</w:t>
      </w:r>
    </w:p>
    <w:p>
      <w:pPr>
        <w:pStyle w:val="BodyText"/>
        <w:pBdr>
          <w:left w:val="single" w:sz="24" w:space="8" w:color="C77700"/>
        </w:pBdr>
        <w:ind w:left="220"/>
      </w:pPr>
      <w:r>
        <w:t xml:space="preserve">Qué hacer con eso, en dos planos que no deben mezclarse. Para efectos de cumplimiento, planear sobre el supuesto más gravoso: presentar dentro del plazo y, si hubo extemporaneidad, corregir cuanto antes, porque presentar con treinta y un días de retraso cuesta al menos diez veces más que presentarlo con veintinueve. Para efectos de defensa en un procedimiento ya iniciado, la redacción de la remisión es un elemento que corresponde valorar a quien lleve el asunto: la exigencia de exacta aplicación de las normas sancionadoras es materia de estrategia procesal y no de este documento, que ni la descarta ni la recomienda. En la individualización, la Secretaría debe tomar en cuenta la reincidencia, la cuantía del acto u operación procurando la proporcionalidad de la sanción, y la intención de realizar la conducta.</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Ley art. 53, fracción III, y su segundo párrafo; art. 54, fracciones I, II y III; art. 60.</w:t>
      </w:r>
      <w:r>
        <w:rPr>
          <w:sz w:val="19"/>
          <w:szCs w:val="19"/>
        </w:rPr>
        <w:t xml:space="preserve"> </w:t>
      </w:r>
      <w:r>
        <w:rPr>
          <w:rStyle w:val="Ambar"/>
          <w:sz w:val="19"/>
          <w:szCs w:val="19"/>
        </w:rPr>
        <w:t xml:space="preserve">· Ámbar · Recurrencia baja</w:t>
      </w:r>
    </w:p>
    <w:p>
      <w:pPr>
        <w:spacing w:before="0" w:after="0" w:line="130" w:lineRule="exact"/>
        <w:rPr>
          <w:sz w:val="10"/>
          <w:szCs w:val="10"/>
        </w:rPr>
      </w:pPr>
    </w:p>
    <w:p>
      <w:r>
        <w:br w:type="page"/>
      </w:r>
    </w:p>
    <w:bookmarkEnd w:id="153"/>
    <w:bookmarkEnd w:id="154"/>
    <w:bookmarkEnd w:id="155"/>
    <w:bookmarkStart w:id="193" w:name="bloque-ii-temas-específicos-de-sector"/>
    <w:p>
      <w:pPr>
        <w:pStyle w:val="Heading1"/>
      </w:pPr>
      <w:r>
        <w:t xml:space="preserve">BLOQUE II — TEMAS ESPECÍFICOS DE SECTOR</w:t>
      </w:r>
    </w:p>
    <w:p>
      <w:pPr>
        <w:pStyle w:val="FirstParagraph"/>
      </w:pPr>
      <w:r>
        <w:rPr>
          <w:iCs/>
          <w:i/>
        </w:rPr>
        <w:t xml:space="preserve">Cuestiones cuya respuesta depende del sector o de la figura jurídica a través de la cual se realiza la actividad.</w:t>
      </w:r>
    </w:p>
    <w:bookmarkStart w:id="161" w:name="X82f6fd89b520215877cffc28006c552a27616bb"/>
    <w:p>
      <w:pPr>
        <w:pStyle w:val="Heading2"/>
      </w:pPr>
      <w:r>
        <w:t xml:space="preserve">19. Fedatarios públicos: notarios y corredores</w:t>
      </w:r>
    </w:p>
    <w:bookmarkStart w:id="156" w:name="X1437393cbd7a6eae7613a22d709de40a0c6b3ff"/>
    <w:p>
      <w:pPr>
        <w:pStyle w:val="Heading3"/>
        <w:pBdr>
          <w:left w:val="single" w:sz="24" w:space="8" w:color="2E7D32"/>
        </w:pBdr>
        <w:ind w:left="220"/>
      </w:pPr>
      <w:r>
        <w:t xml:space="preserve">112. ¿Los fedatarios tienen Relación de negocios con quienes acuden a su fe pública?</w:t>
      </w:r>
    </w:p>
    <w:p>
      <w:pPr>
        <w:pStyle w:val="FirstParagraph"/>
        <w:pBdr>
          <w:left w:val="single" w:sz="24" w:space="8" w:color="2E7D32"/>
        </w:pBdr>
        <w:ind w:left="220"/>
      </w:pPr>
      <w:r>
        <w:t xml:space="preserve">No. La definición —que está en la Ley y que las Reglas recogen en términos equivalentes y precisan con una definición de «formal y habitual»— excluye expresamente la prestación de servicios de fe pública prevista en la fracción XII del artículo 17. La Ley cierra esa fracción con la salvedad «sin perjuicio de lo que establezcan otras disposiciones legales y reglamentarias», que las Reglas no recogen. La exclusión opera sobre la definición de Relación de negocios y nada más: no alcanza a las obligaciones de identificación, integración del expediente, identificación del Beneficiario Controlador y presentación de Avisos, que son exigibles con independencia de que exista o no aquélla. Véase la pregunta 113.</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 3, fracción XII; RCG art. 3, fracción XIV.</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156"/>
    <w:bookmarkStart w:id="157" w:name="Xc0b789b72abe70b40dc474f973f2cab5a181d97"/>
    <w:p>
      <w:pPr>
        <w:pStyle w:val="Heading3"/>
        <w:pBdr>
          <w:left w:val="single" w:sz="24" w:space="8" w:color="C77700"/>
        </w:pBdr>
        <w:ind w:left="220"/>
      </w:pPr>
      <w:r>
        <w:t xml:space="preserve">113. Si no hay Relación de negocios, ¿qué capítulos del Acuerdo les aplican y en qué medida?</w:t>
      </w:r>
    </w:p>
    <w:p>
      <w:pPr>
        <w:pStyle w:val="FirstParagraph"/>
        <w:pBdr>
          <w:left w:val="single" w:sz="24" w:space="8" w:color="C77700"/>
        </w:pBdr>
        <w:ind w:left="220"/>
      </w:pPr>
      <w:r>
        <w:t xml:space="preserve">La norma sí resuelve la parte central. Para notarios y corredores —Apartados A y B—, el artículo 13 fija un estándar de identificación propio y reducido: se identifica, al momento de realizar el acto u operación, a la persona que solicita materialmente la protocolización o formalización del instrumento, recabando los datos de los numerales i), ii), ix) y x) del inciso a) del Anexo 3; y se tiene por cumplida la obligación del artículo 12 cuando esa información y documentación se incorpora a protocolos, pólizas, libros de registro y archivos, siempre que se respete el plazo de conservación del segundo párrafo de la fracción IV del artículo 18 de la Ley. Cuando el servicio se presta al Poder Judicial o a autoridades administrativas en funciones de administración e impartición de justicia, rige el artículo 13 Bis. Para los Apartados C y D, el artículo 34 Ter ordena observar «en lo conducente» los Capítulos II Quáter, III Bis, III Ter, X, XII, XIII y XIV, «de conformidad con las facultades que al efecto establezcan las leyes y disposiciones normativas aplicables al ejercicio de sus funciones». La lista es cerrada y no comprende los Capítulos III —identificación de la persona Cliente o Usuaria—, III Quáter, III Quinquies ni IV.</w:t>
      </w:r>
    </w:p>
    <w:p>
      <w:pPr>
        <w:pStyle w:val="BodyText"/>
        <w:pBdr>
          <w:left w:val="single" w:sz="24" w:space="8" w:color="C77700"/>
        </w:pBdr>
        <w:ind w:left="220"/>
      </w:pPr>
      <w:r>
        <w:t xml:space="preserve">Lo que queda abierto es un tramo más estrecho de lo que suele decirse: cómo se traducen a la fe pública el Perfil transaccional y el monitoreo continuo del Capítulo III Ter, construidos sobre una relación que perdura en el tiempo. Esa parte es interpretación, y por ella la respuesta va en ámbar. Dos precisiones de calendario acotan lo anterior: los Capítulos III Bis, III Ter y III Quinquies se observan respecto de los actos u operaciones realizados a partir del 1 de marzo de 2027, y tratándose del Apartado D el alta y registro en el Padrón permanece diferido hasta que el formato oficial identifique expresamente a esas personas, sin que exista fecha cierta.</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RCG arts. 3, fracción XIV, 13, 13 Bis y 34 Ter (que remite, para los Apartados C y D, sólo a los Capítulos II Quáter, III Bis, III Ter, X, XII, XIII y XIV, y no a los Capítulos III, III Quáter, III Quinquies ni IV, y siempre conforme a las facultades propias de cada figura); Ley art. 18, fracción IV, segundo párrafo; Transitorio Cuarto del ACUERDO 115/2026; Transitorio Tercero del decreto DOF 27-mar-2026.</w:t>
      </w:r>
      <w:r>
        <w:rPr>
          <w:sz w:val="19"/>
          <w:szCs w:val="19"/>
        </w:rPr>
        <w:t xml:space="preserve"> </w:t>
      </w:r>
      <w:r>
        <w:rPr>
          <w:rStyle w:val="Ambar"/>
          <w:sz w:val="19"/>
          <w:szCs w:val="19"/>
        </w:rPr>
        <w:t xml:space="preserve">· Ámbar · Recurrencia media</w:t>
      </w:r>
    </w:p>
    <w:p>
      <w:pPr>
        <w:spacing w:before="0" w:after="0" w:line="130" w:lineRule="exact"/>
        <w:rPr>
          <w:sz w:val="10"/>
          <w:szCs w:val="10"/>
        </w:rPr>
      </w:pPr>
    </w:p>
    <w:bookmarkEnd w:id="157"/>
    <w:bookmarkStart w:id="158" w:name="Xbbf374b8b5c7e84d0cb82590994a663fad1dade"/>
    <w:p>
      <w:pPr>
        <w:pStyle w:val="Heading3"/>
        <w:pBdr>
          <w:left w:val="single" w:sz="24" w:space="8" w:color="2E7D32"/>
        </w:pBdr>
        <w:ind w:left="220"/>
      </w:pPr>
      <w:r>
        <w:t xml:space="preserve">114. ¿Con qué integran el expediente quienes prestan servicios de fe pública al Poder Judicial o a autoridades administrativas en funciones de administración e impartición de justicia?</w:t>
      </w:r>
    </w:p>
    <w:p>
      <w:pPr>
        <w:pStyle w:val="FirstParagraph"/>
        <w:pBdr>
          <w:left w:val="single" w:sz="24" w:space="8" w:color="2E7D32"/>
        </w:pBdr>
        <w:ind w:left="220"/>
      </w:pPr>
      <w:r>
        <w:t xml:space="preserve">Integran el expediente único de identificación del artículo 12, pero únicamente con los datos del Anexo 7 Bis. No hay dispensa de integrar expediente: hay un expediente con menos datos. El régimen sólo opera cuando el servicio se presta al Poder Judicial de la Federación, de los Estados o de la Ciudad de México, o a autoridades administrativas en el ejercicio de sus funciones de administración e impartición de justicia. Fuera de ese supuesto, y tratándose de notarios y corredores públicos, el expediente se integra conforme al artículo 13 de las Reglas —identificación de quien solicita materialmente la protocolización o formalización, con los numerales i), ii), ix) y x) del inciso a) del Anexo 3—, y no conforme al régimen general del artículo 12.</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arts. 12, 13 y 13 Bis, y Anexo 7 Bis.</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58"/>
    <w:bookmarkStart w:id="159" w:name="Xadeeb73c1a65d007ee7b14b51aa52f0ad099313"/>
    <w:p>
      <w:pPr>
        <w:pStyle w:val="Heading3"/>
        <w:pBdr>
          <w:left w:val="single" w:sz="24" w:space="8" w:color="C77700"/>
        </w:pBdr>
        <w:ind w:left="220"/>
      </w:pPr>
      <w:r>
        <w:t xml:space="preserve">115. ¿Puede el fedatario delegar la función de identificación en su personal?</w:t>
      </w:r>
    </w:p>
    <w:p>
      <w:pPr>
        <w:pStyle w:val="FirstParagraph"/>
        <w:pBdr>
          <w:left w:val="single" w:sz="24" w:space="8" w:color="C77700"/>
        </w:pBdr>
        <w:ind w:left="220"/>
      </w:pPr>
      <w:r>
        <w:t xml:space="preserve">El punto de partida es el artículo 20, cuarto párrafo de la Ley: las personas físicas que realizan Actividades Vulnerables «cumplirán personal y directamente con las obligaciones que esta Ley establece, salvo en el supuesto previsto en la Sección Cuarta del Capítulo III» —la presentación de Avisos por conducto de Entidad Colegiada—. La titularidad del deber no se traslada en ningún caso; lo que ese precepto no resuelve es si la ejecución material de la identificación puede recaer en personal a cargo del fedatario. El Acuerdo endureció el estándar: el artículo 11 exige identificar y conocer</w:t>
      </w:r>
      <w:r>
        <w:t xml:space="preserve"> </w:t>
      </w:r>
      <w:r>
        <w:rPr>
          <w:bCs/>
          <w:b/>
        </w:rPr>
        <w:t xml:space="preserve">de manera directa</w:t>
      </w:r>
      <w:r>
        <w:t xml:space="preserve"> </w:t>
      </w:r>
      <w:r>
        <w:t xml:space="preserve">a la persona Cliente o Usuaria, siguiendo la redacción del artículo 18, fracción I de la Ley reformada. Ese adverbio estrecha el margen para externalizar la función en terceros ajenos a la estructura del fedatario, aunque no impide su ejecución por personal propio. Lo que la norma no regula es la mecánica interna de esa delegación; lo que sí exige es que quienes participen en la identificación reciban capacitación.</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RCG arts. 11 y 39 Bis; Ley arts. 18, fracción I, y 20, cuarto párrafo; ausencia de disposición sobre la delegación interna.</w:t>
      </w:r>
      <w:r>
        <w:rPr>
          <w:sz w:val="19"/>
          <w:szCs w:val="19"/>
        </w:rPr>
        <w:t xml:space="preserve"> </w:t>
      </w:r>
      <w:r>
        <w:rPr>
          <w:rStyle w:val="Ambar"/>
          <w:sz w:val="19"/>
          <w:szCs w:val="19"/>
        </w:rPr>
        <w:t xml:space="preserve">· Ámbar · Recurrencia media</w:t>
      </w:r>
    </w:p>
    <w:p>
      <w:pPr>
        <w:spacing w:before="0" w:after="0" w:line="130" w:lineRule="exact"/>
        <w:rPr>
          <w:sz w:val="10"/>
          <w:szCs w:val="10"/>
        </w:rPr>
      </w:pPr>
    </w:p>
    <w:bookmarkEnd w:id="159"/>
    <w:bookmarkStart w:id="160" w:name="X5b8b7559ef3e4c65c6d8adc8b5861b5a7156aa9"/>
    <w:p>
      <w:pPr>
        <w:pStyle w:val="Heading3"/>
        <w:pBdr>
          <w:left w:val="single" w:sz="24" w:space="8" w:color="2E7D32"/>
        </w:pBdr>
        <w:ind w:left="220"/>
      </w:pPr>
      <w:r>
        <w:t xml:space="preserve">116. ¿Qué deben verificar respecto de la forma de pago de las obligaciones?</w:t>
      </w:r>
    </w:p>
    <w:p>
      <w:pPr>
        <w:pStyle w:val="FirstParagraph"/>
        <w:pBdr>
          <w:left w:val="single" w:sz="24" w:space="8" w:color="2E7D32"/>
        </w:pBdr>
        <w:ind w:left="220"/>
      </w:pPr>
      <w:r>
        <w:t xml:space="preserve">El deber no se activa por el solo valor de la operación. Opera cuando en el instrumento se haga constar alguno de los actos u operaciones a que se refiere el artículo 32 de la Ley y, además, la operación tenga un valor igual o superior a 8,025 UMA: en ese supuesto las personas depositarias de fe pública deben identificar la forma en que se pagan las obligaciones que del instrumento deriven, considerando el monto, la fecha y la forma de pago o su consignación, y la moneda o divisas con que se haya efectuado. Si el valor de la operación es inferior a ese umbral y el acto fue total o parcialmente pagado con anterioridad a la firma del instrumento, basta la declaración que bajo protesta de decir verdad haga la persona Cliente o Usuaria, la cual debe señalar la forma en que se pagaron o se pagarán las obligaciones, observando lo previsto en el artículo 32 de la Ley. Este deber alcanza por igual a notarios y a corredores públicos, en su calidad de depositarios de fe pública, respecto de todos los instrumentos que hagan constar actos del artículo 32.</w:t>
      </w:r>
    </w:p>
    <w:p>
      <w:pPr>
        <w:pStyle w:val="BodyText"/>
        <w:pBdr>
          <w:left w:val="single" w:sz="24" w:space="8" w:color="2E7D32"/>
        </w:pBdr>
        <w:ind w:left="220"/>
      </w:pPr>
      <w:r>
        <w:t xml:space="preserve">Cuestión distinta, y regida por el artículo 29 del Reglamento, es cuándo la persona corredora pública realiza la Actividad Vulnerable de avalúos del Apartado B, inciso a) de la fracción XII: cuando en la realización de avalúos sobre los bienes respectivos utiliza la fe pública. Ese precepto no regula la forma de pago y no reduce a los avalúos el deber del artículo 33 de la Ley.</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 32; Ley art. 33, párrafos primero y segundo; Reglamento art. 45; para la Actividad Vulnerable de avalúos, Ley art. 17, fracción XII, Apartado B, inciso a), y Reglamento art. 29.</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60"/>
    <w:bookmarkEnd w:id="161"/>
    <w:bookmarkStart w:id="165" w:name="fideicomisos-y-figuras-jurídicas"/>
    <w:p>
      <w:pPr>
        <w:pStyle w:val="Heading2"/>
      </w:pPr>
      <w:r>
        <w:t xml:space="preserve">20. Fideicomisos y figuras jurídicas</w:t>
      </w:r>
    </w:p>
    <w:bookmarkStart w:id="162" w:name="X9031a56b7a68d501b3a9292be87095f582ccfbc"/>
    <w:p>
      <w:pPr>
        <w:pStyle w:val="Heading3"/>
        <w:pBdr>
          <w:left w:val="single" w:sz="24" w:space="8" w:color="2E7D32"/>
        </w:pBdr>
        <w:ind w:left="220"/>
      </w:pPr>
      <w:r>
        <w:t xml:space="preserve">117. ¿Debe designarse Representante en un fideicomiso que realiza Actividad Vulnerable?</w:t>
      </w:r>
    </w:p>
    <w:p>
      <w:pPr>
        <w:pStyle w:val="FirstParagraph"/>
        <w:pBdr>
          <w:left w:val="single" w:sz="24" w:space="8" w:color="2E7D32"/>
        </w:pBdr>
        <w:ind w:left="220"/>
      </w:pPr>
      <w:r>
        <w:t xml:space="preserve">Sí. Quienes actúan a través de fideicomisos o de cualquier otra figura jurídica están expresamente comprendidos en la obligación de designar, y sólo pueden designar a una persona física. Mientras no exista designación aceptada, el cumplimiento de las obligaciones corresponde a la parte fideicomitente o su representante, o a quien funja como administrador en la figura de que se trate.</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 20, párrafos primero y segundo; RCG art. 10, último párrafo.</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162"/>
    <w:bookmarkStart w:id="163" w:name="Xcd72e2f36feda4924d5cad046395524230fc832"/>
    <w:p>
      <w:pPr>
        <w:pStyle w:val="Heading3"/>
        <w:pBdr>
          <w:left w:val="single" w:sz="24" w:space="8" w:color="2E7D32"/>
        </w:pBdr>
        <w:ind w:left="220"/>
      </w:pPr>
      <w:r>
        <w:t xml:space="preserve">118. ¿Qué Firma Electrónica debe usarse en los trámites del fideicomiso?</w:t>
      </w:r>
    </w:p>
    <w:p>
      <w:pPr>
        <w:pStyle w:val="FirstParagraph"/>
        <w:pBdr>
          <w:left w:val="single" w:sz="24" w:space="8" w:color="2E7D32"/>
        </w:pBdr>
        <w:ind w:left="220"/>
      </w:pPr>
      <w:r>
        <w:t xml:space="preserve">La Firma Electrónica Avanzada asociada al RFC del propio fideicomiso o figura jurídica. El término importa desde el Acuerdo: la fracción VIII Ter del artículo 3 introdujo la «Firma Electrónica» como figura distinta de la «Firma Electrónica Avanzada» de la fracción IX, y lo exigible es esta última. No puede utilizarse la del representante legal, de los fideicomitentes ni de los apoderados legales. El fideicomiso o la figura debe además estar inscrito en el RFC y contar con certificado vigente. Tratándose de una Asociación en Participación, el trámite lo realiza el asociante con la Firma Electrónica Avanzada asociada al RFC de la propia Asociación. Dos precisiones de calendario: las reglas citadas rigen desde la entrada en vigor del Acuerdo, el 30 de noviembre de 2026, mientras que la exigencia de inscripción en el RFC y de certificado vigente proviene del Reglamento y ya rige; y el alta y registro en el Padrón de quienes actúan por medio de fideicomiso o de cualquier otra figura jurídica permanece diferido hasta que el formato oficial los identifique expresamente, sin que exista fecha cierta.</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arts. 3, fracciones VIII Ter y IX, 4, último párrafo, 10 Sexies 1 y 24, segundo párrafo; Reglamento art. 12, párrafos primero y segundo; Transitorio Primero del ACUERDO 115/2026; Transitorio Tercero del decreto DOF 27-mar-2026.</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63"/>
    <w:bookmarkStart w:id="164" w:name="X4ba2ac7671a6308a4b2a64629720c33bc9d37d0"/>
    <w:p>
      <w:pPr>
        <w:pStyle w:val="Heading3"/>
        <w:pBdr>
          <w:left w:val="single" w:sz="24" w:space="8" w:color="C77700"/>
        </w:pBdr>
        <w:ind w:left="220"/>
      </w:pPr>
      <w:r>
        <w:t xml:space="preserve">119. En estructuras donde el fideicomiso otorga recursos que después se prestan por conducto de una entidad financiera, ¿quién realiza la Actividad Vulnerable?</w:t>
      </w:r>
    </w:p>
    <w:p>
      <w:pPr>
        <w:pStyle w:val="FirstParagraph"/>
        <w:pBdr>
          <w:left w:val="single" w:sz="24" w:space="8" w:color="C77700"/>
        </w:pBdr>
        <w:ind w:left="220"/>
      </w:pPr>
      <w:r>
        <w:t xml:space="preserve">Depende de quién celebra materialmente el acto que la Ley tipifica, y dos eslabones sí están resueltos en el texto. El primero: la entidad financiera que presta no realiza esta Actividad Vulnerable, porque la fracción IV del artículo 17 comprende únicamente a sujetos distintos a las Entidades Financieras. El segundo: el artículo 27 Bis, fracción II de las Reglas exceptúa de Aviso los actos u operaciones de la fracción IV «que realicen fideicomisos públicos en donde funja como Fideicomitente la Secretaría y como Fiduciario el Banco de México, o en los que se celebren operaciones de mutuo o de garantía o de otorgamiento de préstamos o créditos a Instituciones del Sistema Financiero»; y, tratándose de mutuo, préstamo o crédito, siempre y cuando el importe total haya sido ministrado por conducto de esas Instituciones. El adjetivo importa: el sujeto de la excepción es el fideicomiso público, y la regla no exceptúa por sí sola al fideicomiso privado que otorga mutuo, préstamo o crédito a una Institución del Sistema Financiero. Para fijar el momento, el Reglamento aporta el criterio: el acto se tiene por realizado cuando se ponen a disposición de la persona Cliente o Usuaria los recursos otorgados.</w:t>
      </w:r>
    </w:p>
    <w:p>
      <w:pPr>
        <w:pStyle w:val="BodyText"/>
        <w:pBdr>
          <w:left w:val="single" w:sz="24" w:space="8" w:color="C77700"/>
        </w:pBdr>
        <w:ind w:left="220"/>
      </w:pPr>
      <w:r>
        <w:t xml:space="preserve">Quedan abiertas dos zonas. La primera, el tratamiento del fideicomiso privado que otorga mutuo, préstamo o crédito a una Institución del Sistema Financiero, que la excepción no comprende. La segunda, la atribución de la actividad cuando entre el fideicomiso y el destinatario final se interponen vehículos no financieros. Ahí la calificación exige analizar cada eslabón y determinar quién otorga y quién recibe en cada uno, y por eso la respuesta va en ámbar.</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Ley art. 17, fracción IV; Reglamento art. 24; RCG art. 27 Bis, fracción II (excepción referida a fideicomisos públicos); ausencia de regla para el fideicomiso privado y para estructuras escalonadas con vehículos no financieros interpuestos.</w:t>
      </w:r>
      <w:r>
        <w:rPr>
          <w:sz w:val="19"/>
          <w:szCs w:val="19"/>
        </w:rPr>
        <w:t xml:space="preserve"> </w:t>
      </w:r>
      <w:r>
        <w:rPr>
          <w:rStyle w:val="Ambar"/>
          <w:sz w:val="19"/>
          <w:szCs w:val="19"/>
        </w:rPr>
        <w:t xml:space="preserve">· Ámbar · Recurrencia media</w:t>
      </w:r>
    </w:p>
    <w:p>
      <w:pPr>
        <w:spacing w:before="0" w:after="0" w:line="130" w:lineRule="exact"/>
        <w:rPr>
          <w:sz w:val="10"/>
          <w:szCs w:val="10"/>
        </w:rPr>
      </w:pPr>
    </w:p>
    <w:bookmarkEnd w:id="164"/>
    <w:bookmarkEnd w:id="165"/>
    <w:bookmarkStart w:id="169" w:name="X2ee9dfd0ffd1cc0e80ebab015a11c8dd0aaac87"/>
    <w:p>
      <w:pPr>
        <w:pStyle w:val="Heading2"/>
      </w:pPr>
      <w:r>
        <w:t xml:space="preserve">21. Proveedores de servicios con activos virtuales</w:t>
      </w:r>
    </w:p>
    <w:bookmarkStart w:id="166" w:name="X617d1c8f9eeed8fa1a7285ec799d3a0b9fbdad1"/>
    <w:p>
      <w:pPr>
        <w:pStyle w:val="Heading3"/>
        <w:pBdr>
          <w:left w:val="single" w:sz="24" w:space="8" w:color="2E7D32"/>
        </w:pBdr>
        <w:ind w:left="220"/>
      </w:pPr>
      <w:r>
        <w:t xml:space="preserve">120. Quienes ya están dados de alta, ¿deben hacer algo con motivo de la reforma?</w:t>
      </w:r>
    </w:p>
    <w:p>
      <w:pPr>
        <w:pStyle w:val="FirstParagraph"/>
        <w:pBdr>
          <w:left w:val="single" w:sz="24" w:space="8" w:color="2E7D32"/>
        </w:pBdr>
        <w:ind w:left="220"/>
      </w:pPr>
      <w:r>
        <w:t xml:space="preserve">Sí. Deben actualizar y entregar al SAT la información del artículo 10 Bis dentro de los seis meses contados a partir de la entrada en vigor del Acuerdo; como éste entra en vigor el 30 de noviembre de 2026, el plazo vence el 30 de mayo de 2027. Es la única obligación de actualización con plazo propio contado desde la entrada en vigor, y conviene no confundirla con dos cosas distintas: las actualizaciones periódicas que el mismo Acuerdo introduce —doce meses para la metodología de Riesgos y sus Mitigantes; seis meses para el Grado de Riesgo y seis meses para el Perfil transaccional, estas dos últimas referidas a los actos u operaciones realizados a partir del 1 de marzo de 2027— y el plazo de seis días hábiles del artículo 10 Quinquies para informar cambios en la documentación, que es texto anterior a la reforma.</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Transitorios Primero, Cuarto y Décimo Segundo del ACUERDO 115/2026; RCG arts. 10 Bis, 10 Quinquies, 10 Septies 2, 10 Septies 3, 23 Bis 1 y 23 Ter 1.</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66"/>
    <w:bookmarkStart w:id="167" w:name="X65142b2678cafc039243ae96fae2500b0b69cac"/>
    <w:p>
      <w:pPr>
        <w:pStyle w:val="Heading3"/>
        <w:pBdr>
          <w:left w:val="single" w:sz="24" w:space="8" w:color="2E7D32"/>
        </w:pBdr>
        <w:ind w:left="220"/>
      </w:pPr>
      <w:r>
        <w:t xml:space="preserve">121. ¿Qué documentación adicional exige el alta reforzada?</w:t>
      </w:r>
    </w:p>
    <w:p>
      <w:pPr>
        <w:pStyle w:val="FirstParagraph"/>
        <w:pBdr>
          <w:left w:val="single" w:sz="24" w:space="8" w:color="2E7D32"/>
        </w:pBdr>
        <w:ind w:left="220"/>
      </w:pPr>
      <w:r>
        <w:t xml:space="preserve">El régimen propio de alta y registro del Capítulo II Bis ya existía; lo que el Acuerdo añade es acotado y verificable. Debe comprobarse con documentos la información de quienes directa o indirectamente mantengan o pretendan mantener participación en el capital social, y exhibirse esa misma información y documentación respecto del Beneficiario Controlador del solicitante. Deben acompañarse comprobantes del nombre comercial, de las páginas electrónicas y de las aplicaciones a través de las cuales se lleva a cabo la actividad. El número telefónico del representante legal o apoderado debe ser de diez dígitos y constar en documento a su nombre o al de su representada.</w:t>
      </w:r>
    </w:p>
    <w:p>
      <w:pPr>
        <w:pStyle w:val="BodyText"/>
        <w:pBdr>
          <w:left w:val="single" w:sz="24" w:space="8" w:color="2E7D32"/>
        </w:pBdr>
        <w:ind w:left="220"/>
      </w:pPr>
      <w:r>
        <w:t xml:space="preserve">A ello se suman dos novedades de procedimiento. Cuando el SAT identifique inconsistencias derivadas del análisis de la información, lo informará por escrito para que el interesado aclare en un plazo no mayor a cinco días hábiles, y de no subsanarse desechará el trámite. Y, una vez que el SAT informe por escrito que recibió la totalidad de la documentación, el solicitante cuenta con treinta días hábiles para concluir su alta y registro; de no hacerlo se tiene por desistido y debe solicitarlo de nueva cuenta. Ese plazo es el dato operativo más relevante de la reforma para este sector.</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arts. 10 Bis, fracción I, incisos c), d) y e), 10 Ter y 10 Quáter.</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67"/>
    <w:bookmarkStart w:id="168" w:name="X1c8a97b9afcb11eff1bcfae91a7fd13ce2079bb"/>
    <w:p>
      <w:pPr>
        <w:pStyle w:val="Heading3"/>
        <w:pBdr>
          <w:left w:val="single" w:sz="24" w:space="8" w:color="2E7D32"/>
        </w:pBdr>
        <w:ind w:left="220"/>
      </w:pPr>
      <w:r>
        <w:t xml:space="preserve">122. Si una operación cumple los supuestos de los incisos a) y b) de la fracción XVI, ¿deben presentarse dos Avisos?</w:t>
      </w:r>
    </w:p>
    <w:p>
      <w:pPr>
        <w:pStyle w:val="FirstParagraph"/>
        <w:pBdr>
          <w:left w:val="single" w:sz="24" w:space="8" w:color="2E7D32"/>
        </w:pBdr>
        <w:ind w:left="220"/>
      </w:pPr>
      <w:r>
        <w:t xml:space="preserve">No. Lo resuelven de manera coincidente el Reglamento y las Reglas: cuando en una misma operación se cumplan simultáneamente ambos supuestos, se presenta un solo Aviso, el del inciso a). Las Reglas añaden las dos hipótesis restantes: si la operación alcanza o supera 210 UMA pero la contraprestación es inferior a 4 UMA, el Aviso va sólo por el inciso a); si la contraprestación alcanza o supera 4 UMA pero el monto de la operación es inferior a 210 UMA, sólo por el inciso b). Y precisan que las contraprestaciones se determinan de forma individual por cada transacción, por lo que no son objeto de la acumulación del penúltimo párrafo del artículo 17 de la Ley.</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 24 Bis 5; Reglamento art. 31 Bis; Ley art. 17, fracción XVI.</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68"/>
    <w:bookmarkEnd w:id="169"/>
    <w:bookmarkStart w:id="173" w:name="Xaea9ce0e5cf0ee549eb2339c84201c2a83c4484"/>
    <w:p>
      <w:pPr>
        <w:pStyle w:val="Heading2"/>
      </w:pPr>
      <w:r>
        <w:t xml:space="preserve">22. Asociaciones y sociedades sin fines de lucro</w:t>
      </w:r>
    </w:p>
    <w:bookmarkStart w:id="170" w:name="X4665d9a31382d487efdba13b515d664feee0713"/>
    <w:p>
      <w:pPr>
        <w:pStyle w:val="Heading3"/>
        <w:pBdr>
          <w:left w:val="single" w:sz="24" w:space="8" w:color="C77700"/>
        </w:pBdr>
        <w:ind w:left="220"/>
      </w:pPr>
      <w:r>
        <w:t xml:space="preserve">123. ¿Qué obligaciones nuevas alcanzan a las asociaciones y sociedades sin fines de lucro?</w:t>
      </w:r>
    </w:p>
    <w:p>
      <w:pPr>
        <w:pStyle w:val="FirstParagraph"/>
        <w:pBdr>
          <w:left w:val="single" w:sz="24" w:space="8" w:color="C77700"/>
        </w:pBdr>
        <w:ind w:left="220"/>
      </w:pPr>
      <w:r>
        <w:t xml:space="preserve">El mandato es textual y su alcance está acotado. Desde la entrada en vigor del Acuerdo, el 30 de noviembre de 2026, las asociaciones y sociedades sin fines de lucro cuyo fin preponderante sea recibir donativos o destinar fondos para fines caritativos, religiosos, culturales, educativos, sociales o para cualquier acto filantrópico quedan sujetas a las medidas que la UIF emita, que la norma manda aplicar proporcionales y con enfoque basado en el Riesgo del delito previsto en el artículo 139 Quáter del Código Penal Federal —el financiamiento al terrorismo—, y —éste es el punto que suele pasar inadvertido— con independencia de que sean consideradas Actividad Vulnerable. El universo del sector está a su vez acotado por la definición del artículo 2, fracción I de las Reglas, a la que el Acuerdo añadió una condición: que tengan como objeto social la recaudación o desembolso de fondos o recursos para fines altruistas o con propósitos caritativos, religiosos, culturales, educativos o sociales. El contenido mínimo de esas medidas también está fijado: programas de capacitación y difusión, y monitoreo de los actos u operaciones vinculados con donantes o países considerados de alto Riesgo.</w:t>
      </w:r>
    </w:p>
    <w:p>
      <w:pPr>
        <w:pStyle w:val="BodyText"/>
        <w:pBdr>
          <w:left w:val="single" w:sz="24" w:space="8" w:color="C77700"/>
        </w:pBdr>
        <w:ind w:left="220"/>
      </w:pPr>
      <w:r>
        <w:t xml:space="preserve">Lo que falta es el acto de la UIF que las emita. Mientras no se emitan no hay medida exigible ni conducta concreta que cumplir, conclusión que se sostiene en la ausencia de ese acto y en el principio de que no se exige lo que no ha sido emitido, no en un precepto que lo declare; por eso la respuesta va en ámbar aunque el mandato sea textual. Cuestión distinta es que la asociación realice además una Actividad Vulnerable: en ese caso le aplica el régimen ordinario, que sí es exigible hoy.</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RCG arts. 2, fracción I, 38 Bis, 38 Bis 1 y 38 Bis 2; Transitorio Primero del ACUERDO 115/2026; ausencia del acto de la UIF que emita las medidas.</w:t>
      </w:r>
      <w:r>
        <w:rPr>
          <w:sz w:val="19"/>
          <w:szCs w:val="19"/>
        </w:rPr>
        <w:t xml:space="preserve"> </w:t>
      </w:r>
      <w:r>
        <w:rPr>
          <w:rStyle w:val="Ambar"/>
          <w:sz w:val="19"/>
          <w:szCs w:val="19"/>
        </w:rPr>
        <w:t xml:space="preserve">· Ámbar · Recurrencia baja</w:t>
      </w:r>
    </w:p>
    <w:p>
      <w:pPr>
        <w:spacing w:before="0" w:after="0" w:line="130" w:lineRule="exact"/>
        <w:rPr>
          <w:sz w:val="10"/>
          <w:szCs w:val="10"/>
        </w:rPr>
      </w:pPr>
    </w:p>
    <w:bookmarkEnd w:id="170"/>
    <w:bookmarkStart w:id="171" w:name="Xd89feb8d3afb780a57ec31c0c1ba8357374ad28"/>
    <w:p>
      <w:pPr>
        <w:pStyle w:val="Heading3"/>
        <w:pBdr>
          <w:left w:val="single" w:sz="24" w:space="8" w:color="2E7D32"/>
        </w:pBdr>
        <w:ind w:left="220"/>
      </w:pPr>
      <w:r>
        <w:t xml:space="preserve">124. ¿Una asociación civil o donataria debe designar Representante?</w:t>
      </w:r>
    </w:p>
    <w:p>
      <w:pPr>
        <w:pStyle w:val="FirstParagraph"/>
        <w:pBdr>
          <w:left w:val="single" w:sz="24" w:space="8" w:color="2E7D32"/>
        </w:pBdr>
        <w:ind w:left="220"/>
      </w:pPr>
      <w:r>
        <w:t xml:space="preserve">Si es persona moral y realiza una Actividad Vulnerable, sí: la obligación de designar alcanza a toda persona moral obligada, con independencia de su finalidad no lucrativa, y sólo puede designarse a una persona física. En tanto no haya designación aceptada, el cumplimiento corresponde a los integrantes del órgano de administración o a quien funja como administrador único. Conviene no confundir esta obligación con la del artículo 38 Bis 1, que alcanza al sector realice o no Actividad Vulnerable: la de designar Representante sólo nace si la realiza.</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 20, párrafos primero y segundo; RCG arts. 2, fracción I, y 10, último párrafo.</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71"/>
    <w:bookmarkStart w:id="172" w:name="X159e15eaa45e16604e1244d067fdb0856bbe8db"/>
    <w:p>
      <w:pPr>
        <w:pStyle w:val="Heading3"/>
        <w:pBdr>
          <w:left w:val="single" w:sz="24" w:space="8" w:color="2E7D32"/>
        </w:pBdr>
        <w:ind w:left="220"/>
      </w:pPr>
      <w:r>
        <w:t xml:space="preserve">125. ¿Hay algún régimen de acompañamiento o simplificación previsto para este sector?</w:t>
      </w:r>
    </w:p>
    <w:p>
      <w:pPr>
        <w:pStyle w:val="FirstParagraph"/>
        <w:pBdr>
          <w:left w:val="single" w:sz="24" w:space="8" w:color="2E7D32"/>
        </w:pBdr>
        <w:ind w:left="220"/>
      </w:pPr>
      <w:r>
        <w:t xml:space="preserve">Sí, y con plazo. La Ley ordenó que, durante los primeros seis meses contados a partir de la entrada en vigor de las reglas de carácter general, la UIF en coordinación con el SAT implementen un programa de capacitación y orientación dirigido a las asociaciones y sociedades sin fines de lucro «para el correcto cumplimiento de las obligaciones establecidas en las fracciones VII a XI del artículo 18» —enfoque basado en Riesgos, Manual de Políticas Internas, capacitación, mecanismos automatizados y auditoría—, y medidas simplificadas de cumplimiento de acuerdo con el nivel de riesgo que representen, «de conformidad con las disposiciones reglamentarias», a efecto de armonizar la debida aplicación de la ley con la protección del espacio cívico y el derecho a la libertad de asociación.</w:t>
      </w:r>
    </w:p>
    <w:p>
      <w:pPr>
        <w:pStyle w:val="BodyText"/>
        <w:pBdr>
          <w:left w:val="single" w:sz="24" w:space="8" w:color="2E7D32"/>
        </w:pBdr>
        <w:ind w:left="220"/>
      </w:pPr>
      <w:r>
        <w:t xml:space="preserve">Dos precisiones. El programa no se ha publicado a la fecha de este documento. Y el mandato es una obligación de la autoridad, no una suspensión de las obligaciones del sector: mientras no se implemente, lo que ya es exigible sigue siéndolo. Que su ausencia sirva como argumento de proporcionalidad frente a una exigencia concreta es criterio de la casa, no texto.</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Transitorio Cuarto del Decreto de reforma a la Ley publicado el 16 de julio de 2025.</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72"/>
    <w:bookmarkEnd w:id="173"/>
    <w:bookmarkStart w:id="175" w:name="entidades-colegiadas"/>
    <w:p>
      <w:pPr>
        <w:pStyle w:val="Heading2"/>
      </w:pPr>
      <w:r>
        <w:t xml:space="preserve">23. Entidades Colegiadas</w:t>
      </w:r>
    </w:p>
    <w:bookmarkStart w:id="174" w:name="Xf982a69472bac2ab2d05eae58ae8d820dc43bad"/>
    <w:p>
      <w:pPr>
        <w:pStyle w:val="Heading3"/>
        <w:pBdr>
          <w:left w:val="single" w:sz="24" w:space="8" w:color="2E7D32"/>
        </w:pBdr>
        <w:ind w:left="220"/>
      </w:pPr>
      <w:r>
        <w:t xml:space="preserve">126. ¿Qué régimen documental asumen las Entidades Colegiadas?</w:t>
      </w:r>
    </w:p>
    <w:p>
      <w:pPr>
        <w:pStyle w:val="FirstParagraph"/>
        <w:pBdr>
          <w:left w:val="single" w:sz="24" w:space="8" w:color="2E7D32"/>
        </w:pBdr>
        <w:ind w:left="220"/>
      </w:pPr>
      <w:r>
        <w:t xml:space="preserve">Deben celebrar convenio con el SAT y la UIF que les permita expresamente presentar los Avisos de sus integrantes, previa solicitud por escrito con los datos y documentos del Anexo 9 de las Reglas. El convenio no puede tener vigencia superior a diez años contados desde su suscripción, y su renovación, por un plazo igual o menor a diez años, exige que el SAT corrobore el debido cumplimiento y que la UIF determine que la calidad de los Avisos presentados cumple íntegramente con los formatos oficiales, instructivos y guías. Deben conservar, en el domicilio proporcionado y por un plazo mínimo de diez años, la información y documentación que reciban de sus integrantes y los acuses electrónicos generados, y proporcionar capacitación anual a su representante, que es el responsable del cumplimiento y de dar respuesta a los requerimientos.</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 27; Reglamento arts. 32, 33 Bis, 35, 37, 38 y 41; RCG art. 29 y Anexo 9.</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74"/>
    <w:bookmarkEnd w:id="175"/>
    <w:bookmarkStart w:id="177" w:name="arrendamiento"/>
    <w:p>
      <w:pPr>
        <w:pStyle w:val="Heading2"/>
      </w:pPr>
      <w:r>
        <w:t xml:space="preserve">24. Arrendamiento</w:t>
      </w:r>
    </w:p>
    <w:bookmarkStart w:id="176" w:name="X3274eb1283274d5f67537a3dcd23cd72e73e362"/>
    <w:p>
      <w:pPr>
        <w:pStyle w:val="Heading3"/>
        <w:pBdr>
          <w:left w:val="single" w:sz="24" w:space="8" w:color="2E7D32"/>
        </w:pBdr>
        <w:ind w:left="220"/>
      </w:pPr>
      <w:r>
        <w:t xml:space="preserve">127. ¿Cómo se determina el momento del Aviso cuando la renta se paga a fin de mes?</w:t>
      </w:r>
    </w:p>
    <w:p>
      <w:pPr>
        <w:pStyle w:val="FirstParagraph"/>
        <w:pBdr>
          <w:left w:val="single" w:sz="24" w:space="8" w:color="2E7D32"/>
        </w:pBdr>
        <w:ind w:left="220"/>
      </w:pPr>
      <w:r>
        <w:t xml:space="preserve">La fecha del acto u operación es la de recepción de los recursos destinados al pago de la mensualidad correspondiente, y de ahí corre el plazo para presentar el Aviso a más tardar el día 17 del mes inmediato siguiente. El valor mensual es el monto de la renta o precio por el uso o goce temporal del inmueble en un mes calendario; si el pago se pactó con una periodicidad distinta, debe efectuarse el cálculo para llevarlo a valor mensual.</w:t>
      </w:r>
    </w:p>
    <w:p>
      <w:pPr>
        <w:pStyle w:val="BodyText"/>
        <w:pBdr>
          <w:left w:val="single" w:sz="24" w:space="8" w:color="2E7D32"/>
        </w:pBdr>
        <w:ind w:left="220"/>
      </w:pPr>
      <w:r>
        <w:t xml:space="preserve">Las tres cifras no se confunden. La Actividad Vulnerable se configura cuando el valor mensual es superior a 1,605 UMA —aquí el umbral se alcanza al rebasarlo, no al igualarlo—; es objeto de Aviso cuando el monto mensual es igual o superior a 3,210 UMA; y la prohibición de liquidar en efectivo opera también desde 3,210 UMA mensuales. Para los dos primeros umbrales el valor va sin contribuciones ni accesorios, aunque al llenar el Aviso se reportan los montos totales recibidos, contribuciones incluidas y sin desglosar. Para la prohibición de efectivo el cálculo sí incluye contribuciones y accesorios.</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arts. 17, fracción XV, 23, primer párrafo, y 32, fracción VII; Reglamento arts. 5, último párrafo, 6, párrafos primero y tercero, y 31.</w:t>
      </w:r>
      <w:r>
        <w:rPr>
          <w:sz w:val="19"/>
          <w:szCs w:val="19"/>
        </w:rPr>
        <w:t xml:space="preserve"> </w:t>
      </w:r>
      <w:r>
        <w:rPr>
          <w:rStyle w:val="Verde"/>
          <w:sz w:val="19"/>
          <w:szCs w:val="19"/>
        </w:rPr>
        <w:t xml:space="preserve">· Verde · Recurrencia media</w:t>
      </w:r>
    </w:p>
    <w:p>
      <w:pPr>
        <w:spacing w:before="0" w:after="0" w:line="130" w:lineRule="exact"/>
        <w:rPr>
          <w:sz w:val="10"/>
          <w:szCs w:val="10"/>
        </w:rPr>
      </w:pPr>
    </w:p>
    <w:bookmarkEnd w:id="176"/>
    <w:bookmarkEnd w:id="177"/>
    <w:bookmarkStart w:id="180" w:name="inmobiliario-y-desarrollo"/>
    <w:p>
      <w:pPr>
        <w:pStyle w:val="Heading2"/>
      </w:pPr>
      <w:r>
        <w:t xml:space="preserve">25. Inmobiliario y desarrollo</w:t>
      </w:r>
    </w:p>
    <w:bookmarkStart w:id="178" w:name="Xbfc9e80e8f2b64ce4860b8488ac6a1d39e8cab4"/>
    <w:p>
      <w:pPr>
        <w:pStyle w:val="Heading3"/>
        <w:pBdr>
          <w:left w:val="single" w:sz="24" w:space="8" w:color="C77700"/>
        </w:pBdr>
        <w:ind w:left="220"/>
      </w:pPr>
      <w:r>
        <w:t xml:space="preserve">128. Quienes intervienen como comisionistas o intermediarios en la venta inmobiliaria, ¿deben registrarse?</w:t>
      </w:r>
    </w:p>
    <w:p>
      <w:pPr>
        <w:pStyle w:val="FirstParagraph"/>
        <w:pBdr>
          <w:left w:val="single" w:sz="24" w:space="8" w:color="C77700"/>
        </w:pBdr>
        <w:ind w:left="220"/>
      </w:pPr>
      <w:r>
        <w:t xml:space="preserve">La Ley sí nombra la intermediación, de modo que la respuesta no parte de un vacío. Es Actividad Vulnerable la realización habitual o profesional de intermediación en la transmisión de la propiedad o constitución de derechos sobre bienes inmuebles en los que se involucren operaciones de compra o venta de los propios bienes. Quien reúne esos tres elementos —habitualidad o profesionalidad, intermediación y compraventa involucrada— realiza la Actividad Vulnerable y debe realizar su alta y registro en el padrón.</w:t>
      </w:r>
    </w:p>
    <w:p>
      <w:pPr>
        <w:pStyle w:val="BodyText"/>
        <w:pBdr>
          <w:left w:val="single" w:sz="24" w:space="8" w:color="C77700"/>
        </w:pBdr>
        <w:ind w:left="220"/>
      </w:pPr>
      <w:r>
        <w:t xml:space="preserve">Lo abierto es más estrecho: la posición de quien actúa por cuenta ajena en una comisión que no involucra la compraventa del bien. Ese supuesto no está resuelto de manera expresa y su calificación exige analizar el esquema contractual concreto, análisis que este documento no puede hacer por nadie.</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Ley arts. 17, fracción V, y 18, fracción IV Bis; ausencia de regla sobre la comisión que no involucra operación de compra o venta.</w:t>
      </w:r>
      <w:r>
        <w:rPr>
          <w:sz w:val="19"/>
          <w:szCs w:val="19"/>
        </w:rPr>
        <w:t xml:space="preserve"> </w:t>
      </w:r>
      <w:r>
        <w:rPr>
          <w:rStyle w:val="Ambar"/>
          <w:sz w:val="19"/>
          <w:szCs w:val="19"/>
        </w:rPr>
        <w:t xml:space="preserve">· Ámbar · Recurrencia baja</w:t>
      </w:r>
    </w:p>
    <w:p>
      <w:pPr>
        <w:spacing w:before="0" w:after="0" w:line="130" w:lineRule="exact"/>
        <w:rPr>
          <w:sz w:val="10"/>
          <w:szCs w:val="10"/>
        </w:rPr>
      </w:pPr>
    </w:p>
    <w:bookmarkEnd w:id="178"/>
    <w:bookmarkStart w:id="179" w:name="X1cc49c965cffdc14dc6a31f86379788a53b418e"/>
    <w:p>
      <w:pPr>
        <w:pStyle w:val="Heading3"/>
        <w:pBdr>
          <w:left w:val="single" w:sz="24" w:space="8" w:color="C77700"/>
        </w:pBdr>
        <w:ind w:left="220"/>
      </w:pPr>
      <w:r>
        <w:t xml:space="preserve">129. Cuando la persona Cliente o Usuaria no proporciona la información o documentación necesaria, ¿qué obliga la norma y qué ocurre con lo que ya se pagó?</w:t>
      </w:r>
    </w:p>
    <w:p>
      <w:pPr>
        <w:pStyle w:val="FirstParagraph"/>
        <w:pBdr>
          <w:left w:val="single" w:sz="24" w:space="8" w:color="C77700"/>
        </w:pBdr>
        <w:ind w:left="220"/>
      </w:pPr>
      <w:r>
        <w:t xml:space="preserve">La regla general de la abstención está en la pregunta 36 y aquí se da por conocida; lo que esta pregunta añade es qué pasa con el dinero. La Ley resuelve la conducta, y sólo la conducta: quienes realizan Actividades Vulnerables deberán abstenerse,</w:t>
      </w:r>
      <w:r>
        <w:t xml:space="preserve"> </w:t>
      </w:r>
      <w:r>
        <w:rPr>
          <w:bCs/>
          <w:b/>
        </w:rPr>
        <w:t xml:space="preserve">sin responsabilidad alguna</w:t>
      </w:r>
      <w:r>
        <w:t xml:space="preserve">, de llevar a cabo el acto u operación de que se trate cuando las personas Clientes o Usuarias se nieguen a proporcionarles la información o documentación necesaria. Concuerda con ello la regla del expediente, que debe quedar integrado de manera previa o durante la realización del acto u operación. El alcance de la fórmula «sin responsabilidad alguna» es preciso: libera de responsabilidad</w:t>
      </w:r>
      <w:r>
        <w:t xml:space="preserve"> </w:t>
      </w:r>
      <w:r>
        <w:rPr>
          <w:bCs/>
          <w:b/>
        </w:rPr>
        <w:t xml:space="preserve">por abstenerse de operar</w:t>
      </w:r>
      <w:r>
        <w:t xml:space="preserve">. No declara la validez ni la invalidez de lo pactado, ni resuelve las obligaciones contractuales asumidas frente a la persona Cliente o Usuaria.</w:t>
      </w:r>
    </w:p>
    <w:p>
      <w:pPr>
        <w:pStyle w:val="BodyText"/>
        <w:pBdr>
          <w:left w:val="single" w:sz="24" w:space="8" w:color="C77700"/>
        </w:pBdr>
        <w:ind w:left="220"/>
      </w:pPr>
      <w:r>
        <w:t xml:space="preserve">El destino del anticipo o de lo ya pagado no lo regula esta normativa. Depende del contrato, de lo que en él se haya convenido sobre devoluciones, gastos y penas convencionales, y de la legislación aplicable a esa relación. Ninguna disposición de la Ley, del Reglamento o de las Reglas lo resuelve, y este documento no lo resuelve para ningún caso concreto. Si de la negativa se sigue o no un Aviso es cuestión distinta, regida por sus propias reglas y no por el artículo 21.</w:t>
      </w:r>
    </w:p>
    <w:p>
      <w:pPr>
        <w:pStyle w:val="BodyText"/>
        <w:pBdr>
          <w:left w:val="single" w:sz="24" w:space="8" w:color="C77700"/>
        </w:pBdr>
        <w:ind w:left="220"/>
      </w:pPr>
      <w:r>
        <w:rPr>
          <w:bCs/>
          <w:b/>
          <w:sz w:val="19"/>
          <w:szCs w:val="19"/>
        </w:rPr>
        <w:t xml:space="preserve">Fundamento:</w:t>
      </w:r>
      <w:r>
        <w:rPr>
          <w:sz w:val="19"/>
          <w:szCs w:val="19"/>
        </w:rPr>
        <w:t xml:space="preserve"> </w:t>
      </w:r>
      <w:r>
        <w:rPr>
          <w:iCs/>
          <w:i/>
          <w:sz w:val="19"/>
          <w:szCs w:val="19"/>
        </w:rPr>
        <w:t xml:space="preserve">Ley art. 21, segundo párrafo; RCG art. 12, segundo párrafo; ausencia de disposición sobre el destino de los recursos ya recibidos.</w:t>
      </w:r>
      <w:r>
        <w:rPr>
          <w:sz w:val="19"/>
          <w:szCs w:val="19"/>
        </w:rPr>
        <w:t xml:space="preserve"> </w:t>
      </w:r>
      <w:r>
        <w:rPr>
          <w:rStyle w:val="Ambar"/>
          <w:sz w:val="19"/>
          <w:szCs w:val="19"/>
        </w:rPr>
        <w:t xml:space="preserve">· Ámbar · Recurrencia baja</w:t>
      </w:r>
    </w:p>
    <w:p>
      <w:pPr>
        <w:spacing w:before="0" w:after="0" w:line="130" w:lineRule="exact"/>
        <w:rPr>
          <w:sz w:val="10"/>
          <w:szCs w:val="10"/>
        </w:rPr>
      </w:pPr>
    </w:p>
    <w:bookmarkEnd w:id="179"/>
    <w:bookmarkEnd w:id="180"/>
    <w:bookmarkStart w:id="182" w:name="X1536435cfb902da9d71ccaa957e1985ef35bd02"/>
    <w:p>
      <w:pPr>
        <w:pStyle w:val="Heading2"/>
      </w:pPr>
      <w:r>
        <w:t xml:space="preserve">26. Instituciones del Sistema Financiero como contraparte</w:t>
      </w:r>
    </w:p>
    <w:bookmarkStart w:id="181" w:name="X66c72d0cc4e27012301b7fb708e7f101d636d21"/>
    <w:p>
      <w:pPr>
        <w:pStyle w:val="Heading3"/>
        <w:pBdr>
          <w:left w:val="single" w:sz="24" w:space="8" w:color="2E7D32"/>
        </w:pBdr>
        <w:ind w:left="220"/>
      </w:pPr>
      <w:r>
        <w:t xml:space="preserve">130. ¿Por qué el texto menciona a las Instituciones del Sistema Financiero si están sujetas a otro régimen?</w:t>
      </w:r>
    </w:p>
    <w:p>
      <w:pPr>
        <w:pStyle w:val="FirstParagraph"/>
        <w:pBdr>
          <w:left w:val="single" w:sz="24" w:space="8" w:color="2E7D32"/>
        </w:pBdr>
        <w:ind w:left="220"/>
      </w:pPr>
      <w:r>
        <w:t xml:space="preserve">Porque intervienen como Clientes o Usuarias y como contrapartes de quienes realizan Actividades Vulnerables, y porque el Acuerdo actualizó su enumeración: la fracción II Bis del artículo 2 incorporó a los centros cambiarios, transmisores de dinero, asesores en inversión e instituciones de tecnología financiera, y precisó a las instituciones de seguros y de fianzas. Su mención no las convierte en sujetos de este régimen: define su tratamiento cuando aparecen del otro lado de la operación, señaladamente en los supuestos que el artículo 27 Bis exceptúa de Aviso cuando el importe total se ministra o el precio se cubre por su conducto.</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RCG arts. 2, fracción II Bis, y 27 Bis.</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81"/>
    <w:bookmarkEnd w:id="182"/>
    <w:bookmarkStart w:id="184" w:name="juegos-con-apuesta-concursos-y-sorteos"/>
    <w:p>
      <w:pPr>
        <w:pStyle w:val="Heading2"/>
      </w:pPr>
      <w:r>
        <w:t xml:space="preserve">27. Juegos con apuesta, concursos y sorteos</w:t>
      </w:r>
    </w:p>
    <w:bookmarkStart w:id="183" w:name="X865a291ba4d6831cb0f21b95b2865e39c3375eb"/>
    <w:p>
      <w:pPr>
        <w:pStyle w:val="Heading3"/>
        <w:pBdr>
          <w:left w:val="single" w:sz="24" w:space="8" w:color="2E7D32"/>
        </w:pBdr>
        <w:ind w:left="220"/>
      </w:pPr>
      <w:r>
        <w:t xml:space="preserve">131. ¿Cuándo se configura la Actividad Vulnerable por operaciones vinculadas entre sí?</w:t>
      </w:r>
    </w:p>
    <w:p>
      <w:pPr>
        <w:pStyle w:val="FirstParagraph"/>
        <w:pBdr>
          <w:left w:val="single" w:sz="24" w:space="8" w:color="2E7D32"/>
        </w:pBdr>
        <w:ind w:left="220"/>
      </w:pPr>
      <w:r>
        <w:t xml:space="preserve">El Reglamento lo precisó en 2026: existe una serie de transacciones vinculadas entre sí en apariencia cuando se realizan dos o más operaciones de venta de boletos, fichas, comprobantes, pago de premios o transacciones financieras con una misma persona Cliente o Usuaria en el establecimiento o en la plataforma digital de quien realiza la Actividad Vulnerable. Se considera Actividad Vulnerable cuando la suma de esas operaciones es igual o superior a 325 veces el valor diario de la UMA en un periodo de 24 horas contadas a partir de la primera operación. El umbral de Aviso de la fracción I permanece en 645 UMA.</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 17, fracción I; Reglamento arts. 21 y 21 Bis.</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83"/>
    <w:bookmarkEnd w:id="184"/>
    <w:bookmarkStart w:id="186" w:name="mutuo-préstamo-o-crédito"/>
    <w:p>
      <w:pPr>
        <w:pStyle w:val="Heading2"/>
      </w:pPr>
      <w:r>
        <w:t xml:space="preserve">28. Mutuo, préstamo o crédito</w:t>
      </w:r>
    </w:p>
    <w:bookmarkStart w:id="185" w:name="X28f1c7eb8f8d1058c92fa6247d28c0c51da5ea1"/>
    <w:p>
      <w:pPr>
        <w:pStyle w:val="Heading3"/>
        <w:pBdr>
          <w:left w:val="single" w:sz="24" w:space="8" w:color="2E7D32"/>
        </w:pBdr>
        <w:ind w:left="220"/>
      </w:pPr>
      <w:r>
        <w:t xml:space="preserve">132. ¿En qué momento se tiene por realizado el acto para efectos de identificación y Aviso?</w:t>
      </w:r>
    </w:p>
    <w:p>
      <w:pPr>
        <w:pStyle w:val="FirstParagraph"/>
        <w:pBdr>
          <w:left w:val="single" w:sz="24" w:space="8" w:color="2E7D32"/>
        </w:pBdr>
        <w:ind w:left="220"/>
      </w:pPr>
      <w:r>
        <w:t xml:space="preserve">Cuando se ponen a disposición de la persona Cliente o Usuaria los recursos derivados del mutuo, préstamo o crédito otorgado. No es la fecha de firma del contrato ni la de aprobación, sino la de disposición efectiva. Dos precisiones del propio supuesto: la fracción IV comprende únicamente a sujetos distintos a las Entidades Financieras, y no establece monto de identificación, de modo que todos los actos u operaciones son Actividad Vulnerable desde el primero y quedan sujetos a acumulación; el Aviso procede desde que el acto u operación es igual o superior a 1,605 UMA, en lo individual o por acumulación.</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 17, fracción IV; Reglamento arts. 7, tercer párrafo, y 24.</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85"/>
    <w:bookmarkEnd w:id="186"/>
    <w:bookmarkStart w:id="188" w:name="traslado-y-custodia-de-dinero-o-valores"/>
    <w:p>
      <w:pPr>
        <w:pStyle w:val="Heading2"/>
      </w:pPr>
      <w:r>
        <w:t xml:space="preserve">29. Traslado y custodia de dinero o valores</w:t>
      </w:r>
    </w:p>
    <w:bookmarkStart w:id="187" w:name="X3d2e2ab21e882dec0a8bb7e8a04555b6a97cb4d"/>
    <w:p>
      <w:pPr>
        <w:pStyle w:val="Heading3"/>
        <w:pBdr>
          <w:left w:val="single" w:sz="24" w:space="8" w:color="2E7D32"/>
        </w:pBdr>
        <w:ind w:left="220"/>
      </w:pPr>
      <w:r>
        <w:t xml:space="preserve">133. ¿Cómo se determina el monto y qué ocurre con los valores sin valor intrínseco?</w:t>
      </w:r>
    </w:p>
    <w:p>
      <w:pPr>
        <w:pStyle w:val="FirstParagraph"/>
        <w:pBdr>
          <w:left w:val="single" w:sz="24" w:space="8" w:color="2E7D32"/>
        </w:pBdr>
        <w:ind w:left="220"/>
      </w:pPr>
      <w:r>
        <w:t xml:space="preserve">El monto es el valor del dinero o el señalado en el cuerpo de los valores trasladados o custodiados, y el Aviso procede cuando ese monto es igual o superior a 3,210 UMA. Respecto de aquellos que no tienen valor intrínseco, no lo señalan en su cuerpo y no cuentan con un documento que establezca un valor específico, la norma es categórica: en todos los casos serán objeto de Aviso. Se considera que realizan esta Actividad quienes presten el servicio al amparo de la autorización a que se refiere la Ley Federal de Seguridad Privada o las leyes de las entidades federativas correspondientes en la materia, y quedan excluidas por la propia Ley las operaciones en las que intervenga el Banco de México o las instituciones dedicadas al depósito de valores. El Reglamento define además qué debe entenderse por valores para este supuesto.</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 17, fracción X; Reglamento arts. 25, 26 y 28.</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87"/>
    <w:bookmarkEnd w:id="188"/>
    <w:bookmarkStart w:id="190" w:name="X92f3c30f4e79cf1cf9fb0778f2d17dca115a58a"/>
    <w:p>
      <w:pPr>
        <w:pStyle w:val="Heading2"/>
      </w:pPr>
      <w:r>
        <w:t xml:space="preserve">30. Tarjetas prepagadas e instrumentos de valor monetario</w:t>
      </w:r>
    </w:p>
    <w:bookmarkStart w:id="189" w:name="Xef038e1977829239e847193df805379ef151e25"/>
    <w:p>
      <w:pPr>
        <w:pStyle w:val="Heading3"/>
        <w:pBdr>
          <w:left w:val="single" w:sz="24" w:space="8" w:color="2E7D32"/>
        </w:pBdr>
        <w:ind w:left="220"/>
      </w:pPr>
      <w:r>
        <w:t xml:space="preserve">134. ¿Qué actos son objeto de identificación y Aviso en estos instrumentos?</w:t>
      </w:r>
    </w:p>
    <w:p>
      <w:pPr>
        <w:pStyle w:val="FirstParagraph"/>
        <w:pBdr>
          <w:left w:val="single" w:sz="24" w:space="8" w:color="2E7D32"/>
        </w:pBdr>
        <w:ind w:left="220"/>
      </w:pPr>
      <w:r>
        <w:t xml:space="preserve">La emisión, la comercialización o el abono de recursos con posterioridad a su emisión, en los montos que la Ley señala. El Reglamento amplía además el catálogo de instrumentos de almacenamiento de valor monetario: comprende los vales o cupones, impresos o electrónicos, que puedan utilizarse o canjearse para la adquisición de bienes o servicios, y los monederos electrónicos, certificados o cupones a los que, sin que exista depósito previo del titular, se abonen recursos provenientes de premios, promociones, devoluciones o programas de recompensas comerciales y puedan usarse en establecimientos distintos del emisor o para disponer de dinero en efectivo.</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 17, fracción II, incisos b) y c); Reglamento arts. 22 y 23.</w:t>
      </w:r>
      <w:r>
        <w:rPr>
          <w:sz w:val="19"/>
          <w:szCs w:val="19"/>
        </w:rPr>
        <w:t xml:space="preserve"> </w:t>
      </w:r>
      <w:r>
        <w:rPr>
          <w:rStyle w:val="Verde"/>
          <w:sz w:val="19"/>
          <w:szCs w:val="19"/>
        </w:rPr>
        <w:t xml:space="preserve">· Verde · Recurrencia baja</w:t>
      </w:r>
    </w:p>
    <w:p>
      <w:pPr>
        <w:spacing w:before="0" w:after="0" w:line="130" w:lineRule="exact"/>
        <w:rPr>
          <w:sz w:val="10"/>
          <w:szCs w:val="10"/>
        </w:rPr>
      </w:pPr>
    </w:p>
    <w:bookmarkEnd w:id="189"/>
    <w:bookmarkEnd w:id="190"/>
    <w:bookmarkStart w:id="192" w:name="comercio-exterior-y-agentes-aduanales"/>
    <w:p>
      <w:pPr>
        <w:pStyle w:val="Heading2"/>
      </w:pPr>
      <w:r>
        <w:t xml:space="preserve">31. Comercio exterior y agentes aduanales</w:t>
      </w:r>
    </w:p>
    <w:bookmarkStart w:id="191" w:name="Xacda47176debba774344403c2f8d6296cf693f5"/>
    <w:p>
      <w:pPr>
        <w:pStyle w:val="Heading3"/>
        <w:pBdr>
          <w:left w:val="single" w:sz="24" w:space="8" w:color="2E7D32"/>
        </w:pBdr>
        <w:ind w:left="220"/>
      </w:pPr>
      <w:r>
        <w:t xml:space="preserve">135. ¿Cómo cumplen la obligación de presentar Avisos y qué monto consideran?</w:t>
      </w:r>
    </w:p>
    <w:p>
      <w:pPr>
        <w:pStyle w:val="FirstParagraph"/>
        <w:pBdr>
          <w:left w:val="single" w:sz="24" w:space="8" w:color="2E7D32"/>
        </w:pBdr>
        <w:ind w:left="220"/>
      </w:pPr>
      <w:r>
        <w:t xml:space="preserve">Cumplen mediante el sistema electrónico por el que se transmite la información del pedimento al SAT o a cualquiera de sus unidades administrativas, de acuerdo con la normativa aduanera. El monto o valor a considerar es el valor en aduana de las mercancías; la fecha del acto u operación es la que se establezca de conformidad con la legislación aduanera, y las fracciones arancelarias que identifican las mercancías de la fracción XIV se especifican en el formato oficial que para la presentación de Avisos determine y expida la UIF. Estas actividades son objeto de Aviso en todos los casos que la propia fracción señala, atendiendo a lo previsto en el artículo 19 de la Ley. Conviene distinguir esta obligación del alta y registro: tratándose de las agencias aduanales y de las personas morales referidas en el artículo 17, fracción XIV de la Ley, el Transitorio Tercero del decreto DOF 27-mar-2026 difiere la obligación del artículo 18, fracción IV Bis de la Ley hasta que el formato oficial las identifique expresamente, sin que exista fecha cierta.</w:t>
      </w:r>
    </w:p>
    <w:p>
      <w:pPr>
        <w:pStyle w:val="BodyText"/>
        <w:pBdr>
          <w:left w:val="single" w:sz="24" w:space="8" w:color="2E7D32"/>
        </w:pBdr>
        <w:ind w:left="220"/>
      </w:pPr>
      <w:r>
        <w:rPr>
          <w:bCs/>
          <w:b/>
          <w:sz w:val="19"/>
          <w:szCs w:val="19"/>
        </w:rPr>
        <w:t xml:space="preserve">Fundamento:</w:t>
      </w:r>
      <w:r>
        <w:rPr>
          <w:sz w:val="19"/>
          <w:szCs w:val="19"/>
        </w:rPr>
        <w:t xml:space="preserve"> </w:t>
      </w:r>
      <w:r>
        <w:rPr>
          <w:iCs/>
          <w:i/>
          <w:sz w:val="19"/>
          <w:szCs w:val="19"/>
        </w:rPr>
        <w:t xml:space="preserve">Ley arts. 17, fracción XIV, y 19; Reglamento arts. 5, tercer párrafo, 6, segundo párrafo, 16, primer párrafo, y 30; Transitorio Tercero del decreto DOF 27-mar-2026.</w:t>
      </w:r>
      <w:r>
        <w:rPr>
          <w:sz w:val="19"/>
          <w:szCs w:val="19"/>
        </w:rPr>
        <w:t xml:space="preserve"> </w:t>
      </w:r>
      <w:r>
        <w:rPr>
          <w:rStyle w:val="Verde"/>
          <w:sz w:val="19"/>
          <w:szCs w:val="19"/>
        </w:rPr>
        <w:t xml:space="preserve">· Verde · Recurrencia baja</w:t>
      </w:r>
    </w:p>
    <w:p>
      <w:pPr>
        <w:spacing w:before="0" w:after="0" w:line="130" w:lineRule="exact"/>
        <w:rPr>
          <w:sz w:val="10"/>
          <w:szCs w:val="10"/>
        </w:rPr>
      </w:pPr>
    </w:p>
    <w:p>
      <w:r>
        <w:pict>
          <v:rect style="width:0;height:1.5pt" o:hralign="center" o:hrstd="t" o:hr="t"/>
        </w:pict>
      </w:r>
    </w:p>
    <w:p>
      <w:r>
        <w:br w:type="page"/>
      </w:r>
    </w:p>
    <w:bookmarkEnd w:id="191"/>
    <w:bookmarkEnd w:id="192"/>
    <w:bookmarkEnd w:id="193"/>
    <w:bookmarkStart w:id="196" w:name="resumen-por-sección"/>
    <w:p>
      <w:pPr>
        <w:pStyle w:val="Heading1"/>
      </w:pPr>
      <w:r>
        <w:t xml:space="preserve">RESUMEN POR SECCIÓN</w:t>
      </w:r>
    </w:p>
    <w:tbl>
      <w:tblPr>
        <w:tblStyle w:val="Table"/>
        <w:tblW w:type="pct" w:w="5000"/>
        <w:tblLook w:firstRow="1" w:lastRow="0" w:firstColumn="0" w:lastColumn="0" w:noHBand="0" w:noVBand="0" w:val="0020"/>
        <w:jc w:val="start"/>
      </w:tblPr>
      <w:tblGrid>
        <w:gridCol w:w="4292"/>
        <w:gridCol w:w="868"/>
        <w:gridCol w:w="868"/>
        <w:gridCol w:w="868"/>
        <w:gridCol w:w="1021"/>
      </w:tblGrid>
      <w:tr>
        <w:trPr>
          <w:tblHeader w:val="true"/>
        </w:trPr>
        <w:tc>
          <w:tcPr/>
          <w:p>
            <w:pPr>
              <w:pStyle w:val="Compact"/>
              <w:jc w:val="left"/>
            </w:pPr>
            <w:r>
              <w:t xml:space="preserve">Sección</w:t>
            </w:r>
          </w:p>
        </w:tc>
        <w:tc>
          <w:tcPr/>
          <w:p>
            <w:pPr>
              <w:pStyle w:val="Compact"/>
              <w:jc w:val="left"/>
            </w:pPr>
            <w:r>
              <w:t xml:space="preserve">Verde</w:t>
            </w:r>
          </w:p>
        </w:tc>
        <w:tc>
          <w:tcPr/>
          <w:p>
            <w:pPr>
              <w:pStyle w:val="Compact"/>
              <w:jc w:val="left"/>
            </w:pPr>
            <w:r>
              <w:t xml:space="preserve">Ámbar</w:t>
            </w:r>
          </w:p>
        </w:tc>
        <w:tc>
          <w:tcPr/>
          <w:p>
            <w:pPr>
              <w:pStyle w:val="Compact"/>
              <w:jc w:val="left"/>
            </w:pPr>
            <w:r>
              <w:t xml:space="preserve">Rojo</w:t>
            </w:r>
          </w:p>
        </w:tc>
        <w:tc>
          <w:tcPr/>
          <w:p>
            <w:pPr>
              <w:pStyle w:val="Compact"/>
              <w:jc w:val="left"/>
            </w:pPr>
            <w:r>
              <w:t xml:space="preserve">Total</w:t>
            </w:r>
          </w:p>
        </w:tc>
      </w:tr>
      <w:tr>
        <w:tc>
          <w:tcPr/>
          <w:p>
            <w:pPr>
              <w:pStyle w:val="Compact"/>
              <w:jc w:val="left"/>
            </w:pPr>
            <w:r>
              <w:t xml:space="preserve">1. Alta, registro y padrón</w:t>
            </w:r>
          </w:p>
        </w:tc>
        <w:tc>
          <w:tcPr/>
          <w:p>
            <w:pPr>
              <w:pStyle w:val="Compact"/>
              <w:jc w:val="left"/>
            </w:pPr>
            <w:r>
              <w:t xml:space="preserve">5</w:t>
            </w:r>
          </w:p>
        </w:tc>
        <w:tc>
          <w:tcPr/>
          <w:p>
            <w:pPr>
              <w:pStyle w:val="Compact"/>
              <w:jc w:val="left"/>
            </w:pPr>
            <w:r>
              <w:t xml:space="preserve">1</w:t>
            </w:r>
          </w:p>
        </w:tc>
        <w:tc>
          <w:tcPr/>
          <w:p>
            <w:pPr>
              <w:pStyle w:val="Compact"/>
              <w:jc w:val="left"/>
            </w:pPr>
            <w:r>
              <w:t xml:space="preserve">—</w:t>
            </w:r>
          </w:p>
        </w:tc>
        <w:tc>
          <w:tcPr/>
          <w:p>
            <w:pPr>
              <w:pStyle w:val="Compact"/>
              <w:jc w:val="left"/>
            </w:pPr>
            <w:r>
              <w:t xml:space="preserve">6</w:t>
            </w:r>
          </w:p>
        </w:tc>
      </w:tr>
      <w:tr>
        <w:tc>
          <w:tcPr/>
          <w:p>
            <w:pPr>
              <w:pStyle w:val="Compact"/>
              <w:jc w:val="left"/>
            </w:pPr>
            <w:r>
              <w:t xml:space="preserve">2. Persona Representante Encargada de Cumplimiento</w:t>
            </w:r>
          </w:p>
        </w:tc>
        <w:tc>
          <w:tcPr/>
          <w:p>
            <w:pPr>
              <w:pStyle w:val="Compact"/>
              <w:jc w:val="left"/>
            </w:pPr>
            <w:r>
              <w:t xml:space="preserve">4</w:t>
            </w:r>
          </w:p>
        </w:tc>
        <w:tc>
          <w:tcPr/>
          <w:p>
            <w:pPr>
              <w:pStyle w:val="Compact"/>
              <w:jc w:val="left"/>
            </w:pPr>
            <w:r>
              <w:t xml:space="preserve">4</w:t>
            </w:r>
          </w:p>
        </w:tc>
        <w:tc>
          <w:tcPr/>
          <w:p>
            <w:pPr>
              <w:pStyle w:val="Compact"/>
              <w:jc w:val="left"/>
            </w:pPr>
            <w:r>
              <w:t xml:space="preserve">—</w:t>
            </w:r>
          </w:p>
        </w:tc>
        <w:tc>
          <w:tcPr/>
          <w:p>
            <w:pPr>
              <w:pStyle w:val="Compact"/>
              <w:jc w:val="left"/>
            </w:pPr>
            <w:r>
              <w:t xml:space="preserve">8</w:t>
            </w:r>
          </w:p>
        </w:tc>
      </w:tr>
      <w:tr>
        <w:tc>
          <w:tcPr/>
          <w:p>
            <w:pPr>
              <w:pStyle w:val="Compact"/>
              <w:jc w:val="left"/>
            </w:pPr>
            <w:r>
              <w:t xml:space="preserve">3. Certificación de la UIF</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4. Buzón, notificaciones electrónicas y requerimientos</w:t>
            </w:r>
          </w:p>
        </w:tc>
        <w:tc>
          <w:tcPr/>
          <w:p>
            <w:pPr>
              <w:pStyle w:val="Compact"/>
              <w:jc w:val="left"/>
            </w:pPr>
            <w:r>
              <w:t xml:space="preserve">3</w:t>
            </w:r>
          </w:p>
        </w:tc>
        <w:tc>
          <w:tcPr/>
          <w:p>
            <w:pPr>
              <w:pStyle w:val="Compact"/>
              <w:jc w:val="left"/>
            </w:pPr>
            <w:r>
              <w:t xml:space="preserve">2</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5. Identificación del Cliente, expediente único y confidencialidad</w:t>
            </w:r>
          </w:p>
        </w:tc>
        <w:tc>
          <w:tcPr/>
          <w:p>
            <w:pPr>
              <w:pStyle w:val="Compact"/>
              <w:jc w:val="left"/>
            </w:pPr>
            <w:r>
              <w:t xml:space="preserve">12</w:t>
            </w:r>
          </w:p>
        </w:tc>
        <w:tc>
          <w:tcPr/>
          <w:p>
            <w:pPr>
              <w:pStyle w:val="Compact"/>
              <w:jc w:val="left"/>
            </w:pPr>
            <w:r>
              <w:t xml:space="preserve">2</w:t>
            </w:r>
          </w:p>
        </w:tc>
        <w:tc>
          <w:tcPr/>
          <w:p>
            <w:pPr>
              <w:pStyle w:val="Compact"/>
              <w:jc w:val="left"/>
            </w:pPr>
            <w:r>
              <w:t xml:space="preserve">—</w:t>
            </w:r>
          </w:p>
        </w:tc>
        <w:tc>
          <w:tcPr/>
          <w:p>
            <w:pPr>
              <w:pStyle w:val="Compact"/>
              <w:jc w:val="left"/>
            </w:pPr>
            <w:r>
              <w:t xml:space="preserve">14</w:t>
            </w:r>
          </w:p>
        </w:tc>
      </w:tr>
      <w:tr>
        <w:tc>
          <w:tcPr/>
          <w:p>
            <w:pPr>
              <w:pStyle w:val="Compact"/>
              <w:jc w:val="left"/>
            </w:pPr>
            <w:r>
              <w:t xml:space="preserve">6. Relación de negocios, umbrales y acumulación</w:t>
            </w:r>
          </w:p>
        </w:tc>
        <w:tc>
          <w:tcPr/>
          <w:p>
            <w:pPr>
              <w:pStyle w:val="Compact"/>
              <w:jc w:val="left"/>
            </w:pPr>
            <w:r>
              <w:t xml:space="preserve">5</w:t>
            </w:r>
          </w:p>
        </w:tc>
        <w:tc>
          <w:tcPr/>
          <w:p>
            <w:pPr>
              <w:pStyle w:val="Compact"/>
              <w:jc w:val="left"/>
            </w:pPr>
            <w:r>
              <w:t xml:space="preserve">1</w:t>
            </w:r>
          </w:p>
        </w:tc>
        <w:tc>
          <w:tcPr/>
          <w:p>
            <w:pPr>
              <w:pStyle w:val="Compact"/>
              <w:jc w:val="left"/>
            </w:pPr>
            <w:r>
              <w:t xml:space="preserve">—</w:t>
            </w:r>
          </w:p>
        </w:tc>
        <w:tc>
          <w:tcPr/>
          <w:p>
            <w:pPr>
              <w:pStyle w:val="Compact"/>
              <w:jc w:val="left"/>
            </w:pPr>
            <w:r>
              <w:t xml:space="preserve">6</w:t>
            </w:r>
          </w:p>
        </w:tc>
      </w:tr>
      <w:tr>
        <w:tc>
          <w:tcPr/>
          <w:p>
            <w:pPr>
              <w:pStyle w:val="Compact"/>
              <w:jc w:val="left"/>
            </w:pPr>
            <w:r>
              <w:t xml:space="preserve">7. Beneficiario Controlador</w:t>
            </w:r>
          </w:p>
        </w:tc>
        <w:tc>
          <w:tcPr/>
          <w:p>
            <w:pPr>
              <w:pStyle w:val="Compact"/>
              <w:jc w:val="left"/>
            </w:pPr>
            <w:r>
              <w:t xml:space="preserve">8</w:t>
            </w:r>
          </w:p>
        </w:tc>
        <w:tc>
          <w:tcPr/>
          <w:p>
            <w:pPr>
              <w:pStyle w:val="Compact"/>
              <w:jc w:val="left"/>
            </w:pPr>
            <w:r>
              <w:t xml:space="preserve">3</w:t>
            </w:r>
          </w:p>
        </w:tc>
        <w:tc>
          <w:tcPr/>
          <w:p>
            <w:pPr>
              <w:pStyle w:val="Compact"/>
              <w:jc w:val="left"/>
            </w:pPr>
            <w:r>
              <w:t xml:space="preserve">—</w:t>
            </w:r>
          </w:p>
        </w:tc>
        <w:tc>
          <w:tcPr/>
          <w:p>
            <w:pPr>
              <w:pStyle w:val="Compact"/>
              <w:jc w:val="left"/>
            </w:pPr>
            <w:r>
              <w:t xml:space="preserve">11</w:t>
            </w:r>
          </w:p>
        </w:tc>
      </w:tr>
      <w:tr>
        <w:tc>
          <w:tcPr/>
          <w:p>
            <w:pPr>
              <w:pStyle w:val="Compact"/>
              <w:jc w:val="left"/>
            </w:pPr>
            <w:r>
              <w:t xml:space="preserve">8. Enfoque basado en Riesgos, proporcionalidad y guías pendientes</w:t>
            </w:r>
          </w:p>
        </w:tc>
        <w:tc>
          <w:tcPr/>
          <w:p>
            <w:pPr>
              <w:pStyle w:val="Compact"/>
              <w:jc w:val="left"/>
            </w:pPr>
            <w:r>
              <w:t xml:space="preserve">3</w:t>
            </w:r>
          </w:p>
        </w:tc>
        <w:tc>
          <w:tcPr/>
          <w:p>
            <w:pPr>
              <w:pStyle w:val="Compact"/>
              <w:jc w:val="left"/>
            </w:pPr>
            <w:r>
              <w:t xml:space="preserve">3</w:t>
            </w:r>
          </w:p>
        </w:tc>
        <w:tc>
          <w:tcPr/>
          <w:p>
            <w:pPr>
              <w:pStyle w:val="Compact"/>
              <w:jc w:val="left"/>
            </w:pPr>
            <w:r>
              <w:t xml:space="preserve">—</w:t>
            </w:r>
          </w:p>
        </w:tc>
        <w:tc>
          <w:tcPr/>
          <w:p>
            <w:pPr>
              <w:pStyle w:val="Compact"/>
              <w:jc w:val="left"/>
            </w:pPr>
            <w:r>
              <w:t xml:space="preserve">6</w:t>
            </w:r>
          </w:p>
        </w:tc>
      </w:tr>
      <w:tr>
        <w:tc>
          <w:tcPr/>
          <w:p>
            <w:pPr>
              <w:pStyle w:val="Compact"/>
              <w:jc w:val="left"/>
            </w:pPr>
            <w:r>
              <w:t xml:space="preserve">9. Conocimiento del Cliente y Perfil transaccional</w:t>
            </w:r>
          </w:p>
        </w:tc>
        <w:tc>
          <w:tcPr/>
          <w:p>
            <w:pPr>
              <w:pStyle w:val="Compact"/>
              <w:jc w:val="left"/>
            </w:pPr>
            <w:r>
              <w:t xml:space="preserve">3</w:t>
            </w:r>
          </w:p>
        </w:tc>
        <w:tc>
          <w:tcPr/>
          <w:p>
            <w:pPr>
              <w:pStyle w:val="Compact"/>
              <w:jc w:val="left"/>
            </w:pPr>
            <w:r>
              <w:t xml:space="preserve">1</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10. Avisos e Informes</w:t>
            </w:r>
          </w:p>
        </w:tc>
        <w:tc>
          <w:tcPr/>
          <w:p>
            <w:pPr>
              <w:pStyle w:val="Compact"/>
              <w:jc w:val="left"/>
            </w:pPr>
            <w:r>
              <w:t xml:space="preserve">8</w:t>
            </w:r>
          </w:p>
        </w:tc>
        <w:tc>
          <w:tcPr/>
          <w:p>
            <w:pPr>
              <w:pStyle w:val="Compact"/>
              <w:jc w:val="left"/>
            </w:pPr>
            <w:r>
              <w:t xml:space="preserve">3</w:t>
            </w:r>
          </w:p>
        </w:tc>
        <w:tc>
          <w:tcPr/>
          <w:p>
            <w:pPr>
              <w:pStyle w:val="Compact"/>
              <w:jc w:val="left"/>
            </w:pPr>
            <w:r>
              <w:t xml:space="preserve">—</w:t>
            </w:r>
          </w:p>
        </w:tc>
        <w:tc>
          <w:tcPr/>
          <w:p>
            <w:pPr>
              <w:pStyle w:val="Compact"/>
              <w:jc w:val="left"/>
            </w:pPr>
            <w:r>
              <w:t xml:space="preserve">11</w:t>
            </w:r>
          </w:p>
        </w:tc>
      </w:tr>
      <w:tr>
        <w:tc>
          <w:tcPr/>
          <w:p>
            <w:pPr>
              <w:pStyle w:val="Compact"/>
              <w:jc w:val="left"/>
            </w:pPr>
            <w:r>
              <w:t xml:space="preserve">11. Manual de Políticas Internas y delimitación de funciones</w:t>
            </w:r>
          </w:p>
        </w:tc>
        <w:tc>
          <w:tcPr/>
          <w:p>
            <w:pPr>
              <w:pStyle w:val="Compact"/>
              <w:jc w:val="left"/>
            </w:pPr>
            <w:r>
              <w:t xml:space="preserve">2</w:t>
            </w:r>
          </w:p>
        </w:tc>
        <w:tc>
          <w:tcPr/>
          <w:p>
            <w:pPr>
              <w:pStyle w:val="Compact"/>
              <w:jc w:val="left"/>
            </w:pPr>
            <w:r>
              <w:t xml:space="preserve">5</w:t>
            </w:r>
          </w:p>
        </w:tc>
        <w:tc>
          <w:tcPr/>
          <w:p>
            <w:pPr>
              <w:pStyle w:val="Compact"/>
              <w:jc w:val="left"/>
            </w:pPr>
            <w:r>
              <w:t xml:space="preserve">—</w:t>
            </w:r>
          </w:p>
        </w:tc>
        <w:tc>
          <w:tcPr/>
          <w:p>
            <w:pPr>
              <w:pStyle w:val="Compact"/>
              <w:jc w:val="left"/>
            </w:pPr>
            <w:r>
              <w:t xml:space="preserve">7</w:t>
            </w:r>
          </w:p>
        </w:tc>
      </w:tr>
      <w:tr>
        <w:tc>
          <w:tcPr/>
          <w:p>
            <w:pPr>
              <w:pStyle w:val="Compact"/>
              <w:jc w:val="left"/>
            </w:pPr>
            <w:r>
              <w:t xml:space="preserve">12. Responsabilidad de la persona Representante y frontera penal</w:t>
            </w:r>
          </w:p>
        </w:tc>
        <w:tc>
          <w:tcPr/>
          <w:p>
            <w:pPr>
              <w:pStyle w:val="Compact"/>
              <w:jc w:val="left"/>
            </w:pPr>
            <w:r>
              <w:t xml:space="preserve">1</w:t>
            </w:r>
          </w:p>
        </w:tc>
        <w:tc>
          <w:tcPr/>
          <w:p>
            <w:pPr>
              <w:pStyle w:val="Compact"/>
              <w:jc w:val="left"/>
            </w:pPr>
            <w:r>
              <w:t xml:space="preserve">4</w:t>
            </w:r>
          </w:p>
        </w:tc>
        <w:tc>
          <w:tcPr/>
          <w:p>
            <w:pPr>
              <w:pStyle w:val="Compact"/>
              <w:jc w:val="left"/>
            </w:pPr>
            <w:r>
              <w:t xml:space="preserve">2</w:t>
            </w:r>
          </w:p>
        </w:tc>
        <w:tc>
          <w:tcPr/>
          <w:p>
            <w:pPr>
              <w:pStyle w:val="Compact"/>
              <w:jc w:val="left"/>
            </w:pPr>
            <w:r>
              <w:t xml:space="preserve">7</w:t>
            </w:r>
          </w:p>
        </w:tc>
      </w:tr>
      <w:tr>
        <w:tc>
          <w:tcPr/>
          <w:p>
            <w:pPr>
              <w:pStyle w:val="Compact"/>
              <w:jc w:val="left"/>
            </w:pPr>
            <w:r>
              <w:t xml:space="preserve">13. Capacitación y selección de personal</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14. Mecanismos automatizados</w:t>
            </w:r>
          </w:p>
        </w:tc>
        <w:tc>
          <w:tcPr/>
          <w:p>
            <w:pPr>
              <w:pStyle w:val="Compact"/>
              <w:jc w:val="left"/>
            </w:pPr>
            <w:r>
              <w:t xml:space="preserve">2</w:t>
            </w:r>
          </w:p>
        </w:tc>
        <w:tc>
          <w:tcPr/>
          <w:p>
            <w:pPr>
              <w:pStyle w:val="Compact"/>
              <w:jc w:val="left"/>
            </w:pPr>
            <w:r>
              <w:t xml:space="preserve">1</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15. Auditoría y dictamen</w:t>
            </w:r>
          </w:p>
        </w:tc>
        <w:tc>
          <w:tcPr/>
          <w:p>
            <w:pPr>
              <w:pStyle w:val="Compact"/>
              <w:jc w:val="left"/>
            </w:pPr>
            <w:r>
              <w:t xml:space="preserve">4</w:t>
            </w:r>
          </w:p>
        </w:tc>
        <w:tc>
          <w:tcPr/>
          <w:p>
            <w:pPr>
              <w:pStyle w:val="Compact"/>
              <w:jc w:val="left"/>
            </w:pPr>
            <w:r>
              <w:t xml:space="preserve">1</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16. Conservación de información</w:t>
            </w:r>
          </w:p>
        </w:tc>
        <w:tc>
          <w:tcPr/>
          <w:p>
            <w:pPr>
              <w:pStyle w:val="Compact"/>
              <w:jc w:val="left"/>
            </w:pPr>
            <w:r>
              <w:t xml:space="preserve">1</w:t>
            </w:r>
          </w:p>
        </w:tc>
        <w:tc>
          <w:tcPr/>
          <w:p>
            <w:pPr>
              <w:pStyle w:val="Compact"/>
              <w:jc w:val="left"/>
            </w:pPr>
            <w:r>
              <w:t xml:space="preserve">1</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17. Listas y Personas Políticamente Expuestas</w:t>
            </w:r>
          </w:p>
        </w:tc>
        <w:tc>
          <w:tcPr/>
          <w:p>
            <w:pPr>
              <w:pStyle w:val="Compact"/>
              <w:jc w:val="left"/>
            </w:pPr>
            <w:r>
              <w:t xml:space="preserve">—</w:t>
            </w:r>
          </w:p>
        </w:tc>
        <w:tc>
          <w:tcPr/>
          <w:p>
            <w:pPr>
              <w:pStyle w:val="Compact"/>
              <w:jc w:val="left"/>
            </w:pPr>
            <w:r>
              <w:t xml:space="preserve">2</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18. Sanciones, facultades de la autoridad y autocorrección</w:t>
            </w:r>
          </w:p>
        </w:tc>
        <w:tc>
          <w:tcPr/>
          <w:p>
            <w:pPr>
              <w:pStyle w:val="Compact"/>
              <w:jc w:val="left"/>
            </w:pPr>
            <w:r>
              <w:t xml:space="preserve">2</w:t>
            </w:r>
          </w:p>
        </w:tc>
        <w:tc>
          <w:tcPr/>
          <w:p>
            <w:pPr>
              <w:pStyle w:val="Compact"/>
              <w:jc w:val="left"/>
            </w:pPr>
            <w:r>
              <w:t xml:space="preserve">3</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19. Fedatarios públicos: notarios y corredores</w:t>
            </w:r>
          </w:p>
        </w:tc>
        <w:tc>
          <w:tcPr/>
          <w:p>
            <w:pPr>
              <w:pStyle w:val="Compact"/>
              <w:jc w:val="left"/>
            </w:pPr>
            <w:r>
              <w:t xml:space="preserve">3</w:t>
            </w:r>
          </w:p>
        </w:tc>
        <w:tc>
          <w:tcPr/>
          <w:p>
            <w:pPr>
              <w:pStyle w:val="Compact"/>
              <w:jc w:val="left"/>
            </w:pPr>
            <w:r>
              <w:t xml:space="preserve">2</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20. Fideicomisos y figuras jurídicas</w:t>
            </w:r>
          </w:p>
        </w:tc>
        <w:tc>
          <w:tcPr/>
          <w:p>
            <w:pPr>
              <w:pStyle w:val="Compact"/>
              <w:jc w:val="left"/>
            </w:pPr>
            <w:r>
              <w:t xml:space="preserve">2</w:t>
            </w:r>
          </w:p>
        </w:tc>
        <w:tc>
          <w:tcPr/>
          <w:p>
            <w:pPr>
              <w:pStyle w:val="Compact"/>
              <w:jc w:val="left"/>
            </w:pPr>
            <w:r>
              <w:t xml:space="preserve">1</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21. Proveedores de servicios con activos virtuales</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22. Asociaciones y sociedades sin fines de lucro</w:t>
            </w:r>
          </w:p>
        </w:tc>
        <w:tc>
          <w:tcPr/>
          <w:p>
            <w:pPr>
              <w:pStyle w:val="Compact"/>
              <w:jc w:val="left"/>
            </w:pPr>
            <w:r>
              <w:t xml:space="preserve">2</w:t>
            </w:r>
          </w:p>
        </w:tc>
        <w:tc>
          <w:tcPr/>
          <w:p>
            <w:pPr>
              <w:pStyle w:val="Compact"/>
              <w:jc w:val="left"/>
            </w:pPr>
            <w:r>
              <w:t xml:space="preserve">1</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23. Entidades Colegiadas</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24. Arrendamiento</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25. Inmobiliario y desarrollo</w:t>
            </w:r>
          </w:p>
        </w:tc>
        <w:tc>
          <w:tcPr/>
          <w:p>
            <w:pPr>
              <w:pStyle w:val="Compact"/>
              <w:jc w:val="left"/>
            </w:pPr>
            <w:r>
              <w:t xml:space="preserve">—</w:t>
            </w:r>
          </w:p>
        </w:tc>
        <w:tc>
          <w:tcPr/>
          <w:p>
            <w:pPr>
              <w:pStyle w:val="Compact"/>
              <w:jc w:val="left"/>
            </w:pPr>
            <w:r>
              <w:t xml:space="preserve">2</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26. Instituciones del Sistema Financiero como contraparte</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27. Juegos con apuesta, concursos y sorteos</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28. Mutuo, préstamo o crédito</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29. Traslado y custodia de dinero o valores</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30. Tarjetas prepagadas e instrumentos de valor monetario</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31. Comercio exterior y agentes aduanales</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rPr>
                <w:bCs/>
                <w:b/>
              </w:rPr>
              <w:t xml:space="preserve">TOTAL</w:t>
            </w:r>
          </w:p>
        </w:tc>
        <w:tc>
          <w:tcPr/>
          <w:p>
            <w:pPr>
              <w:pStyle w:val="Compact"/>
              <w:jc w:val="left"/>
            </w:pPr>
            <w:r>
              <w:rPr>
                <w:bCs/>
                <w:b/>
              </w:rPr>
              <w:t xml:space="preserve">88</w:t>
            </w:r>
          </w:p>
        </w:tc>
        <w:tc>
          <w:tcPr/>
          <w:p>
            <w:pPr>
              <w:pStyle w:val="Compact"/>
              <w:jc w:val="left"/>
            </w:pPr>
            <w:r>
              <w:rPr>
                <w:bCs/>
                <w:b/>
              </w:rPr>
              <w:t xml:space="preserve">44</w:t>
            </w:r>
          </w:p>
        </w:tc>
        <w:tc>
          <w:tcPr/>
          <w:p>
            <w:pPr>
              <w:pStyle w:val="Compact"/>
              <w:jc w:val="left"/>
            </w:pPr>
            <w:r>
              <w:rPr>
                <w:bCs/>
                <w:b/>
              </w:rPr>
              <w:t xml:space="preserve">3</w:t>
            </w:r>
          </w:p>
        </w:tc>
        <w:tc>
          <w:tcPr/>
          <w:p>
            <w:pPr>
              <w:pStyle w:val="Compact"/>
              <w:jc w:val="left"/>
            </w:pPr>
            <w:r>
              <w:rPr>
                <w:bCs/>
                <w:b/>
              </w:rPr>
              <w:t xml:space="preserve">135</w:t>
            </w:r>
          </w:p>
        </w:tc>
      </w:tr>
    </w:tbl>
    <w:bookmarkStart w:id="194" w:name="lectura-del-resumen"/>
    <w:p>
      <w:pPr>
        <w:pStyle w:val="Heading2"/>
      </w:pPr>
      <w:r>
        <w:t xml:space="preserve">Lectura del resumen</w:t>
      </w:r>
    </w:p>
    <w:p>
      <w:pPr>
        <w:pStyle w:val="FirstParagraph"/>
      </w:pPr>
      <w:r>
        <w:t xml:space="preserve">De las 135 preguntas consolidadas, 88 admiten respuesta directa en la norma (65%), 44 se responden por lectura sistemática, analogía, estándar internacional o aplicación de un principio (33%) y 3 no pueden responderse hoy sin pronunciamiento de la autoridad (2%).</w:t>
      </w:r>
    </w:p>
    <w:p>
      <w:pPr>
        <w:pStyle w:val="BodyText"/>
      </w:pPr>
      <w:r>
        <w:t xml:space="preserve">Conviene una advertencia de método, porque explica dónde estuvo el riesgo de error al preparar este documento. Las respuestas no viven en un solo ordenamiento. El Reglamento reformado el 27 de marzo de 2026 resuelve la base del monto reportado en el Aviso, la fecha del acto por Actividad Vulnerable, el momento del alta, la acumulación, el cómputo de los plazos de conservación y el procedimiento de autocorrección. La Ley reformada el 16 de julio de 2025 resuelve la abstención cuando el Cliente se niega a entregar documentación, la inoponibilidad del secreto profesional frente al Aviso, la protección de la identidad de la persona Representante, la responsabilidad penal personal y las obligaciones de las sociedades mercantiles sobre su Beneficiario Controlador. Buscar esas respuestas únicamente en las Reglas conduce a concluir que hay un vacío donde no lo hay.</w:t>
      </w:r>
    </w:p>
    <w:p>
      <w:pPr>
        <w:pStyle w:val="BodyText"/>
      </w:pPr>
      <w:r>
        <w:t xml:space="preserve">El dato relevante no es la proporción de verdes, sino dónde se concentran los ámbar y los rojos. Se agrupan en tres frentes. El primero es el perímetro personal de quien acepta el cargo de Representante: si puede ser externo, si puede serlo de varias entidades, qué evidencia lo protege, hasta dónde llega su responsabilidad y qué estándar de diligencia se le exige. El segundo son los plazos y calendarios que dependen de un acto de la autoridad todavía no realizado: la convocatoria de certificación, la Resolución de formatos, el sistema de notificaciones, los lineamientos de riesgo y los mecanismos de suspensión de operaciones del artículo 54 Bis de la Ley. El tercero son los conceptos que la norma usa sin definir del todo, señaladamente la proporcionalidad de la sanción y la banda de Riesgo propio de quien realiza la Actividad Vulnerable, que es la que decide si puede dictaminarse internamente.</w:t>
      </w:r>
    </w:p>
    <w:p>
      <w:pPr>
        <w:pStyle w:val="BodyText"/>
      </w:pPr>
      <w:r>
        <w:t xml:space="preserve">Ninguno de esos tres frentes se resuelve estudiando más el texto. Los tres requieren que la autoridad se pronuncie, y los tres son verificables: puede señalarse con precisión qué falta y qué vehículo lo resolvería.</w:t>
      </w:r>
    </w:p>
    <w:bookmarkEnd w:id="194"/>
    <w:bookmarkStart w:id="195" w:name="Xd74a3236a954ad71de12835c6fcf69550a76468"/>
    <w:p>
      <w:pPr>
        <w:pStyle w:val="Heading2"/>
      </w:pPr>
      <w:r>
        <w:t xml:space="preserve">Diferencias respecto de la primera edición</w:t>
      </w:r>
    </w:p>
    <w:p>
      <w:pPr>
        <w:pStyle w:val="FirstParagraph"/>
      </w:pPr>
      <w:r>
        <w:t xml:space="preserve">Esta segunda edición corrige la primera. Los cambios de fondo fueron de tres clases. Se corrigieron respuestas cuyo fundamento remitía a un artículo equivocado o a una porción derogada o invalidada. Se rehicieron las respuestas que declaraban un vacío donde sí existe precepto —y, en sentido inverso, las que afirmaban categóricamente sobre puntos que la norma dejó abiertos—. Y se recalibró el semáforo completo bajo la regla de que el silencio normativo nunca produce verde, lo que movió treinta y seis respuestas de color. La numeración no cambió en ningún caso.</w:t>
      </w:r>
    </w:p>
    <w:p>
      <w:r>
        <w:pict>
          <v:rect style="width:0;height:1.5pt" o:hralign="center" o:hrstd="t" o:hr="t"/>
        </w:pict>
      </w:r>
    </w:p>
    <w:p>
      <w:r>
        <w:br w:type="page"/>
      </w:r>
    </w:p>
    <w:bookmarkEnd w:id="195"/>
    <w:bookmarkEnd w:id="196"/>
    <w:bookmarkStart w:id="197" w:name="anexo-a-calendario-único-de-exigibilidad"/>
    <w:p>
      <w:pPr>
        <w:pStyle w:val="Heading1"/>
      </w:pPr>
      <w:r>
        <w:t xml:space="preserve">ANEXO A · CALENDARIO ÚNICO DE EXIGIBILIDAD</w:t>
      </w:r>
    </w:p>
    <w:p>
      <w:pPr>
        <w:pStyle w:val="FirstParagraph"/>
      </w:pPr>
      <w:r>
        <w:rPr>
          <w:iCs/>
          <w:i/>
        </w:rPr>
        <w:t xml:space="preserve">Una sola tabla de fechas. Cuando una respuesta del cuerpo del documento y esta tabla discrepen, prevalece esta tabla. Y cuando esta tabla y el Anexo B discrepen,</w:t>
      </w:r>
      <w:r>
        <w:rPr>
          <w:iCs/>
          <w:i/>
        </w:rPr>
        <w:t xml:space="preserve"> </w:t>
      </w:r>
      <w:r>
        <w:rPr>
          <w:bCs/>
          <w:b/>
          <w:iCs/>
          <w:i/>
        </w:rPr>
        <w:t xml:space="preserve">prevalece el Anexo A en materia de fechas de exigibilidad y el Anexo B en materia de duración de plazos</w:t>
      </w:r>
      <w:r>
        <w:rPr>
          <w:iCs/>
          <w:i/>
        </w:rPr>
        <w:t xml:space="preserve">: aquí se dice desde cuándo es exigible una obligación; allá, cuánto dura el plazo para cumplirla.</w:t>
      </w:r>
    </w:p>
    <w:tbl>
      <w:tblPr>
        <w:tblStyle w:val="Table"/>
        <w:tblW w:type="pct" w:w="5000"/>
        <w:tblLook w:firstRow="1" w:lastRow="0" w:firstColumn="0" w:lastColumn="0" w:noHBand="0" w:noVBand="0" w:val="0020"/>
        <w:jc w:val="start"/>
      </w:tblPr>
      <w:tblGrid>
        <w:gridCol w:w="1760"/>
        <w:gridCol w:w="3960"/>
        <w:gridCol w:w="2200"/>
      </w:tblGrid>
      <w:tr>
        <w:trPr>
          <w:tblHeader w:val="true"/>
        </w:trPr>
        <w:tc>
          <w:tcPr/>
          <w:p>
            <w:pPr>
              <w:pStyle w:val="Compact"/>
              <w:jc w:val="left"/>
            </w:pPr>
            <w:r>
              <w:t xml:space="preserve">Fecha</w:t>
            </w:r>
          </w:p>
        </w:tc>
        <w:tc>
          <w:tcPr/>
          <w:p>
            <w:pPr>
              <w:pStyle w:val="Compact"/>
              <w:jc w:val="left"/>
            </w:pPr>
            <w:r>
              <w:t xml:space="preserve">Qué es exigible</w:t>
            </w:r>
          </w:p>
        </w:tc>
        <w:tc>
          <w:tcPr/>
          <w:p>
            <w:pPr>
              <w:pStyle w:val="Compact"/>
              <w:jc w:val="left"/>
            </w:pPr>
            <w:r>
              <w:t xml:space="preserve">Fundamento</w:t>
            </w:r>
          </w:p>
        </w:tc>
      </w:tr>
      <w:tr>
        <w:tc>
          <w:tcPr/>
          <w:p>
            <w:pPr>
              <w:pStyle w:val="Compact"/>
              <w:jc w:val="left"/>
            </w:pPr>
            <w:r>
              <w:t xml:space="preserve">17 de julio de 2025</w:t>
            </w:r>
          </w:p>
        </w:tc>
        <w:tc>
          <w:tcPr/>
          <w:p>
            <w:pPr>
              <w:pStyle w:val="Compact"/>
              <w:jc w:val="left"/>
            </w:pPr>
            <w:r>
              <w:t xml:space="preserve">Entrada en vigor general de la reforma a la Ley: definiciones de Beneficiario Controlador, Persona Políticamente Expuesta, Riesgo y persona Representante Encargada de Cumplimiento; fracción V Bis de nueva creación y reforma sustantiva de la fracción XVI —activos virtuales, adicionada por decreto DOF 9-mar-2018— del artículo 17; umbrales de fe pública del artículo 17, fracción XII, Apartado A, incisos a), c) y d) de la Ley, aplicables a los actos u operaciones realizados a partir de ese día;</w:t>
            </w:r>
            <w:r>
              <w:t xml:space="preserve"> </w:t>
            </w:r>
            <w:r>
              <w:rPr>
                <w:bCs/>
                <w:b/>
              </w:rPr>
              <w:t xml:space="preserve">la presentación del Aviso por las protocolizaciones y formalizaciones de los Apartados A y B, y la de las personas facilitadoras del Apartado D, están condicionadas y no tienen fecha cierta: véase la fila «Condicionado» de esta misma tabla</w:t>
            </w:r>
            <w:r>
              <w:t xml:space="preserve">; fracciones I a VI del artículo 18; artículo 20; supervisión de la Secretaría del artículo 22 Bis; artículos 33 Bis a 33 Quáter y 51 Ter; régimen de sanciones, suspensión y autocorrección de los artículos 53 a 55.</w:t>
            </w:r>
          </w:p>
        </w:tc>
        <w:tc>
          <w:tcPr/>
          <w:p>
            <w:pPr>
              <w:pStyle w:val="Compact"/>
              <w:jc w:val="left"/>
            </w:pPr>
            <w:r>
              <w:t xml:space="preserve">Decreto DOF 16-jul-2025, Transitorio Primero · Transitorio Sexto, fracciones III, IV y V del decreto DOF 27-mar-2026</w:t>
            </w:r>
          </w:p>
        </w:tc>
      </w:tr>
      <w:tr>
        <w:tc>
          <w:tcPr/>
          <w:p>
            <w:pPr>
              <w:pStyle w:val="Compact"/>
              <w:jc w:val="left"/>
            </w:pPr>
            <w:r>
              <w:t xml:space="preserve">17 de julio de 2025</w:t>
            </w:r>
            <w:r>
              <w:t xml:space="preserve"> </w:t>
            </w:r>
            <w:r>
              <w:rPr>
                <w:iCs/>
                <w:i/>
              </w:rPr>
              <w:t xml:space="preserve">(regla de escalonamiento)</w:t>
            </w:r>
          </w:p>
        </w:tc>
        <w:tc>
          <w:tcPr/>
          <w:p>
            <w:pPr>
              <w:pStyle w:val="Compact"/>
              <w:jc w:val="left"/>
            </w:pPr>
            <w:r>
              <w:t xml:space="preserve">Las obligaciones de las fracciones VII a XI del artículo 18 de la Ley —enfoque basado en Riesgos, Manual de Políticas Internas, selección de personal y capacitación, mecanismos automatizados y auditoría—</w:t>
            </w:r>
            <w:r>
              <w:t xml:space="preserve"> </w:t>
            </w:r>
            <w:r>
              <w:rPr>
                <w:bCs/>
                <w:b/>
              </w:rPr>
              <w:t xml:space="preserve">no son exigibles desde esa fecha</w:t>
            </w:r>
            <w:r>
              <w:t xml:space="preserve">: entran en vigor en los plazos que fijen las Reglas de Carácter General. Esta remisión sostiene todo el calendario escalonado de 2027 y 2028 y desplaza el primer periodo anual de 2026 que había fijado el Transitorio Segundo del propio decreto.</w:t>
            </w:r>
          </w:p>
        </w:tc>
        <w:tc>
          <w:tcPr/>
          <w:p>
            <w:pPr>
              <w:pStyle w:val="Compact"/>
              <w:jc w:val="left"/>
            </w:pPr>
            <w:r>
              <w:t xml:space="preserve">Decreto DOF 16-jul-2025, Transitorios Segundo y Tercero</w:t>
            </w:r>
          </w:p>
        </w:tc>
      </w:tr>
      <w:tr>
        <w:tc>
          <w:tcPr/>
          <w:p>
            <w:pPr>
              <w:pStyle w:val="Compact"/>
              <w:jc w:val="left"/>
            </w:pPr>
            <w:r>
              <w:t xml:space="preserve">17 de julio de 2025</w:t>
            </w:r>
          </w:p>
        </w:tc>
        <w:tc>
          <w:tcPr/>
          <w:p>
            <w:pPr>
              <w:pStyle w:val="Compact"/>
              <w:jc w:val="left"/>
            </w:pPr>
            <w:r>
              <w:t xml:space="preserve">Fecha bisagra del plazo de conservación de diez años. Para Avisos, Informes, su soporte y acuses, el cómputo arranca con los actos u operaciones realizados a partir de ese día por disposición transitoria expresa. Para los expedientes de identificación, los diez años rigen por la entrada en vigor de la reforma en esa fecha:</w:t>
            </w:r>
            <w:r>
              <w:t xml:space="preserve"> </w:t>
            </w:r>
            <w:r>
              <w:rPr>
                <w:bCs/>
                <w:b/>
              </w:rPr>
              <w:t xml:space="preserve">ningún transitorio fija el arranque del cómputo</w:t>
            </w:r>
            <w:r>
              <w:t xml:space="preserve">, aunque el Transitorio Cuarto del decreto DOF 27-mar-2026 sí ordena cumplir la fracción IV «en términos de las reglas de carácter general vigentes al 17 de julio de 2025 y sus posteriores modificaciones». Los actos anteriores se rigen por el texto del artículo 18, fracción IV vigente hasta el 16 de julio de 2025, que fijaba cinco años.</w:t>
            </w:r>
          </w:p>
        </w:tc>
        <w:tc>
          <w:tcPr/>
          <w:p>
            <w:pPr>
              <w:pStyle w:val="Compact"/>
              <w:jc w:val="left"/>
            </w:pPr>
            <w:r>
              <w:t xml:space="preserve">Decreto DOF 16-jul-2025, Transitorio Primero</w:t>
            </w:r>
            <w:r>
              <w:t xml:space="preserve"> </w:t>
            </w:r>
            <w:r>
              <w:rPr>
                <w:iCs/>
                <w:i/>
              </w:rPr>
              <w:t xml:space="preserve">(Ley art. 18, fr. IV)</w:t>
            </w:r>
            <w:r>
              <w:t xml:space="preserve"> </w:t>
            </w:r>
            <w:r>
              <w:t xml:space="preserve">· Reglamento, Transitorio Séptimo del decreto DOF 27-mar-2026</w:t>
            </w:r>
            <w:r>
              <w:t xml:space="preserve"> </w:t>
            </w:r>
            <w:r>
              <w:rPr>
                <w:iCs/>
                <w:i/>
              </w:rPr>
              <w:t xml:space="preserve">(art. 20 del Reglamento)</w:t>
            </w:r>
            <w:r>
              <w:t xml:space="preserve"> </w:t>
            </w:r>
            <w:r>
              <w:t xml:space="preserve">· Transitorio Cuarto del decreto DOF 27-mar-2026</w:t>
            </w:r>
          </w:p>
        </w:tc>
      </w:tr>
      <w:tr>
        <w:tc>
          <w:tcPr/>
          <w:p>
            <w:pPr>
              <w:pStyle w:val="Compact"/>
              <w:jc w:val="left"/>
            </w:pPr>
            <w:r>
              <w:t xml:space="preserve">Martes 13 de enero de 2026</w:t>
            </w:r>
          </w:p>
        </w:tc>
        <w:tc>
          <w:tcPr/>
          <w:p>
            <w:pPr>
              <w:pStyle w:val="Compact"/>
              <w:jc w:val="left"/>
            </w:pPr>
            <w:r>
              <w:t xml:space="preserve">Vencimiento del plazo de ciento ochenta días naturales otorgado a los Congresos de las Entidades Federativas para realizar las reformas que permitan aplicar el artículo 58 de la Ley: régimen sancionador de notarios y corredores ante la autoridad que supervisa la fe pública.</w:t>
            </w:r>
          </w:p>
        </w:tc>
        <w:tc>
          <w:tcPr/>
          <w:p>
            <w:pPr>
              <w:pStyle w:val="Compact"/>
              <w:jc w:val="left"/>
            </w:pPr>
            <w:r>
              <w:t xml:space="preserve">Decreto DOF 16-jul-2025, Transitorio Quinto · Ley art. 58</w:t>
            </w:r>
          </w:p>
        </w:tc>
      </w:tr>
      <w:tr>
        <w:tc>
          <w:tcPr/>
          <w:p>
            <w:pPr>
              <w:pStyle w:val="Compact"/>
              <w:jc w:val="left"/>
            </w:pPr>
            <w:r>
              <w:t xml:space="preserve">28 de marzo de 2026</w:t>
            </w:r>
          </w:p>
        </w:tc>
        <w:tc>
          <w:tcPr/>
          <w:p>
            <w:pPr>
              <w:pStyle w:val="Compact"/>
              <w:jc w:val="left"/>
            </w:pPr>
            <w:r>
              <w:t xml:space="preserve">Entrada en vigor del Reglamento reformado: montos sin contribuciones ni accesorios y Aviso con montos totales; acumulación de hasta seis meses con Aviso al alcanzarse el umbral aunque no se agote el periodo; plazos de requerimiento de los artículos 8 y 9; artículo 10 Bis; ventana de veinticuatro horas en juegos con apuesta del artículo 21 Bis; fideicomisos y otras figuras jurídicas con firma electrónica propia; procedimiento de autocorrección del artículo 55 Bis. El artículo 7 Bis —Aviso de veinticuatro horas aun por operación no celebrada— queda vigente pero no operativo: su presentación está sujeta a la actualización de los Anexos de la Resolución de formatos. La obligación de obtener y conservar el dictamen del artículo 12 Bis y la facultad de requerirlo del artículo 4, fracción XI remiten a las reglas de carácter general, cuyo primer periodo revisado es 2028.</w:t>
            </w:r>
          </w:p>
        </w:tc>
        <w:tc>
          <w:tcPr/>
          <w:p>
            <w:pPr>
              <w:pStyle w:val="Compact"/>
              <w:jc w:val="left"/>
            </w:pPr>
            <w:r>
              <w:t xml:space="preserve">Decreto DOF 27-mar-2026, Transitorio Primero · Reglamento arts. 4, fr. XI, 6, 7, 7 Bis, 8, 9, 10 Bis, 12, 12 Bis, 21 Bis y 55 Bis · Transitorio Quinto del decreto DOF 27-mar-2026</w:t>
            </w:r>
          </w:p>
        </w:tc>
      </w:tr>
      <w:tr>
        <w:tc>
          <w:tcPr/>
          <w:p>
            <w:pPr>
              <w:pStyle w:val="Compact"/>
              <w:jc w:val="left"/>
            </w:pPr>
            <w:r>
              <w:t xml:space="preserve">Viernes 17 de julio de 2026</w:t>
            </w:r>
          </w:p>
        </w:tc>
        <w:tc>
          <w:tcPr/>
          <w:p>
            <w:pPr>
              <w:pStyle w:val="Compact"/>
              <w:jc w:val="left"/>
            </w:pPr>
            <w:r>
              <w:t xml:space="preserve">Vencimiento del plazo de doce meses que tenía la Secretaría para modificar las Reglas de Carácter General. El ACUERDO 115/2026 se publicó el 7 de agosto de 2026, veintiún días después del vencimiento. El dato explica la compresión del calendario posterior.</w:t>
            </w:r>
          </w:p>
        </w:tc>
        <w:tc>
          <w:tcPr/>
          <w:p>
            <w:pPr>
              <w:pStyle w:val="Compact"/>
              <w:jc w:val="left"/>
            </w:pPr>
            <w:r>
              <w:t xml:space="preserve">Decreto DOF 16-jul-2025, Transitorio Segundo, primer párrafo</w:t>
            </w:r>
          </w:p>
        </w:tc>
      </w:tr>
      <w:tr>
        <w:tc>
          <w:tcPr/>
          <w:p>
            <w:pPr>
              <w:pStyle w:val="Compact"/>
              <w:jc w:val="left"/>
            </w:pPr>
            <w:r>
              <w:t xml:space="preserve">7 de agosto de 2026</w:t>
            </w:r>
          </w:p>
        </w:tc>
        <w:tc>
          <w:tcPr/>
          <w:p>
            <w:pPr>
              <w:pStyle w:val="Compact"/>
              <w:jc w:val="left"/>
            </w:pPr>
            <w:r>
              <w:t xml:space="preserve">Publicación del ACUERDO 115/2026 en el Diario Oficial de la Federación. Abre una ventana de preparación de 115 días naturales.</w:t>
            </w:r>
          </w:p>
        </w:tc>
        <w:tc>
          <w:tcPr/>
          <w:p>
            <w:pPr>
              <w:pStyle w:val="Compact"/>
              <w:jc w:val="left"/>
            </w:pPr>
            <w:r>
              <w:t xml:space="preserve">ACUERDO 115/2026</w:t>
            </w:r>
          </w:p>
        </w:tc>
      </w:tr>
      <w:tr>
        <w:tc>
          <w:tcPr/>
          <w:p>
            <w:pPr>
              <w:pStyle w:val="Compact"/>
              <w:jc w:val="left"/>
            </w:pPr>
            <w:r>
              <w:rPr>
                <w:bCs/>
                <w:b/>
              </w:rPr>
              <w:t xml:space="preserve">Lunes 30 de noviembre de 2026</w:t>
            </w:r>
          </w:p>
        </w:tc>
        <w:tc>
          <w:tcPr/>
          <w:p>
            <w:pPr>
              <w:pStyle w:val="Compact"/>
              <w:jc w:val="left"/>
            </w:pPr>
            <w:r>
              <w:rPr>
                <w:bCs/>
                <w:b/>
              </w:rPr>
              <w:t xml:space="preserve">Entrada en vigor general de las Reglas.</w:t>
            </w:r>
            <w:r>
              <w:t xml:space="preserve"> </w:t>
            </w:r>
            <w:r>
              <w:t xml:space="preserve">Definiciones operativas; padrón —el alta y registro de quienes actúen por medio de fideicomisos u otras figuras jurídicas, de las agencias aduanales, de las personas morales del artículo 17, fracción XIV de la Ley y de quienes realicen la Actividad Vulnerable del artículo 17, fracción XII, Apartado D</w:t>
            </w:r>
            <w:r>
              <w:t xml:space="preserve"> </w:t>
            </w:r>
            <w:r>
              <w:rPr>
                <w:bCs/>
                <w:b/>
              </w:rPr>
              <w:t xml:space="preserve">no es exigible en esa fecha</w:t>
            </w:r>
            <w:r>
              <w:t xml:space="preserve">: el Transitorio Tercero del decreto DOF 27-mar-2026 lo difiere «hasta que el referido formato los identifique expresamente»; las Reglas ya prevén los datos, pero</w:t>
            </w:r>
            <w:r>
              <w:t xml:space="preserve"> </w:t>
            </w:r>
            <w:r>
              <w:rPr>
                <w:bCs/>
                <w:b/>
              </w:rPr>
              <w:t xml:space="preserve">no hay fecha cierta</w:t>
            </w:r>
            <w:r>
              <w:t xml:space="preserve">—; alta reforzada de proveedores de servicios con activos virtuales; consulta del buzón al menos una vez cada día hábil, con notificación tenida por realizada al cuarto día hábil; fecha del acto u operación por Actividad Vulnerable; Informe sin operaciones inmodificable; Capítulo III Quáter, que define a la Persona Políticamente Expuesta; medidas para asociaciones y sociedades sin fines de lucro; confidencialidad ampliada; Entidades Colegiadas; Manual de Políticas Internas con el contenido mínimo del artículo 37 Bis.</w:t>
            </w:r>
          </w:p>
        </w:tc>
        <w:tc>
          <w:tcPr/>
          <w:p>
            <w:pPr>
              <w:pStyle w:val="Compact"/>
              <w:jc w:val="left"/>
            </w:pPr>
            <w:r>
              <w:t xml:space="preserve">Transitorio Primero del ACUERDO 115/2026 · Transitorio Tercero del decreto DOF 27-mar-2026 · RCG arts. 4, fracciones III y IV, y 10 Sexies, y Anexos 2 Bis y 2 Ter</w:t>
            </w:r>
          </w:p>
        </w:tc>
      </w:tr>
      <w:tr>
        <w:tc>
          <w:tcPr/>
          <w:p>
            <w:pPr>
              <w:pStyle w:val="Compact"/>
              <w:jc w:val="left"/>
            </w:pPr>
            <w:r>
              <w:t xml:space="preserve">Viernes 1 de enero de 2027</w:t>
            </w:r>
          </w:p>
        </w:tc>
        <w:tc>
          <w:tcPr/>
          <w:p>
            <w:pPr>
              <w:pStyle w:val="Compact"/>
              <w:jc w:val="left"/>
            </w:pPr>
            <w:r>
              <w:t xml:space="preserve">Inicio del primer periodo anual de capacitación.</w:t>
            </w:r>
          </w:p>
        </w:tc>
        <w:tc>
          <w:tcPr/>
          <w:p>
            <w:pPr>
              <w:pStyle w:val="Compact"/>
              <w:jc w:val="left"/>
            </w:pPr>
            <w:r>
              <w:t xml:space="preserve">Transitorio Séptimo del ACUERDO 115/2026 · RCG arts. 39 Bis y 39 Bis 1</w:t>
            </w:r>
          </w:p>
        </w:tc>
      </w:tr>
      <w:tr>
        <w:tc>
          <w:tcPr/>
          <w:p>
            <w:pPr>
              <w:pStyle w:val="Compact"/>
              <w:jc w:val="left"/>
            </w:pPr>
            <w:r>
              <w:rPr>
                <w:bCs/>
                <w:b/>
              </w:rPr>
              <w:t xml:space="preserve">Lunes 1 de marzo de 2027</w:t>
            </w:r>
          </w:p>
        </w:tc>
        <w:tc>
          <w:tcPr/>
          <w:p>
            <w:pPr>
              <w:pStyle w:val="Compact"/>
              <w:jc w:val="left"/>
            </w:pPr>
            <w:r>
              <w:t xml:space="preserve">Evaluación con enfoque basado en Riesgo a disposición de las autoridades previo requerimiento, con información y factores del año inmediato anterior. Si no se cuenta con el año completo, se usa la información disponible desde el inicio de la Actividad Vulnerable; y quien no tenga doce meses de operaciones implementa su metodología inicial con datos proyectados.</w:t>
            </w:r>
          </w:p>
        </w:tc>
        <w:tc>
          <w:tcPr/>
          <w:p>
            <w:pPr>
              <w:pStyle w:val="Compact"/>
              <w:jc w:val="left"/>
            </w:pPr>
            <w:r>
              <w:t xml:space="preserve">Transitorio Segundo del ACUERDO 115/2026 · RCG arts. 10 Septies a 10 Septies 6, en particular 10 Septies 2, fr. II y segundo párrafo</w:t>
            </w:r>
          </w:p>
        </w:tc>
      </w:tr>
      <w:tr>
        <w:tc>
          <w:tcPr/>
          <w:p>
            <w:pPr>
              <w:pStyle w:val="Compact"/>
              <w:jc w:val="left"/>
            </w:pPr>
            <w:r>
              <w:t xml:space="preserve">1 de marzo de 2027</w:t>
            </w:r>
          </w:p>
        </w:tc>
        <w:tc>
          <w:tcPr/>
          <w:p>
            <w:pPr>
              <w:pStyle w:val="Compact"/>
              <w:jc w:val="left"/>
            </w:pPr>
            <w:r>
              <w:t xml:space="preserve">Manual de Políticas Internas que incorpore la metodología del Capítulo II Quáter, para quienes ya agotaron los noventa días naturales del artículo 37.</w:t>
            </w:r>
          </w:p>
        </w:tc>
        <w:tc>
          <w:tcPr/>
          <w:p>
            <w:pPr>
              <w:pStyle w:val="Compact"/>
              <w:jc w:val="left"/>
            </w:pPr>
            <w:r>
              <w:t xml:space="preserve">Transitorio Tercero del ACUERDO 115/2026</w:t>
            </w:r>
          </w:p>
        </w:tc>
      </w:tr>
      <w:tr>
        <w:tc>
          <w:tcPr/>
          <w:p>
            <w:pPr>
              <w:pStyle w:val="Compact"/>
              <w:jc w:val="left"/>
            </w:pPr>
            <w:r>
              <w:t xml:space="preserve">1 de marzo de 2027</w:t>
            </w:r>
          </w:p>
        </w:tc>
        <w:tc>
          <w:tcPr/>
          <w:p>
            <w:pPr>
              <w:pStyle w:val="Compact"/>
              <w:jc w:val="left"/>
            </w:pPr>
            <w:r>
              <w:t xml:space="preserve">Capítulos III Bis (Grado de Riesgo del Cliente o Usuaria), III Ter (conocimiento del Cliente o Usuaria y Perfil transaccional) y III Quinquies (Beneficiario Controlador), respecto de los actos u operaciones realizados a partir de ese día.</w:t>
            </w:r>
          </w:p>
        </w:tc>
        <w:tc>
          <w:tcPr/>
          <w:p>
            <w:pPr>
              <w:pStyle w:val="Compact"/>
              <w:jc w:val="left"/>
            </w:pPr>
            <w:r>
              <w:t xml:space="preserve">Transitorio Cuarto del ACUERDO 115/2026</w:t>
            </w:r>
          </w:p>
        </w:tc>
      </w:tr>
      <w:tr>
        <w:tc>
          <w:tcPr/>
          <w:p>
            <w:pPr>
              <w:pStyle w:val="Compact"/>
              <w:jc w:val="left"/>
            </w:pPr>
            <w:r>
              <w:t xml:space="preserve">1 de marzo de 2027</w:t>
            </w:r>
          </w:p>
        </w:tc>
        <w:tc>
          <w:tcPr/>
          <w:p>
            <w:pPr>
              <w:pStyle w:val="Compact"/>
              <w:jc w:val="left"/>
            </w:pPr>
            <w:r>
              <w:t xml:space="preserve">Procedimientos de selección de personal, aplicables a las nuevas contrataciones.</w:t>
            </w:r>
          </w:p>
        </w:tc>
        <w:tc>
          <w:tcPr/>
          <w:p>
            <w:pPr>
              <w:pStyle w:val="Compact"/>
              <w:jc w:val="left"/>
            </w:pPr>
            <w:r>
              <w:t xml:space="preserve">Transitorio Sexto del ACUERDO 115/2026 · RCG art. 39 Bis 2</w:t>
            </w:r>
          </w:p>
        </w:tc>
      </w:tr>
      <w:tr>
        <w:tc>
          <w:tcPr/>
          <w:p>
            <w:pPr>
              <w:pStyle w:val="Compact"/>
              <w:jc w:val="left"/>
            </w:pPr>
            <w:r>
              <w:t xml:space="preserve">Domingo 30 de mayo de 2027</w:t>
            </w:r>
          </w:p>
        </w:tc>
        <w:tc>
          <w:tcPr/>
          <w:p>
            <w:pPr>
              <w:pStyle w:val="Compact"/>
              <w:jc w:val="left"/>
            </w:pPr>
            <w:r>
              <w:t xml:space="preserve">Fecha límite para que la UIF, en coordinación con el SAT, implemente el programa de capacitación y orientación dirigido a las asociaciones y sociedades sin fines de lucro y las medidas simplificadas de cumplimiento según su nivel de riesgo. Es obligación de la autoridad.</w:t>
            </w:r>
          </w:p>
        </w:tc>
        <w:tc>
          <w:tcPr/>
          <w:p>
            <w:pPr>
              <w:pStyle w:val="Compact"/>
              <w:jc w:val="left"/>
            </w:pPr>
            <w:r>
              <w:t xml:space="preserve">Decreto DOF 16-jul-2025, Transitorio Cuarto</w:t>
            </w:r>
          </w:p>
        </w:tc>
      </w:tr>
      <w:tr>
        <w:tc>
          <w:tcPr/>
          <w:p>
            <w:pPr>
              <w:pStyle w:val="Compact"/>
              <w:jc w:val="left"/>
            </w:pPr>
            <w:r>
              <w:rPr>
                <w:bCs/>
                <w:b/>
              </w:rPr>
              <w:t xml:space="preserve">Lunes 31 de mayo de 2027</w:t>
            </w:r>
            <w:r>
              <w:t xml:space="preserve"> </w:t>
            </w:r>
            <w:r>
              <w:rPr>
                <w:iCs/>
                <w:i/>
              </w:rPr>
              <w:t xml:space="preserve">(vencimiento formal: domingo 30)</w:t>
            </w:r>
          </w:p>
        </w:tc>
        <w:tc>
          <w:tcPr/>
          <w:p>
            <w:pPr>
              <w:pStyle w:val="Compact"/>
              <w:jc w:val="left"/>
            </w:pPr>
            <w:r>
              <w:t xml:space="preserve">Los proveedores de servicios con activos virtuales ya dados de alta actualizan y entregan de forma física al SAT la información y documentación del artículo 10 Bis. Los seis meses vencen en domingo y la entrega es física ante el SAT, que sólo actúa en días y horas hábiles, por lo que el vencimiento se recorre al día hábil siguiente.</w:t>
            </w:r>
          </w:p>
        </w:tc>
        <w:tc>
          <w:tcPr/>
          <w:p>
            <w:pPr>
              <w:pStyle w:val="Compact"/>
              <w:jc w:val="left"/>
            </w:pPr>
            <w:r>
              <w:t xml:space="preserve">Transitorio Décimo Segundo del ACUERDO 115/2026 · RCG arts. 10 Bis y 36 Bis, primer párrafo · LFPA de aplicación supletoria, Ley art. 4, fr. III</w:t>
            </w:r>
          </w:p>
        </w:tc>
      </w:tr>
      <w:tr>
        <w:tc>
          <w:tcPr/>
          <w:p>
            <w:pPr>
              <w:pStyle w:val="Compact"/>
              <w:jc w:val="left"/>
            </w:pPr>
            <w:r>
              <w:t xml:space="preserve">Martes 1 de junio de 2027</w:t>
            </w:r>
          </w:p>
        </w:tc>
        <w:tc>
          <w:tcPr/>
          <w:p>
            <w:pPr>
              <w:pStyle w:val="Compact"/>
              <w:jc w:val="left"/>
            </w:pPr>
            <w:r>
              <w:t xml:space="preserve">Mecanismos automatizados, con la información de los actos u operaciones realizados a partir de esa fecha.</w:t>
            </w:r>
          </w:p>
        </w:tc>
        <w:tc>
          <w:tcPr/>
          <w:p>
            <w:pPr>
              <w:pStyle w:val="Compact"/>
              <w:jc w:val="left"/>
            </w:pPr>
            <w:r>
              <w:t xml:space="preserve">Transitorio Noveno del ACUERDO 115/2026 · RCG art. 41</w:t>
            </w:r>
          </w:p>
        </w:tc>
      </w:tr>
      <w:tr>
        <w:tc>
          <w:tcPr/>
          <w:p>
            <w:pPr>
              <w:pStyle w:val="Compact"/>
              <w:jc w:val="left"/>
            </w:pPr>
            <w:r>
              <w:t xml:space="preserve">Viernes 30 de julio de 2027</w:t>
            </w:r>
          </w:p>
        </w:tc>
        <w:tc>
          <w:tcPr/>
          <w:p>
            <w:pPr>
              <w:pStyle w:val="Compact"/>
              <w:jc w:val="left"/>
            </w:pPr>
            <w:r>
              <w:t xml:space="preserve">Fecha límite para que la Secretaría implemente los mecanismos tecnológicos del sistema de notificaciones electrónicas. Es obligación de la autoridad.</w:t>
            </w:r>
            <w:r>
              <w:t xml:space="preserve"> </w:t>
            </w:r>
            <w:r>
              <w:rPr>
                <w:bCs/>
                <w:b/>
              </w:rPr>
              <w:t xml:space="preserve">Ningún precepto resuelve qué ocurre con el deber de consulta del buzón —exigible desde el 30 de noviembre de 2026— durante los ocho meses en que la Secretaría puede aún no tener implementado el sistema.</w:t>
            </w:r>
            <w:r>
              <w:t xml:space="preserve"> </w:t>
            </w:r>
            <w:r>
              <w:t xml:space="preserve">La lectura sistemática es que el deber subsiste y que la imposibilidad por causa imputable a la autoridad se rige por el sexto párrafo del artículo 6 de las Reglas; es interpretación, no texto</w:t>
            </w:r>
            <w:r>
              <w:t xml:space="preserve"> </w:t>
            </w:r>
            <w:r>
              <w:rPr>
                <w:iCs/>
                <w:i/>
              </w:rPr>
              <w:t xml:space="preserve">(ámbar)</w:t>
            </w:r>
            <w:r>
              <w:t xml:space="preserve">.</w:t>
            </w:r>
          </w:p>
        </w:tc>
        <w:tc>
          <w:tcPr/>
          <w:p>
            <w:pPr>
              <w:pStyle w:val="Compact"/>
              <w:jc w:val="left"/>
            </w:pPr>
            <w:r>
              <w:t xml:space="preserve">Transitorio Décimo Primero del ACUERDO 115/2026 · RCG art. 6, párrafo sexto</w:t>
            </w:r>
          </w:p>
        </w:tc>
      </w:tr>
      <w:tr>
        <w:tc>
          <w:tcPr/>
          <w:p>
            <w:pPr>
              <w:pStyle w:val="Compact"/>
              <w:jc w:val="left"/>
            </w:pPr>
            <w:r>
              <w:t xml:space="preserve">Lunes 30 de agosto de 2027</w:t>
            </w:r>
          </w:p>
        </w:tc>
        <w:tc>
          <w:tcPr/>
          <w:p>
            <w:pPr>
              <w:pStyle w:val="Compact"/>
              <w:jc w:val="left"/>
            </w:pPr>
            <w:r>
              <w:t xml:space="preserve">Queda disponible, para quienes realicen Actividades Vulnerables y para las Entidades Financieras, la consulta sobre Personas Políticamente Expuestas nacionales en la aplicación Consulta PEP 2.0. Es habilitación de la herramienta. La definición de Persona Políticamente Expuesta y las reglas del Capítulo III Quáter son exigibles desde el 30 de noviembre de 2026 —ese Capítulo no figura en el Transitorio Cuarto del ACUERDO 115/2026—; lo que se difiere al 1 de marzo de 2027 es el tratamiento reforzado alojado en los Capítulos III Bis y III Ter.</w:t>
            </w:r>
          </w:p>
        </w:tc>
        <w:tc>
          <w:tcPr/>
          <w:p>
            <w:pPr>
              <w:pStyle w:val="Compact"/>
              <w:jc w:val="left"/>
            </w:pPr>
            <w:r>
              <w:t xml:space="preserve">Transitorio Décimo del ACUERDO 115/2026 · Transitorio Primero del ACUERDO 115/2026 · RCG arts. 23 Quáter, 23 Quáter 1, 23 Bis 3, 23 Bis 4, 23 Ter 4, fr. III y 23 Ter 5</w:t>
            </w:r>
          </w:p>
        </w:tc>
      </w:tr>
      <w:tr>
        <w:tc>
          <w:tcPr/>
          <w:p>
            <w:pPr>
              <w:pStyle w:val="Compact"/>
              <w:jc w:val="left"/>
            </w:pPr>
            <w:r>
              <w:t xml:space="preserve">Viernes 31 de diciembre de 2027</w:t>
            </w:r>
          </w:p>
        </w:tc>
        <w:tc>
          <w:tcPr/>
          <w:p>
            <w:pPr>
              <w:pStyle w:val="Compact"/>
              <w:jc w:val="left"/>
            </w:pPr>
            <w:r>
              <w:t xml:space="preserve">Cierre del primer periodo anual de capacitación: evaluaciones y constancias.</w:t>
            </w:r>
          </w:p>
        </w:tc>
        <w:tc>
          <w:tcPr/>
          <w:p>
            <w:pPr>
              <w:pStyle w:val="Compact"/>
              <w:jc w:val="left"/>
            </w:pPr>
            <w:r>
              <w:t xml:space="preserve">Transitorio Séptimo del ACUERDO 115/2026 · RCG art. 39 Bis 1, segundo párrafo</w:t>
            </w:r>
          </w:p>
        </w:tc>
      </w:tr>
      <w:tr>
        <w:tc>
          <w:tcPr/>
          <w:p>
            <w:pPr>
              <w:pStyle w:val="Compact"/>
              <w:jc w:val="left"/>
            </w:pPr>
            <w:r>
              <w:t xml:space="preserve">1 de enero – 31 de diciembre de 2028</w:t>
            </w:r>
          </w:p>
        </w:tc>
        <w:tc>
          <w:tcPr/>
          <w:p>
            <w:pPr>
              <w:pStyle w:val="Compact"/>
              <w:jc w:val="left"/>
            </w:pPr>
            <w:r>
              <w:t xml:space="preserve">Primer periodo de revisión de auditoría. Se audita el ejercicio 2028, no el 2027.</w:t>
            </w:r>
          </w:p>
        </w:tc>
        <w:tc>
          <w:tcPr/>
          <w:p>
            <w:pPr>
              <w:pStyle w:val="Compact"/>
              <w:jc w:val="left"/>
            </w:pPr>
            <w:r>
              <w:t xml:space="preserve">Transitorio Octavo del ACUERDO 115/2026 · RCG arts. 42 a 51</w:t>
            </w:r>
          </w:p>
        </w:tc>
      </w:tr>
      <w:tr>
        <w:tc>
          <w:tcPr/>
          <w:p>
            <w:pPr>
              <w:pStyle w:val="Compact"/>
              <w:jc w:val="left"/>
            </w:pPr>
            <w:r>
              <w:t xml:space="preserve">Marzo de 2029 ·</w:t>
            </w:r>
            <w:r>
              <w:t xml:space="preserve"> </w:t>
            </w:r>
            <w:r>
              <w:rPr>
                <w:bCs/>
                <w:b/>
              </w:rPr>
              <w:t xml:space="preserve">último día hábil (por determinar)</w:t>
            </w:r>
          </w:p>
        </w:tc>
        <w:tc>
          <w:tcPr/>
          <w:p>
            <w:pPr>
              <w:pStyle w:val="Compact"/>
              <w:jc w:val="left"/>
            </w:pPr>
            <w:r>
              <w:t xml:space="preserve">Entrega del primer dictamen de auditoría. El plazo es el último día hábil de marzo. El 31 cae en sábado y el 30 es Viernes Santo —la Pascua de 2029 es el 1 de abril—; el 29 es Jueves Santo. Si el SAT mantiene su criterio de declarar inhábiles ambos días en la Resolución Miscelánea Fiscal, el último día hábil será el miércoles 28 de marzo de 2029. La fecha sólo queda firme cuando se publique la Resolución Miscelánea Fiscal del ejercicio.</w:t>
            </w:r>
          </w:p>
        </w:tc>
        <w:tc>
          <w:tcPr/>
          <w:p>
            <w:pPr>
              <w:pStyle w:val="Compact"/>
              <w:jc w:val="left"/>
            </w:pPr>
            <w:r>
              <w:t xml:space="preserve">RCG arts. 50 y 36 Bis, tercer párrafo · Transitorio Octavo del ACUERDO 115/2026</w:t>
            </w:r>
          </w:p>
        </w:tc>
      </w:tr>
      <w:tr>
        <w:tc>
          <w:tcPr/>
          <w:p>
            <w:pPr>
              <w:pStyle w:val="Compact"/>
              <w:jc w:val="left"/>
            </w:pPr>
            <w:r>
              <w:t xml:space="preserve">Condicionado</w:t>
            </w:r>
          </w:p>
        </w:tc>
        <w:tc>
          <w:tcPr/>
          <w:p>
            <w:pPr>
              <w:pStyle w:val="Compact"/>
              <w:jc w:val="left"/>
            </w:pPr>
            <w:r>
              <w:t xml:space="preserve">Aviso por las protocolizaciones o cualquier acto que conlleve la formalización de los actos u operaciones del artículo 17, fracción XII, Apartados A y B de la Ley: su presentación está sujeta a que se actualice el Anexo 12-A de la Resolución de formatos. Y quienes realizan la Actividad Vulnerable del Apartado D —personas facilitadoras públicas y privadas— presentarán sus Avisos e Informes conforme al formato oficial específico que la UIF publique en el Diario Oficial de la Federación, que aún no existe. En ambos casos no hay fecha cierta. El nuevo umbral de los incisos a), c) y d) del Apartado A sí rige respecto de los actos u operaciones realizados desde el 17 de julio de 2025. Alcanza a notarios, corredores públicos y personas facilitadoras.</w:t>
            </w:r>
          </w:p>
        </w:tc>
        <w:tc>
          <w:tcPr/>
          <w:p>
            <w:pPr>
              <w:pStyle w:val="Compact"/>
              <w:jc w:val="left"/>
            </w:pPr>
            <w:r>
              <w:t xml:space="preserve">Transitorio Sexto, fracciones III, IV y V del decreto DOF 27-mar-2026 · Ley art. 17, fr. XII, Apartados A, B y D</w:t>
            </w:r>
          </w:p>
        </w:tc>
      </w:tr>
      <w:tr>
        <w:tc>
          <w:tcPr/>
          <w:p>
            <w:pPr>
              <w:pStyle w:val="Compact"/>
              <w:jc w:val="left"/>
            </w:pPr>
            <w:r>
              <w:t xml:space="preserve">Condicionado</w:t>
            </w:r>
          </w:p>
        </w:tc>
        <w:tc>
          <w:tcPr/>
          <w:p>
            <w:pPr>
              <w:pStyle w:val="Compact"/>
              <w:jc w:val="left"/>
            </w:pPr>
            <w:r>
              <w:t xml:space="preserve">Avisos de veinticuatro horas —por sospecha, por hechos o indicios, por operación intentada y por coincidencia en el listado del artículo 38—: seis meses después de que entre en vigor la Resolución que modifique los formatos oficiales y prevea expresamente la identificación de este tipo de Avisos. No hay fecha cierta.</w:t>
            </w:r>
          </w:p>
        </w:tc>
        <w:tc>
          <w:tcPr/>
          <w:p>
            <w:pPr>
              <w:pStyle w:val="Compact"/>
              <w:jc w:val="left"/>
            </w:pPr>
            <w:r>
              <w:t xml:space="preserve">Transitorio Quinto del ACUERDO 115/2026 · RCG arts. 26 Bis, 26 Bis 1, 26 Bis 2 y 27, segundo párrafo</w:t>
            </w:r>
          </w:p>
        </w:tc>
      </w:tr>
      <w:tr>
        <w:tc>
          <w:tcPr/>
          <w:p>
            <w:pPr>
              <w:pStyle w:val="Compact"/>
              <w:jc w:val="left"/>
            </w:pPr>
            <w:r>
              <w:t xml:space="preserve">Condicionado</w:t>
            </w:r>
          </w:p>
        </w:tc>
        <w:tc>
          <w:tcPr/>
          <w:p>
            <w:pPr>
              <w:pStyle w:val="Compact"/>
              <w:jc w:val="left"/>
            </w:pPr>
            <w:r>
              <w:t xml:space="preserve">Certificación que otorga la UIF, con vigencia de cinco años: conforme a la convocatoria que se publique en el Diario Oficial de la Federación. No hay convocatoria a la fecha de cierre de este documento. La convocatoria tiene una fecha límite implícita: la persona auditora externa debe contar con la certificación vigente al momento de elaborar y firmar el dictamen, y el primer dictamen se entrega en marzo de 2029.</w:t>
            </w:r>
          </w:p>
        </w:tc>
        <w:tc>
          <w:tcPr/>
          <w:p>
            <w:pPr>
              <w:pStyle w:val="Compact"/>
              <w:jc w:val="left"/>
            </w:pPr>
            <w:r>
              <w:t xml:space="preserve">RCG arts. 34 Bis y 45, inciso b) · Transitorio Octavo del ACUERDO 115/2026</w:t>
            </w:r>
          </w:p>
        </w:tc>
      </w:tr>
      <w:tr>
        <w:tc>
          <w:tcPr/>
          <w:p>
            <w:pPr>
              <w:pStyle w:val="Compact"/>
              <w:jc w:val="left"/>
            </w:pPr>
            <w:r>
              <w:t xml:space="preserve">Condicionado</w:t>
            </w:r>
          </w:p>
        </w:tc>
        <w:tc>
          <w:tcPr/>
          <w:p>
            <w:pPr>
              <w:pStyle w:val="Compact"/>
              <w:jc w:val="left"/>
            </w:pPr>
            <w:r>
              <w:t xml:space="preserve">Suspensión temporal de actos u operaciones con determinadas personas Clientes o Usuarias: la facultad existe, pero su ejercicio está condicionado a mecanismos que deben emitirse en reglas de carácter general y que no se han publicado. Existe un puente transitorio: los mecanismos que emita la UIF se observan en términos de las reglas vigentes al 17 de julio de 2025 y sus posteriores modificaciones.</w:t>
            </w:r>
          </w:p>
        </w:tc>
        <w:tc>
          <w:tcPr/>
          <w:p>
            <w:pPr>
              <w:pStyle w:val="Compact"/>
              <w:jc w:val="left"/>
            </w:pPr>
            <w:r>
              <w:t xml:space="preserve">Ley art. 54 Bis · Reglamento art. 18 y Transitorio Octavo del decreto DOF 27-mar-2026 · RCG art. 38</w:t>
            </w:r>
          </w:p>
        </w:tc>
      </w:tr>
    </w:tbl>
    <w:p>
      <w:pPr>
        <w:pStyle w:val="BodyText"/>
      </w:pPr>
      <w:r>
        <w:rPr>
          <w:iCs/>
          <w:i/>
        </w:rPr>
        <w:t xml:space="preserve">Sobre la certificación hay además un problema de elegibilidad que conviene registrar. El artículo 34 Bis abre la certificación sólo a las personas físicas que realizan Actividades Vulnerables y a las personas Representantes Encargadas de Cumplimiento que hayan aceptado su designación. Una persona auditora externa independiente no es, en principio, ninguna de las dos, y el inciso e) del artículo 45 le prohíbe haber sido Representante del auditado durante el periodo auditado y los dos años posteriores. Si la convocatoria no resuelve ese punto y no se publica con antelación suficiente, quienes tengan Riesgo propio alto —obligados a auditoría externa por el artículo 45— podrían quedar en imposibilidad material de cumplir en marzo de 2029.</w:t>
      </w:r>
    </w:p>
    <w:p>
      <w:r>
        <w:pict>
          <v:rect style="width:0;height:1.5pt" o:hralign="center" o:hrstd="t" o:hr="t"/>
        </w:pict>
      </w:r>
    </w:p>
    <w:p>
      <w:r>
        <w:br w:type="page"/>
      </w:r>
    </w:p>
    <w:bookmarkEnd w:id="197"/>
    <w:bookmarkStart w:id="201" w:name="anexo-b-tabla-única-de-plazos"/>
    <w:p>
      <w:pPr>
        <w:pStyle w:val="Heading1"/>
      </w:pPr>
      <w:r>
        <w:t xml:space="preserve">ANEXO B · TABLA ÚNICA DE PLAZOS</w:t>
      </w:r>
    </w:p>
    <w:p>
      <w:pPr>
        <w:pStyle w:val="FirstParagraph"/>
      </w:pPr>
      <w:r>
        <w:rPr>
          <w:iCs/>
          <w:i/>
        </w:rPr>
        <w:t xml:space="preserve">El documento maneja plazos de conservación distintos según el acervo, y plazos de trámite que se confunden con facilidad. Ésta es la tabla de control. Cuando una respuesta del cuerpo y esta tabla discrepen, prevalece esta tabla.</w:t>
      </w:r>
    </w:p>
    <w:p>
      <w:pPr>
        <w:pStyle w:val="BodyText"/>
      </w:pPr>
      <w:r>
        <w:rPr>
          <w:iCs/>
          <w:i/>
        </w:rPr>
        <w:t xml:space="preserve">Regla de desempate entre anexos, porque los dos se declaran prevalentes y no dicen lo mismo:</w:t>
      </w:r>
      <w:r>
        <w:rPr>
          <w:iCs/>
          <w:i/>
        </w:rPr>
        <w:t xml:space="preserve"> </w:t>
      </w:r>
      <w:r>
        <w:rPr>
          <w:bCs/>
          <w:b/>
          <w:iCs/>
          <w:i/>
        </w:rPr>
        <w:t xml:space="preserve">cuando el Anexo A y este Anexo B discrepen, prevalece el Anexo A en materia de fechas de exigibilidad y el Anexo B en materia de duración de plazos.</w:t>
      </w:r>
      <w:r>
        <w:rPr>
          <w:iCs/>
          <w:i/>
        </w:rPr>
        <w:t xml:space="preserve"> </w:t>
      </w:r>
      <w:r>
        <w:rPr>
          <w:iCs/>
          <w:i/>
        </w:rPr>
        <w:t xml:space="preserve">El Anexo B dice cuánto dura cada plazo; el Anexo A dice desde cuándo es exigible la obligación que lo detona. Un plazo de esta tabla no corre antes de la fecha que el Anexo A asigna a su obligación.</w:t>
      </w:r>
    </w:p>
    <w:bookmarkStart w:id="198" w:name="b.1-conservación"/>
    <w:p>
      <w:pPr>
        <w:pStyle w:val="Heading2"/>
      </w:pPr>
      <w:r>
        <w:t xml:space="preserve">B.1 · Conservación</w:t>
      </w:r>
    </w:p>
    <w:p>
      <w:pPr>
        <w:pStyle w:val="FirstParagraph"/>
      </w:pPr>
      <w:r>
        <w:rPr>
          <w:iCs/>
          <w:i/>
        </w:rPr>
        <w:t xml:space="preserve">Estos plazos sólo corren respecto de obligaciones ya exigibles conforme al Anexo A: el de los registros históricos del artículo 41, fracción IV de las Reglas rige a partir del 1 de junio de 2027 (Transitorio Noveno del ACUERDO 115/2026).</w:t>
      </w:r>
      <w:r>
        <w:rPr>
          <w:iCs/>
          <w:i/>
        </w:rPr>
        <w:t xml:space="preserve"> </w:t>
      </w:r>
      <w:r>
        <w:rPr>
          <w:bCs/>
          <w:b/>
          <w:iCs/>
          <w:i/>
        </w:rPr>
        <w:t xml:space="preserve">Prevalece el Anexo A en materia de fechas de exigibilidad.</w:t>
      </w:r>
    </w:p>
    <w:tbl>
      <w:tblPr>
        <w:tblStyle w:val="Table"/>
        <w:tblW w:type="pct" w:w="5000"/>
        <w:tblLook w:firstRow="1" w:lastRow="0" w:firstColumn="0" w:lastColumn="0" w:noHBand="0" w:noVBand="0" w:val="0020"/>
        <w:jc w:val="start"/>
      </w:tblPr>
      <w:tblGrid>
        <w:gridCol w:w="1603"/>
        <w:gridCol w:w="1360"/>
        <w:gridCol w:w="2769"/>
        <w:gridCol w:w="2186"/>
      </w:tblGrid>
      <w:tr>
        <w:trPr>
          <w:tblHeader w:val="true"/>
        </w:trPr>
        <w:tc>
          <w:tcPr/>
          <w:p>
            <w:pPr>
              <w:pStyle w:val="Compact"/>
              <w:jc w:val="left"/>
            </w:pPr>
            <w:r>
              <w:t xml:space="preserve">Qué se conserva</w:t>
            </w:r>
          </w:p>
        </w:tc>
        <w:tc>
          <w:tcPr/>
          <w:p>
            <w:pPr>
              <w:pStyle w:val="Compact"/>
              <w:jc w:val="left"/>
            </w:pPr>
            <w:r>
              <w:t xml:space="preserve">Cuánto</w:t>
            </w:r>
          </w:p>
        </w:tc>
        <w:tc>
          <w:tcPr/>
          <w:p>
            <w:pPr>
              <w:pStyle w:val="Compact"/>
              <w:jc w:val="left"/>
            </w:pPr>
            <w:r>
              <w:t xml:space="preserve">Desde cuándo corre</w:t>
            </w:r>
          </w:p>
        </w:tc>
        <w:tc>
          <w:tcPr/>
          <w:p>
            <w:pPr>
              <w:pStyle w:val="Compact"/>
              <w:jc w:val="left"/>
            </w:pPr>
            <w:r>
              <w:t xml:space="preserve">Fundamento</w:t>
            </w:r>
          </w:p>
        </w:tc>
      </w:tr>
      <w:tr>
        <w:tc>
          <w:tcPr/>
          <w:p>
            <w:pPr>
              <w:pStyle w:val="Compact"/>
              <w:jc w:val="left"/>
            </w:pPr>
            <w:r>
              <w:t xml:space="preserve">Expedientes de identificación y documentación soporte de la Actividad Vulnerable</w:t>
            </w:r>
          </w:p>
        </w:tc>
        <w:tc>
          <w:tcPr/>
          <w:p>
            <w:pPr>
              <w:pStyle w:val="Compact"/>
              <w:jc w:val="left"/>
            </w:pPr>
            <w:r>
              <w:t xml:space="preserve">10 años</w:t>
            </w:r>
          </w:p>
        </w:tc>
        <w:tc>
          <w:tcPr/>
          <w:p>
            <w:pPr>
              <w:pStyle w:val="Compact"/>
              <w:jc w:val="left"/>
            </w:pPr>
            <w:r>
              <w:t xml:space="preserve">Desde la fecha de realización de la Actividad Vulnerable, operación por operación. Se conserva en el domicilio registrado ante la Secretaría para ese efecto, salvo para la fracción XIV del artículo 17</w:t>
            </w:r>
          </w:p>
        </w:tc>
        <w:tc>
          <w:tcPr/>
          <w:p>
            <w:pPr>
              <w:pStyle w:val="Compact"/>
              <w:jc w:val="left"/>
            </w:pPr>
            <w:r>
              <w:t xml:space="preserve">Ley art. 18, fr. IV, segundo párrafo</w:t>
            </w:r>
          </w:p>
        </w:tc>
      </w:tr>
      <w:tr>
        <w:tc>
          <w:tcPr/>
          <w:p>
            <w:pPr>
              <w:pStyle w:val="Compact"/>
              <w:jc w:val="left"/>
            </w:pPr>
            <w:r>
              <w:t xml:space="preserve">Copia de Avisos e Informes presentados, su documentación soporte y los acuses electrónicos</w:t>
            </w:r>
          </w:p>
        </w:tc>
        <w:tc>
          <w:tcPr/>
          <w:p>
            <w:pPr>
              <w:pStyle w:val="Compact"/>
              <w:jc w:val="left"/>
            </w:pPr>
            <w:r>
              <w:t xml:space="preserve">No menor a 10 años</w:t>
            </w:r>
          </w:p>
        </w:tc>
        <w:tc>
          <w:tcPr/>
          <w:p>
            <w:pPr>
              <w:pStyle w:val="Compact"/>
              <w:jc w:val="left"/>
            </w:pPr>
            <w:r>
              <w:t xml:space="preserve">Desde la fecha de presentación del Aviso o Informe y desde la emisión del acuse electrónico respectivo. El cómputo arranca con los actos u operaciones realizados a partir del 17 de julio de 2025</w:t>
            </w:r>
          </w:p>
        </w:tc>
        <w:tc>
          <w:tcPr/>
          <w:p>
            <w:pPr>
              <w:pStyle w:val="Compact"/>
              <w:jc w:val="left"/>
            </w:pPr>
            <w:r>
              <w:t xml:space="preserve">Reglamento art. 20, primer párrafo · Transitorio Séptimo del decreto DOF 27-mar-2026</w:t>
            </w:r>
          </w:p>
        </w:tc>
      </w:tr>
      <w:tr>
        <w:tc>
          <w:tcPr/>
          <w:p>
            <w:pPr>
              <w:pStyle w:val="Compact"/>
              <w:jc w:val="left"/>
            </w:pPr>
            <w:r>
              <w:t xml:space="preserve">Información y documentación generada con motivo del enfoque basado en Riesgos</w:t>
            </w:r>
          </w:p>
        </w:tc>
        <w:tc>
          <w:tcPr/>
          <w:p>
            <w:pPr>
              <w:pStyle w:val="Compact"/>
              <w:jc w:val="left"/>
            </w:pPr>
            <w:r>
              <w:t xml:space="preserve">Al menos 10 años</w:t>
            </w:r>
          </w:p>
        </w:tc>
        <w:tc>
          <w:tcPr/>
          <w:p>
            <w:pPr>
              <w:pStyle w:val="Compact"/>
              <w:jc w:val="left"/>
            </w:pPr>
            <w:r>
              <w:t xml:space="preserve">Desde su generación</w:t>
            </w:r>
            <w:r>
              <w:t xml:space="preserve"> </w:t>
            </w:r>
            <w:r>
              <w:rPr>
                <w:iCs/>
                <w:i/>
              </w:rPr>
              <w:t xml:space="preserve">(inferido; el precepto no fija el punto de partida)</w:t>
            </w:r>
          </w:p>
        </w:tc>
        <w:tc>
          <w:tcPr/>
          <w:p>
            <w:pPr>
              <w:pStyle w:val="Compact"/>
              <w:jc w:val="left"/>
            </w:pPr>
            <w:r>
              <w:t xml:space="preserve">RCG art. 10 Septies 3, último párrafo</w:t>
            </w:r>
          </w:p>
        </w:tc>
      </w:tr>
      <w:tr>
        <w:tc>
          <w:tcPr/>
          <w:p>
            <w:pPr>
              <w:pStyle w:val="Compact"/>
              <w:jc w:val="left"/>
            </w:pPr>
            <w:r>
              <w:t xml:space="preserve">Información sobre operaciones con activos virtuales</w:t>
            </w:r>
          </w:p>
        </w:tc>
        <w:tc>
          <w:tcPr/>
          <w:p>
            <w:pPr>
              <w:pStyle w:val="Compact"/>
              <w:jc w:val="left"/>
            </w:pPr>
            <w:r>
              <w:t xml:space="preserve">10 años</w:t>
            </w:r>
          </w:p>
        </w:tc>
        <w:tc>
          <w:tcPr/>
          <w:p>
            <w:pPr>
              <w:pStyle w:val="Compact"/>
              <w:jc w:val="left"/>
            </w:pPr>
            <w:r>
              <w:t xml:space="preserve">Desde la operación</w:t>
            </w:r>
            <w:r>
              <w:t xml:space="preserve"> </w:t>
            </w:r>
            <w:r>
              <w:rPr>
                <w:iCs/>
                <w:i/>
              </w:rPr>
              <w:t xml:space="preserve">(inferido; el precepto no fija el punto de partida)</w:t>
            </w:r>
          </w:p>
        </w:tc>
        <w:tc>
          <w:tcPr/>
          <w:p>
            <w:pPr>
              <w:pStyle w:val="Compact"/>
              <w:jc w:val="left"/>
            </w:pPr>
            <w:r>
              <w:t xml:space="preserve">RCG art. 24 Bis 2</w:t>
            </w:r>
          </w:p>
        </w:tc>
      </w:tr>
      <w:tr>
        <w:tc>
          <w:tcPr/>
          <w:p>
            <w:pPr>
              <w:pStyle w:val="Compact"/>
              <w:jc w:val="left"/>
            </w:pPr>
            <w:r>
              <w:t xml:space="preserve">Evidencia de capacitación: programas, talleres, materiales, listas de asistencia, evaluaciones y constancias</w:t>
            </w:r>
          </w:p>
        </w:tc>
        <w:tc>
          <w:tcPr/>
          <w:p>
            <w:pPr>
              <w:pStyle w:val="Compact"/>
              <w:jc w:val="left"/>
            </w:pPr>
            <w:r>
              <w:t xml:space="preserve">Mínimo 10 años</w:t>
            </w:r>
          </w:p>
        </w:tc>
        <w:tc>
          <w:tcPr/>
          <w:p>
            <w:pPr>
              <w:pStyle w:val="Compact"/>
              <w:jc w:val="left"/>
            </w:pPr>
            <w:r>
              <w:t xml:space="preserve">Desde la impartición</w:t>
            </w:r>
            <w:r>
              <w:t xml:space="preserve"> </w:t>
            </w:r>
            <w:r>
              <w:rPr>
                <w:iCs/>
                <w:i/>
              </w:rPr>
              <w:t xml:space="preserve">(inferido; el precepto no fija el punto de partida)</w:t>
            </w:r>
          </w:p>
        </w:tc>
        <w:tc>
          <w:tcPr/>
          <w:p>
            <w:pPr>
              <w:pStyle w:val="Compact"/>
              <w:jc w:val="left"/>
            </w:pPr>
            <w:r>
              <w:t xml:space="preserve">RCG art. 39 Bis 1, primer párrafo</w:t>
            </w:r>
          </w:p>
        </w:tc>
      </w:tr>
      <w:tr>
        <w:tc>
          <w:tcPr/>
          <w:p>
            <w:pPr>
              <w:pStyle w:val="Compact"/>
              <w:jc w:val="left"/>
            </w:pPr>
            <w:r>
              <w:t xml:space="preserve">Registros históricos de los cambios de Grado de Riesgo y de Perfil transaccional</w:t>
            </w:r>
          </w:p>
        </w:tc>
        <w:tc>
          <w:tcPr/>
          <w:p>
            <w:pPr>
              <w:pStyle w:val="Compact"/>
              <w:jc w:val="left"/>
            </w:pPr>
            <w:r>
              <w:t xml:space="preserve">No menor a 10 años</w:t>
            </w:r>
          </w:p>
        </w:tc>
        <w:tc>
          <w:tcPr/>
          <w:p>
            <w:pPr>
              <w:pStyle w:val="Compact"/>
              <w:jc w:val="left"/>
            </w:pPr>
            <w:r>
              <w:t xml:space="preserve">Desde el cambio registrado</w:t>
            </w:r>
            <w:r>
              <w:t xml:space="preserve"> </w:t>
            </w:r>
            <w:r>
              <w:rPr>
                <w:iCs/>
                <w:i/>
              </w:rPr>
              <w:t xml:space="preserve">(inferido; el precepto no fija el punto de partida)</w:t>
            </w:r>
            <w:r>
              <w:t xml:space="preserve">.</w:t>
            </w:r>
            <w:r>
              <w:t xml:space="preserve"> </w:t>
            </w:r>
            <w:r>
              <w:rPr>
                <w:iCs/>
                <w:i/>
              </w:rPr>
              <w:t xml:space="preserve">Exigible desde el 1 de junio de 2027; véase el Anexo A</w:t>
            </w:r>
          </w:p>
        </w:tc>
        <w:tc>
          <w:tcPr/>
          <w:p>
            <w:pPr>
              <w:pStyle w:val="Compact"/>
              <w:jc w:val="left"/>
            </w:pPr>
            <w:r>
              <w:t xml:space="preserve">RCG art. 41, fr. IV</w:t>
            </w:r>
          </w:p>
        </w:tc>
      </w:tr>
      <w:tr>
        <w:tc>
          <w:tcPr/>
          <w:p>
            <w:pPr>
              <w:pStyle w:val="Compact"/>
              <w:jc w:val="left"/>
            </w:pPr>
            <w:r>
              <w:t xml:space="preserve">Información y documentación en poder de una Entidad Colegiada</w:t>
            </w:r>
          </w:p>
        </w:tc>
        <w:tc>
          <w:tcPr/>
          <w:p>
            <w:pPr>
              <w:pStyle w:val="Compact"/>
              <w:jc w:val="left"/>
            </w:pPr>
            <w:r>
              <w:t xml:space="preserve">No menor a 10 años</w:t>
            </w:r>
          </w:p>
        </w:tc>
        <w:tc>
          <w:tcPr/>
          <w:p>
            <w:pPr>
              <w:pStyle w:val="Compact"/>
              <w:jc w:val="left"/>
            </w:pPr>
            <w:r>
              <w:t xml:space="preserve">Dos cómputos concurrentes: desde la fecha del acto u operación, por las Reglas; y desde la recepción de la información o la generación del acuse, por el Reglamento. Rige el que venza después. Se conserva en el domicilio proporcionado</w:t>
            </w:r>
          </w:p>
        </w:tc>
        <w:tc>
          <w:tcPr/>
          <w:p>
            <w:pPr>
              <w:pStyle w:val="Compact"/>
              <w:jc w:val="left"/>
            </w:pPr>
            <w:r>
              <w:t xml:space="preserve">RCG art. 29, tercer párrafo · Reglamento art. 38, segundo párrafo</w:t>
            </w:r>
          </w:p>
        </w:tc>
      </w:tr>
      <w:tr>
        <w:tc>
          <w:tcPr/>
          <w:p>
            <w:pPr>
              <w:pStyle w:val="Compact"/>
              <w:jc w:val="left"/>
            </w:pPr>
            <w:r>
              <w:t xml:space="preserve">Documentación que sustenta la identificación del Beneficiario Controlador</w:t>
            </w:r>
          </w:p>
        </w:tc>
        <w:tc>
          <w:tcPr/>
          <w:p>
            <w:pPr>
              <w:pStyle w:val="Compact"/>
              <w:jc w:val="left"/>
            </w:pPr>
            <w:r>
              <w:t xml:space="preserve">10 años</w:t>
            </w:r>
            <w:r>
              <w:t xml:space="preserve"> </w:t>
            </w:r>
            <w:r>
              <w:rPr>
                <w:bCs/>
                <w:b/>
              </w:rPr>
              <w:t xml:space="preserve">por remisión</w:t>
            </w:r>
            <w:r>
              <w:t xml:space="preserve"> </w:t>
            </w:r>
            <w:r>
              <w:t xml:space="preserve">al artículo 18, fracción IV de la Ley</w:t>
            </w:r>
          </w:p>
        </w:tc>
        <w:tc>
          <w:tcPr/>
          <w:p>
            <w:pPr>
              <w:pStyle w:val="Compact"/>
              <w:jc w:val="left"/>
            </w:pPr>
            <w:r>
              <w:t xml:space="preserve">Se mantiene actualizada durante toda la vigencia de la Relación de negocios y se resguarda en los términos de esa fracción</w:t>
            </w:r>
          </w:p>
        </w:tc>
        <w:tc>
          <w:tcPr/>
          <w:p>
            <w:pPr>
              <w:pStyle w:val="Compact"/>
              <w:jc w:val="left"/>
            </w:pPr>
            <w:r>
              <w:t xml:space="preserve">RCG arts. 23 Quinquies, último párrafo, y 23 Quinquies 1, tercer párrafo</w:t>
            </w:r>
          </w:p>
        </w:tc>
      </w:tr>
      <w:tr>
        <w:tc>
          <w:tcPr/>
          <w:p>
            <w:pPr>
              <w:pStyle w:val="Compact"/>
              <w:jc w:val="left"/>
            </w:pPr>
            <w:r>
              <w:t xml:space="preserve">Dictamen de auditoría y la información que el auditor usó para justificar sus resultados</w:t>
            </w:r>
          </w:p>
        </w:tc>
        <w:tc>
          <w:tcPr/>
          <w:p>
            <w:pPr>
              <w:pStyle w:val="Compact"/>
              <w:jc w:val="left"/>
            </w:pPr>
            <w:r>
              <w:t xml:space="preserve">No menor a 5 años</w:t>
            </w:r>
          </w:p>
        </w:tc>
        <w:tc>
          <w:tcPr/>
          <w:p>
            <w:pPr>
              <w:pStyle w:val="Compact"/>
              <w:jc w:val="left"/>
            </w:pPr>
            <w:r>
              <w:t xml:space="preserve">Desde que el auditor entrega el dictamen al auditado</w:t>
            </w:r>
          </w:p>
        </w:tc>
        <w:tc>
          <w:tcPr/>
          <w:p>
            <w:pPr>
              <w:pStyle w:val="Compact"/>
              <w:jc w:val="left"/>
            </w:pPr>
            <w:r>
              <w:t xml:space="preserve">RCG art. 51</w:t>
            </w:r>
          </w:p>
        </w:tc>
      </w:tr>
      <w:tr>
        <w:tc>
          <w:tcPr/>
          <w:p>
            <w:pPr>
              <w:pStyle w:val="Compact"/>
              <w:jc w:val="left"/>
            </w:pPr>
            <w:r>
              <w:rPr>
                <w:bCs/>
                <w:b/>
              </w:rPr>
              <w:t xml:space="preserve">Interrupción del cómputo</w:t>
            </w:r>
            <w:r>
              <w:t xml:space="preserve"> </w:t>
            </w:r>
            <w:r>
              <w:rPr>
                <w:iCs/>
                <w:i/>
              </w:rPr>
              <w:t xml:space="preserve">(aplica a los acervos regidos por el artículo 18, fracción IV de la Ley y por el artículo 38 del Reglamento)</w:t>
            </w:r>
          </w:p>
        </w:tc>
        <w:tc>
          <w:tcPr/>
          <w:p>
            <w:pPr>
              <w:pStyle w:val="Compact"/>
              <w:jc w:val="left"/>
            </w:pPr>
            <w:r>
              <w:t xml:space="preserve">El plazo se interrumpe y se reinicia</w:t>
            </w:r>
          </w:p>
        </w:tc>
        <w:tc>
          <w:tcPr/>
          <w:p>
            <w:pPr>
              <w:pStyle w:val="Compact"/>
              <w:jc w:val="left"/>
            </w:pPr>
            <w:r>
              <w:t xml:space="preserve">Se interrumpe en la fecha de presentación del recurso o juicio y se reinicia hasta que la resolución definitiva quede firme</w:t>
            </w:r>
          </w:p>
        </w:tc>
        <w:tc>
          <w:tcPr/>
          <w:p>
            <w:pPr>
              <w:pStyle w:val="Compact"/>
              <w:jc w:val="left"/>
            </w:pPr>
            <w:r>
              <w:t xml:space="preserve">Ley art. 18, fr. IV, segundo párrafo · Reglamento art. 38, segundo párrafo</w:t>
            </w:r>
            <w:r>
              <w:t xml:space="preserve"> </w:t>
            </w:r>
            <w:r>
              <w:rPr>
                <w:iCs/>
                <w:i/>
              </w:rPr>
              <w:t xml:space="preserve">(Entidades Colegiadas)</w:t>
            </w:r>
          </w:p>
        </w:tc>
      </w:tr>
      <w:tr>
        <w:tc>
          <w:tcPr/>
          <w:p>
            <w:pPr>
              <w:pStyle w:val="Compact"/>
              <w:jc w:val="left"/>
            </w:pPr>
            <w:r>
              <w:t xml:space="preserve">Alcance temporal de las</w:t>
            </w:r>
            <w:r>
              <w:t xml:space="preserve"> </w:t>
            </w:r>
            <w:r>
              <w:rPr>
                <w:bCs/>
                <w:b/>
              </w:rPr>
              <w:t xml:space="preserve">visitas</w:t>
            </w:r>
            <w:r>
              <w:t xml:space="preserve"> </w:t>
            </w:r>
            <w:r>
              <w:t xml:space="preserve">de verificación</w:t>
            </w:r>
            <w:r>
              <w:t xml:space="preserve"> </w:t>
            </w:r>
            <w:r>
              <w:rPr>
                <w:iCs/>
                <w:i/>
              </w:rPr>
              <w:t xml:space="preserve">(no es plazo de conservación)</w:t>
            </w:r>
          </w:p>
        </w:tc>
        <w:tc>
          <w:tcPr/>
          <w:p>
            <w:pPr>
              <w:pStyle w:val="Compact"/>
              <w:jc w:val="left"/>
            </w:pPr>
            <w:r>
              <w:t xml:space="preserve">5 años</w:t>
            </w:r>
          </w:p>
        </w:tc>
        <w:tc>
          <w:tcPr/>
          <w:p>
            <w:pPr>
              <w:pStyle w:val="Compact"/>
              <w:jc w:val="left"/>
            </w:pPr>
            <w:r>
              <w:t xml:space="preserve">Hacia atrás desde la fecha de inicio de la visita. El precepto acota «las verificaciones», y el artículo 34 de la Ley define la comprobación como visitas de verificación</w:t>
            </w:r>
            <w:r>
              <w:t xml:space="preserve"> </w:t>
            </w:r>
            <w:r>
              <w:rPr>
                <w:bCs/>
                <w:b/>
              </w:rPr>
              <w:t xml:space="preserve">o</w:t>
            </w:r>
            <w:r>
              <w:t xml:space="preserve"> </w:t>
            </w:r>
            <w:r>
              <w:t xml:space="preserve">requerimientos de información; pero el punto de partida está redactado únicamente sobre la visita, de modo que</w:t>
            </w:r>
            <w:r>
              <w:t xml:space="preserve"> </w:t>
            </w:r>
            <w:r>
              <w:rPr>
                <w:bCs/>
                <w:b/>
              </w:rPr>
              <w:t xml:space="preserve">no hay texto que fije el corte cuando la comprobación se hace por requerimiento</w:t>
            </w:r>
            <w:r>
              <w:t xml:space="preserve"> </w:t>
            </w:r>
            <w:r>
              <w:t xml:space="preserve">(Ley art. 34; Reglamento art. 8). El punto no está resuelto</w:t>
            </w:r>
            <w:r>
              <w:t xml:space="preserve"> </w:t>
            </w:r>
            <w:r>
              <w:rPr>
                <w:iCs/>
                <w:i/>
              </w:rPr>
              <w:t xml:space="preserve">(ámbar)</w:t>
            </w:r>
          </w:p>
        </w:tc>
        <w:tc>
          <w:tcPr/>
          <w:p>
            <w:pPr>
              <w:pStyle w:val="Compact"/>
              <w:jc w:val="left"/>
            </w:pPr>
            <w:r>
              <w:t xml:space="preserve">Ley art. 36</w:t>
            </w:r>
            <w:r>
              <w:t xml:space="preserve"> </w:t>
            </w:r>
            <w:r>
              <w:rPr>
                <w:iCs/>
                <w:i/>
              </w:rPr>
              <w:t xml:space="preserve">(el art. 34 faculta la comprobación de oficio y en cualquier tiempo, sin fijar plazo)</w:t>
            </w:r>
          </w:p>
        </w:tc>
      </w:tr>
    </w:tbl>
    <w:p>
      <w:pPr>
        <w:pStyle w:val="BodyText"/>
      </w:pPr>
      <w:r>
        <w:rPr>
          <w:iCs/>
          <w:i/>
        </w:rPr>
        <w:t xml:space="preserve">La confusión más costosa de este bloque: se conserva por diez años, pero se verifica hacia atrás por cinco. Una política de depuración a cinco años aplicada después del 17 de julio de 2025 destruye evidencia que debía conservarse diez. Y la interrupción por recurso o juicio convierte los diez años en un plazo abierto justo cuando el expediente más se necesita.</w:t>
      </w:r>
    </w:p>
    <w:bookmarkEnd w:id="198"/>
    <w:bookmarkStart w:id="199" w:name="X8aa8e6543c8127d8718c439f6cc304c8268ae29"/>
    <w:p>
      <w:pPr>
        <w:pStyle w:val="Heading2"/>
      </w:pPr>
      <w:r>
        <w:t xml:space="preserve">B.2 · Plazos a cargo de quien realiza la Actividad Vulnerable</w:t>
      </w:r>
    </w:p>
    <w:p>
      <w:pPr>
        <w:pStyle w:val="FirstParagraph"/>
      </w:pPr>
      <w:r>
        <w:rPr>
          <w:iCs/>
          <w:i/>
        </w:rPr>
        <w:t xml:space="preserve">Los plazos en días son hábiles salvo que se indique lo contrario. No se computan los días inhábiles que enumera el artículo 36 Bis, segundo párrafo de las Reglas, ni el periodo general de vacaciones y suspensión de labores que el SAT señale en la Resolución Miscelánea Fiscal (mismo artículo, tercer párrafo).</w:t>
      </w:r>
    </w:p>
    <w:p>
      <w:pPr>
        <w:pStyle w:val="BodyText"/>
      </w:pPr>
      <w:r>
        <w:rPr>
          <w:iCs/>
          <w:i/>
        </w:rPr>
        <w:t xml:space="preserve">Estos plazos sólo son exigibles a partir de la fecha que el Anexo A asigna a cada obligación. Los de los artículos 23 Bis 1, 23 Ter 1 y 23 Quinquies 1 de las Reglas rigen respecto de los actos u operaciones realizados a partir del 1 de marzo de 2027 (Transitorio Cuarto del ACUERDO 115/2026); el del artículo 37, en su versión con la metodología del Capítulo II Quáter, a partir de esa misma fecha (Transitorio Tercero del ACUERDO 115/2026); y el del artículo 41, a partir del 1 de junio de 2027 (Transitorio Noveno del ACUERDO 115/2026).</w:t>
      </w:r>
      <w:r>
        <w:rPr>
          <w:iCs/>
          <w:i/>
        </w:rPr>
        <w:t xml:space="preserve"> </w:t>
      </w:r>
      <w:r>
        <w:rPr>
          <w:bCs/>
          <w:b/>
          <w:iCs/>
          <w:i/>
        </w:rPr>
        <w:t xml:space="preserve">En caso de discrepancia entre el Anexo A y este Anexo B sobre una fecha de exigibilidad, prevalece el Anexo A; sobre la duración de un plazo, prevalece el Anexo B.</w:t>
      </w:r>
    </w:p>
    <w:tbl>
      <w:tblPr>
        <w:tblStyle w:val="Table"/>
        <w:tblW w:type="pct" w:w="5000"/>
        <w:tblLook w:firstRow="1" w:lastRow="0" w:firstColumn="0" w:lastColumn="0" w:noHBand="0" w:noVBand="0" w:val="0020"/>
        <w:jc w:val="start"/>
      </w:tblPr>
      <w:tblGrid>
        <w:gridCol w:w="2982"/>
        <w:gridCol w:w="2542"/>
        <w:gridCol w:w="2395"/>
      </w:tblGrid>
      <w:tr>
        <w:trPr>
          <w:tblHeader w:val="true"/>
        </w:trPr>
        <w:tc>
          <w:tcPr/>
          <w:p>
            <w:pPr>
              <w:pStyle w:val="Compact"/>
              <w:jc w:val="left"/>
            </w:pPr>
            <w:r>
              <w:t xml:space="preserve">Obligación</w:t>
            </w:r>
          </w:p>
        </w:tc>
        <w:tc>
          <w:tcPr/>
          <w:p>
            <w:pPr>
              <w:pStyle w:val="Compact"/>
              <w:jc w:val="left"/>
            </w:pPr>
            <w:r>
              <w:t xml:space="preserve">Plazo</w:t>
            </w:r>
          </w:p>
        </w:tc>
        <w:tc>
          <w:tcPr/>
          <w:p>
            <w:pPr>
              <w:pStyle w:val="Compact"/>
              <w:jc w:val="left"/>
            </w:pPr>
            <w:r>
              <w:t xml:space="preserve">Fundamento</w:t>
            </w:r>
          </w:p>
        </w:tc>
      </w:tr>
      <w:tr>
        <w:tc>
          <w:tcPr/>
          <w:p>
            <w:pPr>
              <w:pStyle w:val="Compact"/>
              <w:jc w:val="left"/>
            </w:pPr>
            <w:r>
              <w:t xml:space="preserve">Consultar el buzón del Portal en Internet</w:t>
            </w:r>
          </w:p>
        </w:tc>
        <w:tc>
          <w:tcPr/>
          <w:p>
            <w:pPr>
              <w:pStyle w:val="Compact"/>
              <w:jc w:val="left"/>
            </w:pPr>
            <w:r>
              <w:t xml:space="preserve">Al menos una vez cada día hábil, o el día hábil siguiente si alguno de éstos fuere inhábil</w:t>
            </w:r>
          </w:p>
        </w:tc>
        <w:tc>
          <w:tcPr/>
          <w:p>
            <w:pPr>
              <w:pStyle w:val="Compact"/>
              <w:jc w:val="left"/>
            </w:pPr>
            <w:r>
              <w:t xml:space="preserve">RCG art. 6, quinto párrafo</w:t>
            </w:r>
          </w:p>
        </w:tc>
      </w:tr>
      <w:tr>
        <w:tc>
          <w:tcPr/>
          <w:p>
            <w:pPr>
              <w:pStyle w:val="Compact"/>
              <w:jc w:val="left"/>
            </w:pPr>
            <w:r>
              <w:t xml:space="preserve">Abrir los documentos digitales pendientes de notificar</w:t>
            </w:r>
          </w:p>
        </w:tc>
        <w:tc>
          <w:tcPr/>
          <w:p>
            <w:pPr>
              <w:pStyle w:val="Compact"/>
              <w:jc w:val="left"/>
            </w:pPr>
            <w:r>
              <w:t xml:space="preserve">3 días hábiles desde el día siguiente al envío</w:t>
            </w:r>
          </w:p>
        </w:tc>
        <w:tc>
          <w:tcPr/>
          <w:p>
            <w:pPr>
              <w:pStyle w:val="Compact"/>
              <w:jc w:val="left"/>
            </w:pPr>
            <w:r>
              <w:t xml:space="preserve">RCG art. 6, tercer párrafo</w:t>
            </w:r>
          </w:p>
        </w:tc>
      </w:tr>
      <w:tr>
        <w:tc>
          <w:tcPr/>
          <w:p>
            <w:pPr>
              <w:pStyle w:val="Compact"/>
              <w:jc w:val="left"/>
            </w:pPr>
            <w:r>
              <w:t xml:space="preserve">Margen máximo para conocer un documento antes de que la notificación surta efectos por ficción legal</w:t>
            </w:r>
          </w:p>
        </w:tc>
        <w:tc>
          <w:tcPr/>
          <w:p>
            <w:pPr>
              <w:pStyle w:val="Compact"/>
              <w:jc w:val="left"/>
            </w:pPr>
            <w:r>
              <w:t xml:space="preserve">Al cuarto día hábil, contado desde el día siguiente al envío, la notificación se tiene por realizada aunque el documento no se abra</w:t>
            </w:r>
          </w:p>
        </w:tc>
        <w:tc>
          <w:tcPr/>
          <w:p>
            <w:pPr>
              <w:pStyle w:val="Compact"/>
              <w:jc w:val="left"/>
            </w:pPr>
            <w:r>
              <w:t xml:space="preserve">RCG art. 6, cuarto párrafo</w:t>
            </w:r>
          </w:p>
        </w:tc>
      </w:tr>
      <w:tr>
        <w:tc>
          <w:tcPr/>
          <w:p>
            <w:pPr>
              <w:pStyle w:val="Compact"/>
              <w:jc w:val="left"/>
            </w:pPr>
            <w:r>
              <w:t xml:space="preserve">Informar la imposibilidad de consultar el buzón por causa imputable a la autoridad</w:t>
            </w:r>
          </w:p>
        </w:tc>
        <w:tc>
          <w:tcPr/>
          <w:p>
            <w:pPr>
              <w:pStyle w:val="Compact"/>
              <w:jc w:val="left"/>
            </w:pPr>
            <w:r>
              <w:t xml:space="preserve">3 días hábiles siguientes a aquel en que ocurra el impedimento</w:t>
            </w:r>
          </w:p>
        </w:tc>
        <w:tc>
          <w:tcPr/>
          <w:p>
            <w:pPr>
              <w:pStyle w:val="Compact"/>
              <w:jc w:val="left"/>
            </w:pPr>
            <w:r>
              <w:t xml:space="preserve">RCG art. 6, sexto párrafo</w:t>
            </w:r>
          </w:p>
        </w:tc>
      </w:tr>
      <w:tr>
        <w:tc>
          <w:tcPr/>
          <w:p>
            <w:pPr>
              <w:pStyle w:val="Compact"/>
              <w:jc w:val="left"/>
            </w:pPr>
            <w:r>
              <w:t xml:space="preserve">Trámite de actualización del alta y registro</w:t>
            </w:r>
          </w:p>
        </w:tc>
        <w:tc>
          <w:tcPr/>
          <w:p>
            <w:pPr>
              <w:pStyle w:val="Compact"/>
              <w:jc w:val="left"/>
            </w:pPr>
            <w:r>
              <w:t xml:space="preserve">6 días hábiles desde el hecho que la motiva</w:t>
            </w:r>
          </w:p>
        </w:tc>
        <w:tc>
          <w:tcPr/>
          <w:p>
            <w:pPr>
              <w:pStyle w:val="Compact"/>
              <w:jc w:val="left"/>
            </w:pPr>
            <w:r>
              <w:t xml:space="preserve">RCG art. 7</w:t>
            </w:r>
          </w:p>
        </w:tc>
      </w:tr>
      <w:tr>
        <w:tc>
          <w:tcPr/>
          <w:p>
            <w:pPr>
              <w:pStyle w:val="Compact"/>
              <w:jc w:val="left"/>
            </w:pPr>
            <w:r>
              <w:t xml:space="preserve">Atender requerimiento del SAT sobre el alta, el registro o su actualización</w:t>
            </w:r>
          </w:p>
        </w:tc>
        <w:tc>
          <w:tcPr/>
          <w:p>
            <w:pPr>
              <w:pStyle w:val="Compact"/>
              <w:jc w:val="left"/>
            </w:pPr>
            <w:r>
              <w:t xml:space="preserve">10 días hábiles desde la notificación; prórroga potestativa de hasta 5 días hábiles</w:t>
            </w:r>
          </w:p>
        </w:tc>
        <w:tc>
          <w:tcPr/>
          <w:p>
            <w:pPr>
              <w:pStyle w:val="Compact"/>
              <w:jc w:val="left"/>
            </w:pPr>
            <w:r>
              <w:t xml:space="preserve">RCG art. 9, párrafos primero y segundo</w:t>
            </w:r>
          </w:p>
        </w:tc>
      </w:tr>
      <w:tr>
        <w:tc>
          <w:tcPr/>
          <w:p>
            <w:pPr>
              <w:pStyle w:val="Compact"/>
              <w:jc w:val="left"/>
            </w:pPr>
            <w:r>
              <w:t xml:space="preserve">Atender requerimiento de información, documentación, datos o imágenes de la UIF o del SAT</w:t>
            </w:r>
          </w:p>
        </w:tc>
        <w:tc>
          <w:tcPr/>
          <w:p>
            <w:pPr>
              <w:pStyle w:val="Compact"/>
              <w:jc w:val="left"/>
            </w:pPr>
            <w:r>
              <w:t xml:space="preserve">10 días hábiles desde el día siguiente a la recepción. Prórroga de hasta 5 días hábiles, siempre que se solicite dentro del plazo original de 10 días; corre desde el día siguiente al vencimiento de ese plazo original</w:t>
            </w:r>
          </w:p>
        </w:tc>
        <w:tc>
          <w:tcPr/>
          <w:p>
            <w:pPr>
              <w:pStyle w:val="Compact"/>
              <w:jc w:val="left"/>
            </w:pPr>
            <w:r>
              <w:t xml:space="preserve">Reglamento art. 8, párrafos primero y segundo</w:t>
            </w:r>
          </w:p>
        </w:tc>
      </w:tr>
      <w:tr>
        <w:tc>
          <w:tcPr/>
          <w:p>
            <w:pPr>
              <w:pStyle w:val="Compact"/>
              <w:jc w:val="left"/>
            </w:pPr>
            <w:r>
              <w:t xml:space="preserve">Desvirtuar hechos u omisiones asentados en oficio circunstanciado</w:t>
            </w:r>
          </w:p>
        </w:tc>
        <w:tc>
          <w:tcPr/>
          <w:p>
            <w:pPr>
              <w:pStyle w:val="Compact"/>
              <w:jc w:val="left"/>
            </w:pPr>
            <w:r>
              <w:t xml:space="preserve">5 días hábiles señalados en el propio oficio</w:t>
            </w:r>
          </w:p>
        </w:tc>
        <w:tc>
          <w:tcPr/>
          <w:p>
            <w:pPr>
              <w:pStyle w:val="Compact"/>
              <w:jc w:val="left"/>
            </w:pPr>
            <w:r>
              <w:t xml:space="preserve">Reglamento art. 9, primer párrafo</w:t>
            </w:r>
          </w:p>
        </w:tc>
      </w:tr>
      <w:tr>
        <w:tc>
          <w:tcPr/>
          <w:p>
            <w:pPr>
              <w:pStyle w:val="Compact"/>
              <w:jc w:val="left"/>
            </w:pPr>
            <w:r>
              <w:t xml:space="preserve">Manifestar lo que a su derecho convenga sobre información proveniente de otras autoridades</w:t>
            </w:r>
          </w:p>
        </w:tc>
        <w:tc>
          <w:tcPr/>
          <w:p>
            <w:pPr>
              <w:pStyle w:val="Compact"/>
              <w:jc w:val="left"/>
            </w:pPr>
            <w:r>
              <w:t xml:space="preserve">10 días hábiles desde que se le da a conocer</w:t>
            </w:r>
          </w:p>
        </w:tc>
        <w:tc>
          <w:tcPr/>
          <w:p>
            <w:pPr>
              <w:pStyle w:val="Compact"/>
              <w:jc w:val="left"/>
            </w:pPr>
            <w:r>
              <w:t xml:space="preserve">Reglamento art. 10 Bis, tercer párrafo</w:t>
            </w:r>
          </w:p>
        </w:tc>
      </w:tr>
      <w:tr>
        <w:tc>
          <w:tcPr/>
          <w:p>
            <w:pPr>
              <w:pStyle w:val="Compact"/>
              <w:jc w:val="left"/>
            </w:pPr>
            <w:r>
              <w:t xml:space="preserve">Integrar el expediente único de identificación</w:t>
            </w:r>
          </w:p>
        </w:tc>
        <w:tc>
          <w:tcPr/>
          <w:p>
            <w:pPr>
              <w:pStyle w:val="Compact"/>
              <w:jc w:val="left"/>
            </w:pPr>
            <w:r>
              <w:t xml:space="preserve">De manera previa o durante la realización del acto u operación o, en su caso, con anterioridad o al momento de establecer la Relación de negocios</w:t>
            </w:r>
          </w:p>
        </w:tc>
        <w:tc>
          <w:tcPr/>
          <w:p>
            <w:pPr>
              <w:pStyle w:val="Compact"/>
              <w:jc w:val="left"/>
            </w:pPr>
            <w:r>
              <w:t xml:space="preserve">RCG art. 12, segundo párrafo</w:t>
            </w:r>
          </w:p>
        </w:tc>
      </w:tr>
      <w:tr>
        <w:tc>
          <w:tcPr/>
          <w:p>
            <w:pPr>
              <w:pStyle w:val="Compact"/>
              <w:jc w:val="left"/>
            </w:pPr>
            <w:r>
              <w:t xml:space="preserve">Identificar al Beneficiario Controlador</w:t>
            </w:r>
          </w:p>
        </w:tc>
        <w:tc>
          <w:tcPr/>
          <w:p>
            <w:pPr>
              <w:pStyle w:val="Compact"/>
              <w:jc w:val="left"/>
            </w:pPr>
            <w:r>
              <w:t xml:space="preserve">Con carácter previo a la realización del acto u operación o, a más tardar, al momento del establecimiento de la Relación de negocios</w:t>
            </w:r>
            <w:r>
              <w:t xml:space="preserve"> </w:t>
            </w:r>
            <w:r>
              <w:rPr>
                <w:iCs/>
                <w:i/>
              </w:rPr>
              <w:t xml:space="preserve">(exigible desde el 1 de marzo de 2027; véase el Anexo A)</w:t>
            </w:r>
          </w:p>
        </w:tc>
        <w:tc>
          <w:tcPr/>
          <w:p>
            <w:pPr>
              <w:pStyle w:val="Compact"/>
              <w:jc w:val="left"/>
            </w:pPr>
            <w:r>
              <w:t xml:space="preserve">RCG art. 23 Quinquies 1, tercer párrafo</w:t>
            </w:r>
          </w:p>
        </w:tc>
      </w:tr>
      <w:tr>
        <w:tc>
          <w:tcPr/>
          <w:p>
            <w:pPr>
              <w:pStyle w:val="Compact"/>
              <w:jc w:val="left"/>
            </w:pPr>
            <w:r>
              <w:t xml:space="preserve">Contar con Manual de Políticas Internas</w:t>
            </w:r>
          </w:p>
        </w:tc>
        <w:tc>
          <w:tcPr/>
          <w:p>
            <w:pPr>
              <w:pStyle w:val="Compact"/>
              <w:jc w:val="left"/>
            </w:pPr>
            <w:r>
              <w:t xml:space="preserve">90 días naturales desde el alta y registro.</w:t>
            </w:r>
            <w:r>
              <w:t xml:space="preserve"> </w:t>
            </w:r>
            <w:r>
              <w:rPr>
                <w:iCs/>
                <w:i/>
              </w:rPr>
              <w:t xml:space="preserve">El Manual que incorpore la metodología del Capítulo II Quáter es exigible desde el 1 de marzo de 2027; véase el Anexo A</w:t>
            </w:r>
          </w:p>
        </w:tc>
        <w:tc>
          <w:tcPr/>
          <w:p>
            <w:pPr>
              <w:pStyle w:val="Compact"/>
              <w:jc w:val="left"/>
            </w:pPr>
            <w:r>
              <w:t xml:space="preserve">RCG art. 37</w:t>
            </w:r>
          </w:p>
        </w:tc>
      </w:tr>
      <w:tr>
        <w:tc>
          <w:tcPr/>
          <w:p>
            <w:pPr>
              <w:pStyle w:val="Compact"/>
              <w:jc w:val="left"/>
            </w:pPr>
            <w:r>
              <w:t xml:space="preserve">Presentar el Aviso mensual</w:t>
            </w:r>
          </w:p>
        </w:tc>
        <w:tc>
          <w:tcPr/>
          <w:p>
            <w:pPr>
              <w:pStyle w:val="Compact"/>
              <w:jc w:val="left"/>
            </w:pPr>
            <w:r>
              <w:t xml:space="preserve">A más tardar el día 17 del mes inmediato siguiente al acto u operación</w:t>
            </w:r>
          </w:p>
        </w:tc>
        <w:tc>
          <w:tcPr/>
          <w:p>
            <w:pPr>
              <w:pStyle w:val="Compact"/>
              <w:jc w:val="left"/>
            </w:pPr>
            <w:r>
              <w:t xml:space="preserve">Ley art. 23</w:t>
            </w:r>
          </w:p>
        </w:tc>
      </w:tr>
      <w:tr>
        <w:tc>
          <w:tcPr/>
          <w:p>
            <w:pPr>
              <w:pStyle w:val="Compact"/>
              <w:jc w:val="left"/>
            </w:pPr>
            <w:r>
              <w:t xml:space="preserve">Presentar el Informe del mes sin operaciones objeto de Aviso</w:t>
            </w:r>
          </w:p>
        </w:tc>
        <w:tc>
          <w:tcPr/>
          <w:p>
            <w:pPr>
              <w:pStyle w:val="Compact"/>
              <w:jc w:val="left"/>
            </w:pPr>
            <w:r>
              <w:t xml:space="preserve">Ningún precepto fija plazo expreso: la remisión del artículo 25 al último párrafo del artículo 12 del Reglamento quedó vacía tras la reforma DOF 27-mar-2026. Se aplica por analogía el plazo del Aviso. Una vez enviado no puede modificarse ni eliminarse; si después se identifica un acto que era objeto de Aviso, debe presentarse el Aviso</w:t>
            </w:r>
          </w:p>
        </w:tc>
        <w:tc>
          <w:tcPr/>
          <w:p>
            <w:pPr>
              <w:pStyle w:val="Compact"/>
              <w:jc w:val="left"/>
            </w:pPr>
            <w:r>
              <w:t xml:space="preserve">RCG art. 25</w:t>
            </w:r>
            <w:r>
              <w:t xml:space="preserve"> </w:t>
            </w:r>
            <w:r>
              <w:rPr>
                <w:iCs/>
                <w:i/>
              </w:rPr>
              <w:t xml:space="preserve">(plazo inferido; Ley art. 23)</w:t>
            </w:r>
          </w:p>
        </w:tc>
      </w:tr>
      <w:tr>
        <w:tc>
          <w:tcPr/>
          <w:p>
            <w:pPr>
              <w:pStyle w:val="Compact"/>
              <w:jc w:val="left"/>
            </w:pPr>
            <w:r>
              <w:t xml:space="preserve">Presentar el Informe del mes en que sólo hubo operaciones no objeto de Aviso del artículo 27 Bis</w:t>
            </w:r>
          </w:p>
        </w:tc>
        <w:tc>
          <w:tcPr/>
          <w:p>
            <w:pPr>
              <w:pStyle w:val="Compact"/>
              <w:jc w:val="left"/>
            </w:pPr>
            <w:r>
              <w:t xml:space="preserve">Mismo criterio de plazo. Si además hubo operaciones con quienes no integran el Grupo Empresarial, se presentan los Avisos que correspondan o, de no haberlos, el Informe del artículo 25</w:t>
            </w:r>
          </w:p>
        </w:tc>
        <w:tc>
          <w:tcPr/>
          <w:p>
            <w:pPr>
              <w:pStyle w:val="Compact"/>
              <w:jc w:val="left"/>
            </w:pPr>
            <w:r>
              <w:t xml:space="preserve">RCG art. 25 Bis</w:t>
            </w:r>
            <w:r>
              <w:t xml:space="preserve"> </w:t>
            </w:r>
            <w:r>
              <w:rPr>
                <w:iCs/>
                <w:i/>
              </w:rPr>
              <w:t xml:space="preserve">(no prevé inmodificabilidad ni plazo expreso)</w:t>
            </w:r>
          </w:p>
        </w:tc>
      </w:tr>
      <w:tr>
        <w:tc>
          <w:tcPr/>
          <w:p>
            <w:pPr>
              <w:pStyle w:val="Compact"/>
              <w:jc w:val="left"/>
            </w:pPr>
            <w:r>
              <w:t xml:space="preserve">Presentar Aviso por sospecha, por hechos o indicios, por operación intentada o por coincidencia en el listado del artículo 38</w:t>
            </w:r>
          </w:p>
        </w:tc>
        <w:tc>
          <w:tcPr/>
          <w:p>
            <w:pPr>
              <w:pStyle w:val="Compact"/>
              <w:jc w:val="left"/>
            </w:pPr>
            <w:r>
              <w:t xml:space="preserve">24 horas</w:t>
            </w:r>
            <w:r>
              <w:t xml:space="preserve"> </w:t>
            </w:r>
            <w:r>
              <w:rPr>
                <w:iCs/>
                <w:i/>
              </w:rPr>
              <w:t xml:space="preserve">(exigible seis meses después de la Resolución de formatos; véase el Anexo A)</w:t>
            </w:r>
          </w:p>
        </w:tc>
        <w:tc>
          <w:tcPr/>
          <w:p>
            <w:pPr>
              <w:pStyle w:val="Compact"/>
              <w:jc w:val="left"/>
            </w:pPr>
            <w:r>
              <w:t xml:space="preserve">RCG arts. 26 Bis, 26 Bis 1, 26 Bis 2 y 27, segundo párrafo</w:t>
            </w:r>
          </w:p>
        </w:tc>
      </w:tr>
      <w:tr>
        <w:tc>
          <w:tcPr/>
          <w:p>
            <w:pPr>
              <w:pStyle w:val="Compact"/>
              <w:jc w:val="left"/>
            </w:pPr>
            <w:r>
              <w:t xml:space="preserve">Acumular actos u operaciones para efectos de umbral</w:t>
            </w:r>
          </w:p>
        </w:tc>
        <w:tc>
          <w:tcPr/>
          <w:p>
            <w:pPr>
              <w:pStyle w:val="Compact"/>
              <w:jc w:val="left"/>
            </w:pPr>
            <w:r>
              <w:t xml:space="preserve">Periodos de hasta 6 meses, contados desde el primer acto u operación</w:t>
            </w:r>
          </w:p>
        </w:tc>
        <w:tc>
          <w:tcPr/>
          <w:p>
            <w:pPr>
              <w:pStyle w:val="Compact"/>
              <w:jc w:val="left"/>
            </w:pPr>
            <w:r>
              <w:t xml:space="preserve">RCG art. 19, segundo párrafo</w:t>
            </w:r>
          </w:p>
        </w:tc>
      </w:tr>
      <w:tr>
        <w:tc>
          <w:tcPr/>
          <w:p>
            <w:pPr>
              <w:pStyle w:val="Compact"/>
              <w:jc w:val="left"/>
            </w:pPr>
            <w:r>
              <w:t xml:space="preserve">Presentar el Aviso derivado de la acumulación</w:t>
            </w:r>
          </w:p>
        </w:tc>
        <w:tc>
          <w:tcPr/>
          <w:p>
            <w:pPr>
              <w:pStyle w:val="Compact"/>
              <w:jc w:val="left"/>
            </w:pPr>
            <w:r>
              <w:t xml:space="preserve">Al momento de realizar la última operación con la que se alcance o supere el umbral, aun cuando no se haya agotado el periodo de seis meses</w:t>
            </w:r>
          </w:p>
        </w:tc>
        <w:tc>
          <w:tcPr/>
          <w:p>
            <w:pPr>
              <w:pStyle w:val="Compact"/>
              <w:jc w:val="left"/>
            </w:pPr>
            <w:r>
              <w:t xml:space="preserve">Reglamento art. 7, segundo párrafo</w:t>
            </w:r>
          </w:p>
        </w:tc>
      </w:tr>
      <w:tr>
        <w:tc>
          <w:tcPr/>
          <w:p>
            <w:pPr>
              <w:pStyle w:val="Compact"/>
              <w:jc w:val="left"/>
            </w:pPr>
            <w:r>
              <w:t xml:space="preserve">Acumular operaciones de juegos con apuesta, concursos o sorteos</w:t>
            </w:r>
          </w:p>
        </w:tc>
        <w:tc>
          <w:tcPr/>
          <w:p>
            <w:pPr>
              <w:pStyle w:val="Compact"/>
              <w:jc w:val="left"/>
            </w:pPr>
            <w:r>
              <w:t xml:space="preserve">325 veces el valor diario de la UMA en un periodo de 24 horas contadas desde la primera operación</w:t>
            </w:r>
          </w:p>
        </w:tc>
        <w:tc>
          <w:tcPr/>
          <w:p>
            <w:pPr>
              <w:pStyle w:val="Compact"/>
              <w:jc w:val="left"/>
            </w:pPr>
            <w:r>
              <w:t xml:space="preserve">Reglamento art. 21 Bis</w:t>
            </w:r>
          </w:p>
        </w:tc>
      </w:tr>
      <w:tr>
        <w:tc>
          <w:tcPr/>
          <w:p>
            <w:pPr>
              <w:pStyle w:val="Compact"/>
              <w:jc w:val="left"/>
            </w:pPr>
            <w:r>
              <w:t xml:space="preserve">Verificar que los expedientes de Clientes o Usuarias con Relación de negocios estén completos y actualizados</w:t>
            </w:r>
          </w:p>
        </w:tc>
        <w:tc>
          <w:tcPr/>
          <w:p>
            <w:pPr>
              <w:pStyle w:val="Compact"/>
              <w:jc w:val="left"/>
            </w:pPr>
            <w:r>
              <w:t xml:space="preserve">Al menos una vez al año. No alcanza a quienes celebran actos u operaciones ocasionales</w:t>
            </w:r>
          </w:p>
        </w:tc>
        <w:tc>
          <w:tcPr/>
          <w:p>
            <w:pPr>
              <w:pStyle w:val="Compact"/>
              <w:jc w:val="left"/>
            </w:pPr>
            <w:r>
              <w:t xml:space="preserve">RCG art. 21</w:t>
            </w:r>
          </w:p>
        </w:tc>
      </w:tr>
      <w:tr>
        <w:tc>
          <w:tcPr/>
          <w:p>
            <w:pPr>
              <w:pStyle w:val="Compact"/>
              <w:jc w:val="left"/>
            </w:pPr>
            <w:r>
              <w:t xml:space="preserve">Antigüedad máxima del comprobante de domicilio</w:t>
            </w:r>
          </w:p>
        </w:tc>
        <w:tc>
          <w:tcPr/>
          <w:p>
            <w:pPr>
              <w:pStyle w:val="Compact"/>
              <w:jc w:val="left"/>
            </w:pPr>
            <w:r>
              <w:t xml:space="preserve">3 meses a su fecha de emisión</w:t>
            </w:r>
          </w:p>
        </w:tc>
        <w:tc>
          <w:tcPr/>
          <w:p>
            <w:pPr>
              <w:pStyle w:val="Compact"/>
              <w:jc w:val="left"/>
            </w:pPr>
            <w:r>
              <w:t xml:space="preserve">RCG art. 21 y Anexos que lo solicitan</w:t>
            </w:r>
          </w:p>
        </w:tc>
      </w:tr>
      <w:tr>
        <w:tc>
          <w:tcPr/>
          <w:p>
            <w:pPr>
              <w:pStyle w:val="Compact"/>
              <w:jc w:val="left"/>
            </w:pPr>
            <w:r>
              <w:t xml:space="preserve">Vigencia de la identificación oficial del Cliente o Usuaria</w:t>
            </w:r>
          </w:p>
        </w:tc>
        <w:tc>
          <w:tcPr/>
          <w:p>
            <w:pPr>
              <w:pStyle w:val="Compact"/>
              <w:jc w:val="left"/>
            </w:pPr>
            <w:r>
              <w:t xml:space="preserve">Vigente o con fecha de vencimiento no mayor a 2 años al momento de su presentación. Queda excluida la cédula profesional</w:t>
            </w:r>
          </w:p>
        </w:tc>
        <w:tc>
          <w:tcPr/>
          <w:p>
            <w:pPr>
              <w:pStyle w:val="Compact"/>
              <w:jc w:val="left"/>
            </w:pPr>
            <w:r>
              <w:t xml:space="preserve">RCG Anexos 3, 4, 4 Bis, 5, 6, 6 Bis y 8</w:t>
            </w:r>
          </w:p>
        </w:tc>
      </w:tr>
      <w:tr>
        <w:tc>
          <w:tcPr/>
          <w:p>
            <w:pPr>
              <w:pStyle w:val="Compact"/>
              <w:jc w:val="left"/>
            </w:pPr>
            <w:r>
              <w:t xml:space="preserve">Evaluar el Grado de Riesgo de cada Cliente o Usuaria</w:t>
            </w:r>
          </w:p>
        </w:tc>
        <w:tc>
          <w:tcPr/>
          <w:p>
            <w:pPr>
              <w:pStyle w:val="Compact"/>
              <w:jc w:val="left"/>
            </w:pPr>
            <w:r>
              <w:t xml:space="preserve">Al menos cada 6 meses; con mayor frecuencia cuanto mayor sea el Grado de Riesgo</w:t>
            </w:r>
            <w:r>
              <w:t xml:space="preserve"> </w:t>
            </w:r>
            <w:r>
              <w:rPr>
                <w:iCs/>
                <w:i/>
              </w:rPr>
              <w:t xml:space="preserve">(exigible desde el 1 de marzo de 2027; véase el Anexo A)</w:t>
            </w:r>
          </w:p>
        </w:tc>
        <w:tc>
          <w:tcPr/>
          <w:p>
            <w:pPr>
              <w:pStyle w:val="Compact"/>
              <w:jc w:val="left"/>
            </w:pPr>
            <w:r>
              <w:t xml:space="preserve">RCG art. 23 Bis 1</w:t>
            </w:r>
          </w:p>
        </w:tc>
      </w:tr>
      <w:tr>
        <w:tc>
          <w:tcPr/>
          <w:p>
            <w:pPr>
              <w:pStyle w:val="Compact"/>
              <w:jc w:val="left"/>
            </w:pPr>
            <w:r>
              <w:t xml:space="preserve">Determinar el Perfil transaccional inicial con la información declarada</w:t>
            </w:r>
          </w:p>
        </w:tc>
        <w:tc>
          <w:tcPr/>
          <w:p>
            <w:pPr>
              <w:pStyle w:val="Compact"/>
              <w:jc w:val="left"/>
            </w:pPr>
            <w:r>
              <w:t xml:space="preserve">Durante los primeros 6 meses siguientes al acto u operación</w:t>
            </w:r>
            <w:r>
              <w:t xml:space="preserve"> </w:t>
            </w:r>
            <w:r>
              <w:rPr>
                <w:iCs/>
                <w:i/>
              </w:rPr>
              <w:t xml:space="preserve">(exigible desde el 1 de marzo de 2027; véase el Anexo A)</w:t>
            </w:r>
          </w:p>
        </w:tc>
        <w:tc>
          <w:tcPr/>
          <w:p>
            <w:pPr>
              <w:pStyle w:val="Compact"/>
              <w:jc w:val="left"/>
            </w:pPr>
            <w:r>
              <w:t xml:space="preserve">RCG art. 23 Ter 1, segundo párrafo</w:t>
            </w:r>
          </w:p>
        </w:tc>
      </w:tr>
      <w:tr>
        <w:tc>
          <w:tcPr/>
          <w:p>
            <w:pPr>
              <w:pStyle w:val="Compact"/>
              <w:jc w:val="left"/>
            </w:pPr>
            <w:r>
              <w:t xml:space="preserve">Evaluar el Perfil transaccional</w:t>
            </w:r>
          </w:p>
        </w:tc>
        <w:tc>
          <w:tcPr/>
          <w:p>
            <w:pPr>
              <w:pStyle w:val="Compact"/>
              <w:jc w:val="left"/>
            </w:pPr>
            <w:r>
              <w:t xml:space="preserve">Al menos cada 6 meses, sobre los Clientes o Usuarias cuyo acto u operación se realizó al menos seis meses antes de la evaluación</w:t>
            </w:r>
            <w:r>
              <w:t xml:space="preserve"> </w:t>
            </w:r>
            <w:r>
              <w:rPr>
                <w:iCs/>
                <w:i/>
              </w:rPr>
              <w:t xml:space="preserve">(exigible desde el 1 de marzo de 2027; véase el Anexo A)</w:t>
            </w:r>
          </w:p>
        </w:tc>
        <w:tc>
          <w:tcPr/>
          <w:p>
            <w:pPr>
              <w:pStyle w:val="Compact"/>
              <w:jc w:val="left"/>
            </w:pPr>
            <w:r>
              <w:t xml:space="preserve">RCG art. 23 Ter 1, tercer párrafo</w:t>
            </w:r>
          </w:p>
        </w:tc>
      </w:tr>
      <w:tr>
        <w:tc>
          <w:tcPr/>
          <w:p>
            <w:pPr>
              <w:pStyle w:val="Compact"/>
              <w:jc w:val="left"/>
            </w:pPr>
            <w:r>
              <w:t xml:space="preserve">Catalogar como Persona Políticamente Expuesta nacional a quien dejó el cargo</w:t>
            </w:r>
          </w:p>
        </w:tc>
        <w:tc>
          <w:tcPr/>
          <w:p>
            <w:pPr>
              <w:pStyle w:val="Compact"/>
              <w:jc w:val="left"/>
            </w:pPr>
            <w:r>
              <w:t xml:space="preserve">Durante el año siguiente al cese. Y si dejó de reunir las características dentro del año inmediato anterior al acto u operación, se le cataloga como tal durante el año siguiente a ese acto</w:t>
            </w:r>
          </w:p>
        </w:tc>
        <w:tc>
          <w:tcPr/>
          <w:p>
            <w:pPr>
              <w:pStyle w:val="Compact"/>
              <w:jc w:val="left"/>
            </w:pPr>
            <w:r>
              <w:t xml:space="preserve">RCG art. 23 Quáter, párrafos cuarto y quinto</w:t>
            </w:r>
          </w:p>
        </w:tc>
      </w:tr>
      <w:tr>
        <w:tc>
          <w:tcPr/>
          <w:p>
            <w:pPr>
              <w:pStyle w:val="Compact"/>
              <w:jc w:val="left"/>
            </w:pPr>
            <w:r>
              <w:t xml:space="preserve">Base mínima de información para la metodología de Riesgos</w:t>
            </w:r>
          </w:p>
        </w:tc>
        <w:tc>
          <w:tcPr/>
          <w:p>
            <w:pPr>
              <w:pStyle w:val="Compact"/>
              <w:jc w:val="left"/>
            </w:pPr>
            <w:r>
              <w:t xml:space="preserve">Un periodo no menor a 12 meses</w:t>
            </w:r>
          </w:p>
        </w:tc>
        <w:tc>
          <w:tcPr/>
          <w:p>
            <w:pPr>
              <w:pStyle w:val="Compact"/>
              <w:jc w:val="left"/>
            </w:pPr>
            <w:r>
              <w:t xml:space="preserve">RCG art. 10 Septies 2, fr. II</w:t>
            </w:r>
          </w:p>
        </w:tc>
      </w:tr>
      <w:tr>
        <w:tc>
          <w:tcPr/>
          <w:p>
            <w:pPr>
              <w:pStyle w:val="Compact"/>
              <w:jc w:val="left"/>
            </w:pPr>
            <w:r>
              <w:t xml:space="preserve">Metodología cuando no se cuenta con operaciones en ese periodo</w:t>
            </w:r>
          </w:p>
        </w:tc>
        <w:tc>
          <w:tcPr/>
          <w:p>
            <w:pPr>
              <w:pStyle w:val="Compact"/>
              <w:jc w:val="left"/>
            </w:pPr>
            <w:r>
              <w:t xml:space="preserve">Se implementa con datos proyectados y se actualiza al cumplir los primeros 12 meses de operación</w:t>
            </w:r>
          </w:p>
        </w:tc>
        <w:tc>
          <w:tcPr/>
          <w:p>
            <w:pPr>
              <w:pStyle w:val="Compact"/>
              <w:jc w:val="left"/>
            </w:pPr>
            <w:r>
              <w:t xml:space="preserve">RCG art. 10 Septies 2, segundo párrafo</w:t>
            </w:r>
          </w:p>
        </w:tc>
      </w:tr>
      <w:tr>
        <w:tc>
          <w:tcPr/>
          <w:p>
            <w:pPr>
              <w:pStyle w:val="Compact"/>
              <w:jc w:val="left"/>
            </w:pPr>
            <w:r>
              <w:t xml:space="preserve">Evaluar Riesgos antes de nuevos medios, canales, modalidades, productos o servicios, o de dirigir la Actividad Vulnerable a nuevos tipos de Cliente o Usuaria</w:t>
            </w:r>
          </w:p>
        </w:tc>
        <w:tc>
          <w:tcPr/>
          <w:p>
            <w:pPr>
              <w:pStyle w:val="Compact"/>
              <w:jc w:val="left"/>
            </w:pPr>
            <w:r>
              <w:t xml:space="preserve">Con anterioridad a implementarlos o ponerlos a disposición</w:t>
            </w:r>
          </w:p>
        </w:tc>
        <w:tc>
          <w:tcPr/>
          <w:p>
            <w:pPr>
              <w:pStyle w:val="Compact"/>
              <w:jc w:val="left"/>
            </w:pPr>
            <w:r>
              <w:t xml:space="preserve">RCG art. 10 Septies, tercer párrafo</w:t>
            </w:r>
          </w:p>
        </w:tc>
      </w:tr>
      <w:tr>
        <w:tc>
          <w:tcPr/>
          <w:p>
            <w:pPr>
              <w:pStyle w:val="Compact"/>
              <w:jc w:val="left"/>
            </w:pPr>
            <w:r>
              <w:t xml:space="preserve">Modificar políticas y Mitigantes cuando la metodología arroje Riesgos mayores o nuevos</w:t>
            </w:r>
          </w:p>
        </w:tc>
        <w:tc>
          <w:tcPr/>
          <w:p>
            <w:pPr>
              <w:pStyle w:val="Compact"/>
              <w:jc w:val="left"/>
            </w:pPr>
            <w:r>
              <w:t xml:space="preserve">No mayor a 12 meses desde que se cuenta con los resultados</w:t>
            </w:r>
          </w:p>
        </w:tc>
        <w:tc>
          <w:tcPr/>
          <w:p>
            <w:pPr>
              <w:pStyle w:val="Compact"/>
              <w:jc w:val="left"/>
            </w:pPr>
            <w:r>
              <w:t xml:space="preserve">RCG art. 10 Septies 2, último párrafo</w:t>
            </w:r>
          </w:p>
        </w:tc>
      </w:tr>
      <w:tr>
        <w:tc>
          <w:tcPr/>
          <w:p>
            <w:pPr>
              <w:pStyle w:val="Compact"/>
              <w:jc w:val="left"/>
            </w:pPr>
            <w:r>
              <w:t xml:space="preserve">Revisar y actualizar el cumplimiento y los resultados del enfoque basado en Riesgos</w:t>
            </w:r>
          </w:p>
        </w:tc>
        <w:tc>
          <w:tcPr/>
          <w:p>
            <w:pPr>
              <w:pStyle w:val="Compact"/>
              <w:jc w:val="left"/>
            </w:pPr>
            <w:r>
              <w:t xml:space="preserve">No mayor a 12 meses, o al detectar nuevos Riesgos, o al actualizarse la Evaluación Nacional de Riesgos</w:t>
            </w:r>
          </w:p>
        </w:tc>
        <w:tc>
          <w:tcPr/>
          <w:p>
            <w:pPr>
              <w:pStyle w:val="Compact"/>
              <w:jc w:val="left"/>
            </w:pPr>
            <w:r>
              <w:t xml:space="preserve">RCG art. 10 Septies 3, primer párrafo</w:t>
            </w:r>
          </w:p>
        </w:tc>
      </w:tr>
      <w:tr>
        <w:tc>
          <w:tcPr/>
          <w:p>
            <w:pPr>
              <w:pStyle w:val="Compact"/>
              <w:jc w:val="left"/>
            </w:pPr>
            <w:r>
              <w:t xml:space="preserve">Impartir cursos, talleres o programas de capacitación</w:t>
            </w:r>
          </w:p>
        </w:tc>
        <w:tc>
          <w:tcPr/>
          <w:p>
            <w:pPr>
              <w:pStyle w:val="Compact"/>
              <w:jc w:val="left"/>
            </w:pPr>
            <w:r>
              <w:t xml:space="preserve">Al menos una vez al año</w:t>
            </w:r>
          </w:p>
        </w:tc>
        <w:tc>
          <w:tcPr/>
          <w:p>
            <w:pPr>
              <w:pStyle w:val="Compact"/>
              <w:jc w:val="left"/>
            </w:pPr>
            <w:r>
              <w:t xml:space="preserve">RCG art. 39 Bis, fr. I</w:t>
            </w:r>
          </w:p>
        </w:tc>
      </w:tr>
      <w:tr>
        <w:tc>
          <w:tcPr/>
          <w:p>
            <w:pPr>
              <w:pStyle w:val="Compact"/>
              <w:jc w:val="left"/>
            </w:pPr>
            <w:r>
              <w:t xml:space="preserve">Capacitar al personal que vaya a operar en áreas de atención al público o de administración de recursos</w:t>
            </w:r>
          </w:p>
        </w:tc>
        <w:tc>
          <w:tcPr/>
          <w:p>
            <w:pPr>
              <w:pStyle w:val="Compact"/>
              <w:jc w:val="left"/>
            </w:pPr>
            <w:r>
              <w:t xml:space="preserve">De manera previa o simultánea a su ingreso o al inicio de sus actividades en esas áreas</w:t>
            </w:r>
          </w:p>
        </w:tc>
        <w:tc>
          <w:tcPr/>
          <w:p>
            <w:pPr>
              <w:pStyle w:val="Compact"/>
              <w:jc w:val="left"/>
            </w:pPr>
            <w:r>
              <w:t xml:space="preserve">RCG art. 39 Bis 1, tercer párrafo</w:t>
            </w:r>
          </w:p>
        </w:tc>
      </w:tr>
      <w:tr>
        <w:tc>
          <w:tcPr/>
          <w:p>
            <w:pPr>
              <w:pStyle w:val="Compact"/>
              <w:jc w:val="left"/>
            </w:pPr>
            <w:r>
              <w:t xml:space="preserve">Experiencia mínima de quien imparte la capacitación</w:t>
            </w:r>
          </w:p>
        </w:tc>
        <w:tc>
          <w:tcPr/>
          <w:p>
            <w:pPr>
              <w:pStyle w:val="Compact"/>
              <w:jc w:val="left"/>
            </w:pPr>
            <w:r>
              <w:t xml:space="preserve">5 años acreditables en la materia</w:t>
            </w:r>
          </w:p>
        </w:tc>
        <w:tc>
          <w:tcPr/>
          <w:p>
            <w:pPr>
              <w:pStyle w:val="Compact"/>
              <w:jc w:val="left"/>
            </w:pPr>
            <w:r>
              <w:t xml:space="preserve">RCG art. 39 Bis, fr. III</w:t>
            </w:r>
          </w:p>
        </w:tc>
      </w:tr>
      <w:tr>
        <w:tc>
          <w:tcPr/>
          <w:p>
            <w:pPr>
              <w:pStyle w:val="Compact"/>
              <w:jc w:val="left"/>
            </w:pPr>
            <w:r>
              <w:t xml:space="preserve">Periodo auditado</w:t>
            </w:r>
          </w:p>
        </w:tc>
        <w:tc>
          <w:tcPr/>
          <w:p>
            <w:pPr>
              <w:pStyle w:val="Compact"/>
              <w:jc w:val="left"/>
            </w:pPr>
            <w:r>
              <w:t xml:space="preserve">Del 1 de enero al 31 de diciembre de cada año</w:t>
            </w:r>
          </w:p>
        </w:tc>
        <w:tc>
          <w:tcPr/>
          <w:p>
            <w:pPr>
              <w:pStyle w:val="Compact"/>
              <w:jc w:val="left"/>
            </w:pPr>
            <w:r>
              <w:t xml:space="preserve">RCG art. 42</w:t>
            </w:r>
          </w:p>
        </w:tc>
      </w:tr>
      <w:tr>
        <w:tc>
          <w:tcPr/>
          <w:p>
            <w:pPr>
              <w:pStyle w:val="Compact"/>
              <w:jc w:val="left"/>
            </w:pPr>
            <w:r>
              <w:t xml:space="preserve">Periodo auditado en el primer año de operaciones</w:t>
            </w:r>
          </w:p>
        </w:tc>
        <w:tc>
          <w:tcPr/>
          <w:p>
            <w:pPr>
              <w:pStyle w:val="Compact"/>
              <w:jc w:val="left"/>
            </w:pPr>
            <w:r>
              <w:t xml:space="preserve">Desde el inicio de operaciones hasta el 31 de diciembre del año siguiente</w:t>
            </w:r>
          </w:p>
        </w:tc>
        <w:tc>
          <w:tcPr/>
          <w:p>
            <w:pPr>
              <w:pStyle w:val="Compact"/>
              <w:jc w:val="left"/>
            </w:pPr>
            <w:r>
              <w:t xml:space="preserve">RCG art. 43</w:t>
            </w:r>
          </w:p>
        </w:tc>
      </w:tr>
      <w:tr>
        <w:tc>
          <w:tcPr/>
          <w:p>
            <w:pPr>
              <w:pStyle w:val="Compact"/>
              <w:jc w:val="left"/>
            </w:pPr>
            <w:r>
              <w:t xml:space="preserve">Revisión y emisión del dictamen</w:t>
            </w:r>
          </w:p>
        </w:tc>
        <w:tc>
          <w:tcPr/>
          <w:p>
            <w:pPr>
              <w:pStyle w:val="Compact"/>
              <w:jc w:val="left"/>
            </w:pPr>
            <w:r>
              <w:t xml:space="preserve">Dentro de los primeros 3 meses siguientes al cierre del año auditado; entrega al auditado a más tardar el último día hábil de marzo</w:t>
            </w:r>
          </w:p>
        </w:tc>
        <w:tc>
          <w:tcPr/>
          <w:p>
            <w:pPr>
              <w:pStyle w:val="Compact"/>
              <w:jc w:val="left"/>
            </w:pPr>
            <w:r>
              <w:t xml:space="preserve">RCG art. 50, primer párrafo</w:t>
            </w:r>
          </w:p>
        </w:tc>
      </w:tr>
      <w:tr>
        <w:tc>
          <w:tcPr/>
          <w:p>
            <w:pPr>
              <w:pStyle w:val="Compact"/>
              <w:jc w:val="left"/>
            </w:pPr>
            <w:r>
              <w:t xml:space="preserve">Requisitos temporales de la persona auditora externa independiente</w:t>
            </w:r>
          </w:p>
        </w:tc>
        <w:tc>
          <w:tcPr/>
          <w:p>
            <w:pPr>
              <w:pStyle w:val="Compact"/>
              <w:jc w:val="left"/>
            </w:pPr>
            <w:r>
              <w:t xml:space="preserve">3 años de experiencia en la materia. No haber aceptado el cargo de Representante Encargada de Cumplimiento del auditado durante el periodo auditado ni los 2 años posteriores</w:t>
            </w:r>
          </w:p>
        </w:tc>
        <w:tc>
          <w:tcPr/>
          <w:p>
            <w:pPr>
              <w:pStyle w:val="Compact"/>
              <w:jc w:val="left"/>
            </w:pPr>
            <w:r>
              <w:t xml:space="preserve">RCG art. 45, incisos a) y e)</w:t>
            </w:r>
          </w:p>
        </w:tc>
      </w:tr>
      <w:tr>
        <w:tc>
          <w:tcPr/>
          <w:p>
            <w:pPr>
              <w:pStyle w:val="Compact"/>
              <w:jc w:val="left"/>
            </w:pPr>
            <w:r>
              <w:t xml:space="preserve">Atender acciones correctivas y recomendaciones del dictamen</w:t>
            </w:r>
          </w:p>
        </w:tc>
        <w:tc>
          <w:tcPr/>
          <w:p>
            <w:pPr>
              <w:pStyle w:val="Compact"/>
              <w:jc w:val="left"/>
            </w:pPr>
            <w:r>
              <w:t xml:space="preserve">Antes del inicio del siguiente periodo de auditoría anual, o en los plazos que señale el auditor</w:t>
            </w:r>
            <w:r>
              <w:t xml:space="preserve"> </w:t>
            </w:r>
            <w:r>
              <w:rPr>
                <w:iCs/>
                <w:i/>
              </w:rPr>
              <w:t xml:space="preserve">(obligación de medios: la norma dice «deberá procurar»)</w:t>
            </w:r>
          </w:p>
        </w:tc>
        <w:tc>
          <w:tcPr/>
          <w:p>
            <w:pPr>
              <w:pStyle w:val="Compact"/>
              <w:jc w:val="left"/>
            </w:pPr>
            <w:r>
              <w:t xml:space="preserve">RCG art. 50, segundo párrafo</w:t>
            </w:r>
          </w:p>
        </w:tc>
      </w:tr>
      <w:tr>
        <w:tc>
          <w:tcPr/>
          <w:p>
            <w:pPr>
              <w:pStyle w:val="Compact"/>
              <w:jc w:val="left"/>
            </w:pPr>
            <w:r>
              <w:t xml:space="preserve">Responder una solicitud de intercambio de información dentro del Grupo Empresarial</w:t>
            </w:r>
          </w:p>
        </w:tc>
        <w:tc>
          <w:tcPr/>
          <w:p>
            <w:pPr>
              <w:pStyle w:val="Compact"/>
              <w:jc w:val="left"/>
            </w:pPr>
            <w:r>
              <w:t xml:space="preserve">No más de 30 días hábiles desde la recepción</w:t>
            </w:r>
          </w:p>
        </w:tc>
        <w:tc>
          <w:tcPr/>
          <w:p>
            <w:pPr>
              <w:pStyle w:val="Compact"/>
              <w:jc w:val="left"/>
            </w:pPr>
            <w:r>
              <w:t xml:space="preserve">RCG art. 35, fr. III</w:t>
            </w:r>
          </w:p>
        </w:tc>
      </w:tr>
      <w:tr>
        <w:tc>
          <w:tcPr/>
          <w:p>
            <w:pPr>
              <w:pStyle w:val="Compact"/>
              <w:jc w:val="left"/>
            </w:pPr>
            <w:r>
              <w:t xml:space="preserve">Informar el destino o uso de tarjetas, instrumentos de almacenamiento de valor o cheques de viajero</w:t>
            </w:r>
          </w:p>
        </w:tc>
        <w:tc>
          <w:tcPr/>
          <w:p>
            <w:pPr>
              <w:pStyle w:val="Compact"/>
              <w:jc w:val="left"/>
            </w:pPr>
            <w:r>
              <w:t xml:space="preserve">Plazo que no exceda de 2 meses desde la notificación del requerimiento</w:t>
            </w:r>
          </w:p>
        </w:tc>
        <w:tc>
          <w:tcPr/>
          <w:p>
            <w:pPr>
              <w:pStyle w:val="Compact"/>
              <w:jc w:val="left"/>
            </w:pPr>
            <w:r>
              <w:t xml:space="preserve">RCG art. 20</w:t>
            </w:r>
          </w:p>
        </w:tc>
      </w:tr>
      <w:tr>
        <w:tc>
          <w:tcPr/>
          <w:p>
            <w:pPr>
              <w:pStyle w:val="Compact"/>
              <w:jc w:val="left"/>
            </w:pPr>
            <w:r>
              <w:t xml:space="preserve">Entregar la información requerida por la Secretaría a emisores, administradores u operadores de tarjetas y a administradores de sistemas de pago</w:t>
            </w:r>
          </w:p>
        </w:tc>
        <w:tc>
          <w:tcPr/>
          <w:p>
            <w:pPr>
              <w:pStyle w:val="Compact"/>
              <w:jc w:val="left"/>
            </w:pPr>
            <w:r>
              <w:t xml:space="preserve">30 días siguientes a que surta efectos la notificación del requerimiento</w:t>
            </w:r>
          </w:p>
        </w:tc>
        <w:tc>
          <w:tcPr/>
          <w:p>
            <w:pPr>
              <w:pStyle w:val="Compact"/>
              <w:jc w:val="left"/>
            </w:pPr>
            <w:r>
              <w:t xml:space="preserve">Ley art. 51, segundo párrafo</w:t>
            </w:r>
          </w:p>
        </w:tc>
      </w:tr>
      <w:tr>
        <w:tc>
          <w:tcPr/>
          <w:p>
            <w:pPr>
              <w:pStyle w:val="Compact"/>
              <w:jc w:val="left"/>
            </w:pPr>
            <w:r>
              <w:t xml:space="preserve">Vigencia máxima del convenio de Entidad Colegiada</w:t>
            </w:r>
          </w:p>
        </w:tc>
        <w:tc>
          <w:tcPr/>
          <w:p>
            <w:pPr>
              <w:pStyle w:val="Compact"/>
              <w:jc w:val="left"/>
            </w:pPr>
            <w:r>
              <w:t xml:space="preserve">10 años desde su suscripción. La renovación por plazo igual o menor exige que el SAT corrobore el cumplimiento y que la UIF califique la calidad de los Avisos presentados</w:t>
            </w:r>
          </w:p>
        </w:tc>
        <w:tc>
          <w:tcPr/>
          <w:p>
            <w:pPr>
              <w:pStyle w:val="Compact"/>
              <w:jc w:val="left"/>
            </w:pPr>
            <w:r>
              <w:t xml:space="preserve">Reglamento art. 33 Bis</w:t>
            </w:r>
          </w:p>
        </w:tc>
      </w:tr>
      <w:tr>
        <w:tc>
          <w:tcPr/>
          <w:p>
            <w:pPr>
              <w:pStyle w:val="Compact"/>
              <w:jc w:val="left"/>
            </w:pPr>
            <w:r>
              <w:t xml:space="preserve">Informar la extinción, disolución o liquidación de la Entidad Colegiada, o que dejará de actuar como intermediaria</w:t>
            </w:r>
          </w:p>
        </w:tc>
        <w:tc>
          <w:tcPr/>
          <w:p>
            <w:pPr>
              <w:pStyle w:val="Compact"/>
              <w:jc w:val="left"/>
            </w:pPr>
            <w:r>
              <w:t xml:space="preserve">Cuando menos 30 días de anticipación, a sus integrantes y a la Secretaría</w:t>
            </w:r>
          </w:p>
        </w:tc>
        <w:tc>
          <w:tcPr/>
          <w:p>
            <w:pPr>
              <w:pStyle w:val="Compact"/>
              <w:jc w:val="left"/>
            </w:pPr>
            <w:r>
              <w:t xml:space="preserve">Ley art. 31, primer párrafo</w:t>
            </w:r>
          </w:p>
        </w:tc>
      </w:tr>
    </w:tbl>
    <w:p>
      <w:pPr>
        <w:pStyle w:val="BodyText"/>
      </w:pPr>
      <w:r>
        <w:rPr>
          <w:iCs/>
          <w:i/>
        </w:rPr>
        <w:t xml:space="preserve">Dos advertencias de cómputo. El Aviso mensual vence en una fecha fija de calendario —el día 17—: ningún precepto prevé su recorrimiento automático cuando ese día sea inhábil, si bien el segundo párrafo del artículo 23 de la Ley y el artículo 3, fracción IV Bis del Reglamento facultan a la autoridad para establecer excepciones a los plazos de presentación mediante acuerdo publicado en el Diario Oficial de la Federación. Y la notificación electrónica se tiene por realizada al cuarto día hábil aunque el documento nunca se abra, de modo que los plazos de respuesta corren desde ahí y no desde la lectura efectiva.</w:t>
      </w:r>
    </w:p>
    <w:bookmarkEnd w:id="199"/>
    <w:bookmarkStart w:id="200" w:name="Xfcc28bf8d0ea945fce2cbd3933ca15e327b46ee"/>
    <w:p>
      <w:pPr>
        <w:pStyle w:val="Heading2"/>
      </w:pPr>
      <w:r>
        <w:t xml:space="preserve">B.3 · Plazos de los proveedores de servicios con activos virtuales</w:t>
      </w:r>
    </w:p>
    <w:tbl>
      <w:tblPr>
        <w:tblStyle w:val="Table"/>
        <w:tblW w:type="pct" w:w="5000"/>
        <w:tblLook w:firstRow="1" w:lastRow="0" w:firstColumn="0" w:lastColumn="0" w:noHBand="0" w:noVBand="0" w:val="0020"/>
        <w:jc w:val="start"/>
      </w:tblPr>
      <w:tblGrid>
        <w:gridCol w:w="2542"/>
        <w:gridCol w:w="2982"/>
        <w:gridCol w:w="2395"/>
      </w:tblGrid>
      <w:tr>
        <w:trPr>
          <w:tblHeader w:val="true"/>
        </w:trPr>
        <w:tc>
          <w:tcPr/>
          <w:p>
            <w:pPr>
              <w:pStyle w:val="Compact"/>
              <w:jc w:val="left"/>
            </w:pPr>
            <w:r>
              <w:t xml:space="preserve">Obligación</w:t>
            </w:r>
          </w:p>
        </w:tc>
        <w:tc>
          <w:tcPr/>
          <w:p>
            <w:pPr>
              <w:pStyle w:val="Compact"/>
              <w:jc w:val="left"/>
            </w:pPr>
            <w:r>
              <w:t xml:space="preserve">Plazo</w:t>
            </w:r>
          </w:p>
        </w:tc>
        <w:tc>
          <w:tcPr/>
          <w:p>
            <w:pPr>
              <w:pStyle w:val="Compact"/>
              <w:jc w:val="left"/>
            </w:pPr>
            <w:r>
              <w:t xml:space="preserve">Fundamento</w:t>
            </w:r>
          </w:p>
        </w:tc>
      </w:tr>
      <w:tr>
        <w:tc>
          <w:tcPr/>
          <w:p>
            <w:pPr>
              <w:pStyle w:val="Compact"/>
              <w:jc w:val="left"/>
            </w:pPr>
            <w:r>
              <w:t xml:space="preserve">Subsanar una prevención por documentación ilegible, incompleta o que no cumple requisitos</w:t>
            </w:r>
          </w:p>
        </w:tc>
        <w:tc>
          <w:tcPr/>
          <w:p>
            <w:pPr>
              <w:pStyle w:val="Compact"/>
              <w:jc w:val="left"/>
            </w:pPr>
            <w:r>
              <w:t xml:space="preserve">5 días hábiles, por una sola ocasión; de no hacerlo se desecha el trámite</w:t>
            </w:r>
          </w:p>
        </w:tc>
        <w:tc>
          <w:tcPr/>
          <w:p>
            <w:pPr>
              <w:pStyle w:val="Compact"/>
              <w:jc w:val="left"/>
            </w:pPr>
            <w:r>
              <w:t xml:space="preserve">RCG art. 10 Ter, primer párrafo</w:t>
            </w:r>
          </w:p>
        </w:tc>
      </w:tr>
      <w:tr>
        <w:tc>
          <w:tcPr/>
          <w:p>
            <w:pPr>
              <w:pStyle w:val="Compact"/>
              <w:jc w:val="left"/>
            </w:pPr>
            <w:r>
              <w:t xml:space="preserve">Aclarar inconsistencias detectadas en el análisis de la información</w:t>
            </w:r>
          </w:p>
        </w:tc>
        <w:tc>
          <w:tcPr/>
          <w:p>
            <w:pPr>
              <w:pStyle w:val="Compact"/>
              <w:jc w:val="left"/>
            </w:pPr>
            <w:r>
              <w:t xml:space="preserve">No mayor a 5 días hábiles; de no subsanarse se desecha el trámite</w:t>
            </w:r>
          </w:p>
        </w:tc>
        <w:tc>
          <w:tcPr/>
          <w:p>
            <w:pPr>
              <w:pStyle w:val="Compact"/>
              <w:jc w:val="left"/>
            </w:pPr>
            <w:r>
              <w:t xml:space="preserve">RCG art. 10 Ter, segundo párrafo</w:t>
            </w:r>
          </w:p>
        </w:tc>
      </w:tr>
      <w:tr>
        <w:tc>
          <w:tcPr/>
          <w:p>
            <w:pPr>
              <w:pStyle w:val="Compact"/>
              <w:jc w:val="left"/>
            </w:pPr>
            <w:r>
              <w:t xml:space="preserve">Concluir el alta y registro una vez que el SAT informa que recibió la documentación completa</w:t>
            </w:r>
          </w:p>
        </w:tc>
        <w:tc>
          <w:tcPr/>
          <w:p>
            <w:pPr>
              <w:pStyle w:val="Compact"/>
              <w:jc w:val="left"/>
            </w:pPr>
            <w:r>
              <w:t xml:space="preserve">30 días hábiles desde la notificación de ese oficio; de no hacerlo se tiene por desistido el trámite</w:t>
            </w:r>
          </w:p>
        </w:tc>
        <w:tc>
          <w:tcPr/>
          <w:p>
            <w:pPr>
              <w:pStyle w:val="Compact"/>
              <w:jc w:val="left"/>
            </w:pPr>
            <w:r>
              <w:t xml:space="preserve">RCG art. 10 Quáter, segundo párrafo</w:t>
            </w:r>
          </w:p>
        </w:tc>
      </w:tr>
      <w:tr>
        <w:tc>
          <w:tcPr/>
          <w:p>
            <w:pPr>
              <w:pStyle w:val="Compact"/>
              <w:jc w:val="left"/>
            </w:pPr>
            <w:r>
              <w:t xml:space="preserve">Actualizar ante el SAT la documentación física del artículo 10 Bis</w:t>
            </w:r>
          </w:p>
        </w:tc>
        <w:tc>
          <w:tcPr/>
          <w:p>
            <w:pPr>
              <w:pStyle w:val="Compact"/>
              <w:jc w:val="left"/>
            </w:pPr>
            <w:r>
              <w:t xml:space="preserve">6 días hábiles desde el hecho que motiva la actualización</w:t>
            </w:r>
          </w:p>
        </w:tc>
        <w:tc>
          <w:tcPr/>
          <w:p>
            <w:pPr>
              <w:pStyle w:val="Compact"/>
              <w:jc w:val="left"/>
            </w:pPr>
            <w:r>
              <w:t xml:space="preserve">RCG art. 10 Quinquies</w:t>
            </w:r>
          </w:p>
        </w:tc>
      </w:tr>
    </w:tbl>
    <w:p>
      <w:pPr>
        <w:pStyle w:val="BodyText"/>
      </w:pPr>
      <w:r>
        <w:rPr>
          <w:bCs/>
          <w:b/>
        </w:rPr>
        <w:t xml:space="preserve">B.4 · Plazos de la autoridad, del procedimiento sancionador y de la autocorrección</w:t>
      </w:r>
    </w:p>
    <w:tbl>
      <w:tblPr>
        <w:tblStyle w:val="Table"/>
        <w:tblW w:type="pct" w:w="5000"/>
        <w:tblLook w:firstRow="1" w:lastRow="0" w:firstColumn="0" w:lastColumn="0" w:noHBand="0" w:noVBand="0" w:val="0020"/>
        <w:jc w:val="start"/>
      </w:tblPr>
      <w:tblGrid>
        <w:gridCol w:w="2688"/>
        <w:gridCol w:w="2835"/>
        <w:gridCol w:w="2395"/>
      </w:tblGrid>
      <w:tr>
        <w:trPr>
          <w:tblHeader w:val="true"/>
        </w:trPr>
        <w:tc>
          <w:tcPr/>
          <w:p>
            <w:pPr>
              <w:pStyle w:val="Compact"/>
              <w:jc w:val="left"/>
            </w:pPr>
            <w:r>
              <w:t xml:space="preserve">Momento</w:t>
            </w:r>
          </w:p>
        </w:tc>
        <w:tc>
          <w:tcPr/>
          <w:p>
            <w:pPr>
              <w:pStyle w:val="Compact"/>
              <w:jc w:val="left"/>
            </w:pPr>
            <w:r>
              <w:t xml:space="preserve">Plazo</w:t>
            </w:r>
          </w:p>
        </w:tc>
        <w:tc>
          <w:tcPr/>
          <w:p>
            <w:pPr>
              <w:pStyle w:val="Compact"/>
              <w:jc w:val="left"/>
            </w:pPr>
            <w:r>
              <w:t xml:space="preserve">Fundamento</w:t>
            </w:r>
          </w:p>
        </w:tc>
      </w:tr>
      <w:tr>
        <w:tc>
          <w:tcPr/>
          <w:p>
            <w:pPr>
              <w:pStyle w:val="Compact"/>
              <w:jc w:val="left"/>
            </w:pPr>
            <w:r>
              <w:t xml:space="preserve">Notificación del SAT sobre la aceptación o el rechazo de la designación de la persona Representante Encargada de Cumplimiento</w:t>
            </w:r>
          </w:p>
        </w:tc>
        <w:tc>
          <w:tcPr/>
          <w:p>
            <w:pPr>
              <w:pStyle w:val="Compact"/>
              <w:jc w:val="left"/>
            </w:pPr>
            <w:r>
              <w:t xml:space="preserve">10 días hábiles siguientes a la recepción de la aceptación o rechazo</w:t>
            </w:r>
          </w:p>
        </w:tc>
        <w:tc>
          <w:tcPr/>
          <w:p>
            <w:pPr>
              <w:pStyle w:val="Compact"/>
              <w:jc w:val="left"/>
            </w:pPr>
            <w:r>
              <w:t xml:space="preserve">RCG art. 10, tercer párrafo</w:t>
            </w:r>
          </w:p>
        </w:tc>
      </w:tr>
      <w:tr>
        <w:tc>
          <w:tcPr/>
          <w:p>
            <w:pPr>
              <w:pStyle w:val="Compact"/>
              <w:jc w:val="left"/>
            </w:pPr>
            <w:r>
              <w:t xml:space="preserve">Resolución de la UIF sobre un medio de cumplimiento alternativo propuesto</w:t>
            </w:r>
          </w:p>
        </w:tc>
        <w:tc>
          <w:tcPr/>
          <w:p>
            <w:pPr>
              <w:pStyle w:val="Compact"/>
              <w:jc w:val="left"/>
            </w:pPr>
            <w:r>
              <w:t xml:space="preserve">A más tardar 20 días hábiles desde la recepción de la solicitud; la notificación al SAT, dentro de los 5 días hábiles siguientes a la resolución</w:t>
            </w:r>
          </w:p>
        </w:tc>
        <w:tc>
          <w:tcPr/>
          <w:p>
            <w:pPr>
              <w:pStyle w:val="Compact"/>
              <w:jc w:val="left"/>
            </w:pPr>
            <w:r>
              <w:t xml:space="preserve">Reglamento art. 16</w:t>
            </w:r>
          </w:p>
        </w:tc>
      </w:tr>
      <w:tr>
        <w:tc>
          <w:tcPr/>
          <w:p>
            <w:pPr>
              <w:pStyle w:val="Compact"/>
              <w:jc w:val="left"/>
            </w:pPr>
            <w:r>
              <w:t xml:space="preserve">Imposición de sanción por no atender un requerimiento, sin sustanciar el procedimiento de la Ley Federal de Procedimiento Administrativo</w:t>
            </w:r>
          </w:p>
        </w:tc>
        <w:tc>
          <w:tcPr/>
          <w:p>
            <w:pPr>
              <w:pStyle w:val="Compact"/>
              <w:jc w:val="left"/>
            </w:pPr>
            <w:r>
              <w:t xml:space="preserve">No excederá de 10 días hábiles desde el vencimiento del plazo original o, en su caso, del prorrogado</w:t>
            </w:r>
          </w:p>
        </w:tc>
        <w:tc>
          <w:tcPr/>
          <w:p>
            <w:pPr>
              <w:pStyle w:val="Compact"/>
              <w:jc w:val="left"/>
            </w:pPr>
            <w:r>
              <w:t xml:space="preserve">Reglamento art. 8, tercer párrafo</w:t>
            </w:r>
          </w:p>
        </w:tc>
      </w:tr>
      <w:tr>
        <w:tc>
          <w:tcPr/>
          <w:p>
            <w:pPr>
              <w:pStyle w:val="Compact"/>
              <w:jc w:val="left"/>
            </w:pPr>
            <w:r>
              <w:t xml:space="preserve">Emisión del oficio circunstanciado de hechos u omisiones tras revisar lo aportado</w:t>
            </w:r>
          </w:p>
        </w:tc>
        <w:tc>
          <w:tcPr/>
          <w:p>
            <w:pPr>
              <w:pStyle w:val="Compact"/>
              <w:jc w:val="left"/>
            </w:pPr>
            <w:r>
              <w:t xml:space="preserve">No excederá de 10 días hábiles</w:t>
            </w:r>
          </w:p>
        </w:tc>
        <w:tc>
          <w:tcPr/>
          <w:p>
            <w:pPr>
              <w:pStyle w:val="Compact"/>
              <w:jc w:val="left"/>
            </w:pPr>
            <w:r>
              <w:t xml:space="preserve">Reglamento art. 9, primer párrafo</w:t>
            </w:r>
          </w:p>
        </w:tc>
      </w:tr>
      <w:tr>
        <w:tc>
          <w:tcPr/>
          <w:p>
            <w:pPr>
              <w:pStyle w:val="Compact"/>
              <w:jc w:val="left"/>
            </w:pPr>
            <w:r>
              <w:t xml:space="preserve">Resolución que impone la sanción, o que tiene por concluida la revisión, sin sujetarse a la Ley Federal de Procedimiento Administrativo</w:t>
            </w:r>
          </w:p>
        </w:tc>
        <w:tc>
          <w:tcPr/>
          <w:p>
            <w:pPr>
              <w:pStyle w:val="Compact"/>
              <w:jc w:val="left"/>
            </w:pPr>
            <w:r>
              <w:t xml:space="preserve">No excederá de 20 días hábiles</w:t>
            </w:r>
          </w:p>
        </w:tc>
        <w:tc>
          <w:tcPr/>
          <w:p>
            <w:pPr>
              <w:pStyle w:val="Compact"/>
              <w:jc w:val="left"/>
            </w:pPr>
            <w:r>
              <w:t xml:space="preserve">Reglamento art. 9, párrafos segundo y tercero</w:t>
            </w:r>
          </w:p>
        </w:tc>
      </w:tr>
      <w:tr>
        <w:tc>
          <w:tcPr/>
          <w:p>
            <w:pPr>
              <w:pStyle w:val="Compact"/>
              <w:jc w:val="left"/>
            </w:pPr>
            <w:r>
              <w:t xml:space="preserve">Abstención de sancionar del primer párrafo del artículo 55 de la Ley —</w:t>
            </w:r>
            <w:r>
              <w:t xml:space="preserve"> </w:t>
            </w:r>
            <w:r>
              <w:rPr>
                <w:bCs/>
                <w:b/>
              </w:rPr>
              <w:t xml:space="preserve">por única ocasión</w:t>
            </w:r>
          </w:p>
        </w:tc>
        <w:tc>
          <w:tcPr/>
          <w:p>
            <w:pPr>
              <w:pStyle w:val="Compact"/>
              <w:jc w:val="left"/>
            </w:pPr>
            <w:r>
              <w:t xml:space="preserve">Exige que el cumplimiento sea espontáneo y previo al inicio de las facultades de verificación. El reconocimiento expreso se presenta dentro del plazo inicial del procedimiento de verificación: el término de 5 días del artículo 68 de la Ley Federal de Procedimiento Administrativo</w:t>
            </w:r>
          </w:p>
        </w:tc>
        <w:tc>
          <w:tcPr/>
          <w:p>
            <w:pPr>
              <w:pStyle w:val="Compact"/>
              <w:jc w:val="left"/>
            </w:pPr>
            <w:r>
              <w:t xml:space="preserve">Ley art. 55, primer párrafo · Reglamento art. 55 Bis · LFPA art. 68</w:t>
            </w:r>
          </w:p>
        </w:tc>
      </w:tr>
      <w:tr>
        <w:tc>
          <w:tcPr/>
          <w:p>
            <w:pPr>
              <w:pStyle w:val="Compact"/>
              <w:jc w:val="left"/>
            </w:pPr>
            <w:r>
              <w:t xml:space="preserve">Reducción de hasta el 50% de las multas —</w:t>
            </w:r>
            <w:r>
              <w:t xml:space="preserve"> </w:t>
            </w:r>
            <w:r>
              <w:rPr>
                <w:bCs/>
                <w:b/>
              </w:rPr>
              <w:t xml:space="preserve">sólo si ya se ejerció el beneficio anterior</w:t>
            </w:r>
          </w:p>
        </w:tc>
        <w:tc>
          <w:tcPr/>
          <w:p>
            <w:pPr>
              <w:pStyle w:val="Compact"/>
              <w:jc w:val="left"/>
            </w:pPr>
            <w:r>
              <w:t xml:space="preserve">Exige que la regularización sea espontánea y previa al inicio de las facultades de verificación. El reconocimiento expreso se presenta dentro del plazo inicial del procedimiento sancionador: el periodo del artículo 72 de la Ley Federal de Procedimiento Administrativo —quince días conforme a ese ordenamiento; el Reglamento remite sin cuantificar—</w:t>
            </w:r>
          </w:p>
        </w:tc>
        <w:tc>
          <w:tcPr/>
          <w:p>
            <w:pPr>
              <w:pStyle w:val="Compact"/>
              <w:jc w:val="left"/>
            </w:pPr>
            <w:r>
              <w:t xml:space="preserve">Ley art. 55, segundo párrafo · Reglamento art. 55 Bis · LFPA art. 72</w:t>
            </w:r>
          </w:p>
        </w:tc>
      </w:tr>
      <w:tr>
        <w:tc>
          <w:tcPr/>
          <w:p>
            <w:pPr>
              <w:pStyle w:val="Compact"/>
              <w:jc w:val="left"/>
            </w:pPr>
            <w:r>
              <w:t xml:space="preserve">Presentación extemporánea de Aviso — primer escalón</w:t>
            </w:r>
          </w:p>
        </w:tc>
        <w:tc>
          <w:tcPr/>
          <w:p>
            <w:pPr>
              <w:pStyle w:val="Compact"/>
              <w:jc w:val="left"/>
            </w:pPr>
            <w:r>
              <w:t xml:space="preserve">Hasta 30 días después de la fecha en que debió presentarse. Multa de 200 a 2,000 veces el valor diario de la UMA</w:t>
            </w:r>
          </w:p>
        </w:tc>
        <w:tc>
          <w:tcPr/>
          <w:p>
            <w:pPr>
              <w:pStyle w:val="Compact"/>
              <w:jc w:val="left"/>
            </w:pPr>
            <w:r>
              <w:t xml:space="preserve">Ley art. 53, fr. III · Ley art. 54, fr. I</w:t>
            </w:r>
          </w:p>
        </w:tc>
      </w:tr>
      <w:tr>
        <w:tc>
          <w:tcPr/>
          <w:p>
            <w:pPr>
              <w:pStyle w:val="Compact"/>
              <w:jc w:val="left"/>
            </w:pPr>
            <w:r>
              <w:t xml:space="preserve">Presentación extemporánea de Aviso — segundo escalón</w:t>
            </w:r>
          </w:p>
        </w:tc>
        <w:tc>
          <w:tcPr/>
          <w:p>
            <w:pPr>
              <w:pStyle w:val="Compact"/>
              <w:jc w:val="left"/>
            </w:pPr>
            <w:r>
              <w:t xml:space="preserve">Más de 30 días: la Ley remite literalmente a «la sanción prevista para el caso de omisión en el artículo 54, fracción II», esto es, de 2,000 a 10,000 veces el valor diario de la UMA</w:t>
            </w:r>
          </w:p>
        </w:tc>
        <w:tc>
          <w:tcPr/>
          <w:p>
            <w:pPr>
              <w:pStyle w:val="Compact"/>
              <w:jc w:val="left"/>
            </w:pPr>
            <w:r>
              <w:t xml:space="preserve">Ley art. 53, fr. III, segundo párrafo · Ley art. 54, fr. II</w:t>
            </w:r>
          </w:p>
        </w:tc>
      </w:tr>
      <w:tr>
        <w:tc>
          <w:tcPr/>
          <w:p>
            <w:pPr>
              <w:pStyle w:val="Compact"/>
              <w:jc w:val="left"/>
            </w:pPr>
            <w:r>
              <w:t xml:space="preserve">Reincidencia</w:t>
            </w:r>
          </w:p>
        </w:tc>
        <w:tc>
          <w:tcPr/>
          <w:p>
            <w:pPr>
              <w:pStyle w:val="Compact"/>
              <w:jc w:val="left"/>
            </w:pPr>
            <w:r>
              <w:t xml:space="preserve">Cometer la misma infracción dentro de los 2 años inmediatos siguientes a la fecha en que quedó firme la resolución que sancionó la primera</w:t>
            </w:r>
          </w:p>
        </w:tc>
        <w:tc>
          <w:tcPr/>
          <w:p>
            <w:pPr>
              <w:pStyle w:val="Compact"/>
              <w:jc w:val="left"/>
            </w:pPr>
            <w:r>
              <w:t xml:space="preserve">Ley art. 60, fr. I</w:t>
            </w:r>
          </w:p>
        </w:tc>
      </w:tr>
      <w:tr>
        <w:tc>
          <w:tcPr/>
          <w:p>
            <w:pPr>
              <w:pStyle w:val="Compact"/>
              <w:jc w:val="left"/>
            </w:pPr>
            <w:r>
              <w:t xml:space="preserve">Cancelación definitiva de la habilitación del corredor público, una vez firme la sanción</w:t>
            </w:r>
          </w:p>
        </w:tc>
        <w:tc>
          <w:tcPr/>
          <w:p>
            <w:pPr>
              <w:pStyle w:val="Compact"/>
              <w:jc w:val="left"/>
            </w:pPr>
            <w:r>
              <w:t xml:space="preserve">La Secretaría de Economía cuenta con 10 días hábiles desde que se le informa</w:t>
            </w:r>
          </w:p>
        </w:tc>
        <w:tc>
          <w:tcPr/>
          <w:p>
            <w:pPr>
              <w:pStyle w:val="Compact"/>
              <w:jc w:val="left"/>
            </w:pPr>
            <w:r>
              <w:t xml:space="preserve">Ley art. 57, segundo párrafo</w:t>
            </w:r>
          </w:p>
        </w:tc>
      </w:tr>
    </w:tbl>
    <w:p>
      <w:pPr>
        <w:pStyle w:val="BodyText"/>
      </w:pPr>
      <w:r>
        <w:rPr>
          <w:iCs/>
          <w:i/>
        </w:rPr>
        <w:t xml:space="preserve">El escrito de reconocimiento del artículo 55 Bis del Reglamento debe abarcar la totalidad de las faltas, detallar la operación y el periodo en que debió cumplirse, manifestar bajo protesta de decir verdad que todas fueron corregidas o subsanadas y anexar la documentación que lo acredite. La condición decisiva es anterior al escrito: quien se entera de su incumplimiento por la orden de visita ya no está en el supuesto, por más que reconozca la falta dentro del plazo.</w:t>
      </w:r>
    </w:p>
    <w:p>
      <w:pPr>
        <w:pStyle w:val="BodyText"/>
      </w:pPr>
      <w:r>
        <w:rPr>
          <w:iCs/>
          <w:i/>
        </w:rPr>
        <w:t xml:space="preserve">Sobre el segundo escalón del Aviso extemporáneo conviene una precisión, porque el número decide si se autocorrige o no. La omisión de Avisos es la fracción VI del artículo 53 y su multa está en el artículo 54, fracción III —de 10,000 a 65,000 veces el valor diario de la UMA, o del 10% al 100% del valor del acto u operación cuando sea cuantificable en dinero, la que resulte mayor—. Pero el artículo 53, fracción III, segundo párrafo remite a la fracción II del artículo 54, que la propia Ley reserva a la fracción V del artículo 53. La tabla transcribe la remisión; no la interpreta. No hay criterio publicado que resuelva la antinomia.</w:t>
      </w:r>
    </w:p>
    <w:p>
      <w:pPr>
        <w:pStyle w:val="BodyText"/>
      </w:pPr>
      <w:r>
        <w:rPr>
          <w:iCs/>
          <w:i/>
        </w:rPr>
        <w:t xml:space="preserve">Esta tabla no incluye los plazos de defensa —recurso de revisión, juicio contencioso administrativo, amparo—, que dependen del acto que se impugne y de la vía elegida. Ese cálculo debe hacerlo quien lleve el asunto, sobre el acto notificado.</w:t>
      </w:r>
    </w:p>
    <w:p>
      <w:r>
        <w:pict>
          <v:rect style="width:0;height:1.5pt" o:hralign="center" o:hrstd="t" o:hr="t"/>
        </w:pict>
      </w:r>
    </w:p>
    <w:p>
      <w:r>
        <w:br w:type="page"/>
      </w:r>
    </w:p>
    <w:bookmarkEnd w:id="200"/>
    <w:bookmarkEnd w:id="201"/>
    <w:bookmarkStart w:id="202" w:name="X55db49d0f759476edd8d586fc76671d0cdfe0e1"/>
    <w:p>
      <w:pPr>
        <w:pStyle w:val="Heading1"/>
      </w:pPr>
      <w:r>
        <w:t xml:space="preserve">ANEXO C · EL GRADO DE RIESGO PROPIO Y EL DEL CLIENTE</w:t>
      </w:r>
    </w:p>
    <w:p>
      <w:pPr>
        <w:pStyle w:val="FirstParagraph"/>
      </w:pPr>
      <w:r>
        <w:rPr>
          <w:iCs/>
          <w:i/>
        </w:rPr>
        <w:t xml:space="preserve">Nota complementaria; no es una de las 135 preguntas y no computa en el resumen por sección, aunque cierra con la misma línea de banda y etiqueta que las respuestas, por haberse originado en un planteamiento recurrente del sector. Varias respuestas de este documento —señaladamente las relativas a medidas simplificadas y a quién puede firmar el dictamen— dependen de un Grado de Riesgo, pero se trata de dos clasificaciones distintas que la norma regula con densidad muy desigual. Conviene separarlas.</w:t>
      </w:r>
    </w:p>
    <w:p>
      <w:pPr>
        <w:pStyle w:val="BodyText"/>
      </w:pPr>
      <w:r>
        <w:rPr>
          <w:bCs/>
          <w:b/>
        </w:rPr>
        <w:t xml:space="preserve">El Grado de Riesgo del Cliente o Usuaria.</w:t>
      </w:r>
      <w:r>
        <w:t xml:space="preserve"> </w:t>
      </w:r>
      <w:r>
        <w:t xml:space="preserve">Está definido y reglado. Es la clasificación que otorga quien realiza la Actividad Vulnerable a cada uno de sus Clientes o Usuarias con base en la evaluación de su Riesgo, en términos del Capítulo III Bis de las Reglas. Debe contarse con un modelo de evaluación coherente con la metodología del Capítulo II Quáter, establecido en el Manual de Políticas Internas, y con al menos tres clasificaciones: bajo, medio y alto, pudiendo añadirse los grados intermedios que se consideren necesarios. Los factores mínimos son dos: características inherentes —antecedentes, tipo de persona, fecha de nacimiento o constitución, giro, nacionalidad, residencia, fuentes de ingreso, naturaleza y propósito de la relación— y características transaccionales —tipo, volumen, frecuencia y monto de los actos u operaciones, número de contrapartes, origen y destino de los recursos, instrumento monetario y tipo de moneda—. La evaluación se hace al inicio con la información que el Cliente o Usuaria proporcione y se repite al menos cada seis meses, con mayor frecuencia cuanto más alto sea el grado. Hay dos categorías de Riesgo alto por disposición expresa: las personas no residentes vinculadas con jurisdicciones de régimen fiscal preferente o señaladas por deficiencias en sus medidas, y las Personas Políticamente Expuestas extranjeras.</w:t>
      </w:r>
    </w:p>
    <w:p>
      <w:pPr>
        <w:pStyle w:val="BodyText"/>
      </w:pPr>
      <w:r>
        <w:t xml:space="preserve">Las consecuencias de la clasificación están regladas, pero no todas dependen del Cliente o Usuaria. Las medidas simplificadas de identificación tienen tres llaves de distinto orden. La primera es el Riesgo propio: el artículo 15 del Reglamento sólo las franquea «cuando quienes las realicen sean consideradas de bajo riesgo, conforme a la evaluación a la que se refiere el artículo 18, fracción VII, de la Ley», en la línea del artículo 19, primer párrafo de la Ley, que ordena graduarlas «en función del nivel de riesgo de las Actividades Vulnerables y de quienes las realicen». La segunda es el Grado de Riesgo del Cliente o Usuaria: el artículo 17 de las Reglas —que se abre remitiendo a esos dos preceptos— reserva las medidas simplificadas a los Clientes o Usuarias considerados de bajo Riesgo conforme al Capítulo III Bis. Las dos llaves son acumulativas, y en ese orden: quien realiza la Actividad Vulnerable con un Riesgo propio evaluado como alto no accede a ellas aunque todos sus Clientes o Usuarias sean de bajo Grado de Riesgo. La tercera llave es ajena a toda graduación: el artículo 19, tercer párrafo de la Ley ordena que a los Clientes o Usuarias personas morales mexicanas de derecho público «se les deberá aplicar un régimen simplificado de identificación», que el artículo 12, fracción V Bis de las Reglas concreta en los datos del Anexo 7 Bis para las señaladas en el Anexo 7 Bis-A. Conviene además no leer «simplificadas» como dispensa documental: lo que se simplifica es integrar el expediente sólo con los datos de los Anexos, y el segundo párrafo del propio artículo 17 obliga a solicitar que los documentos de los que esos datos se desprenden sean presentados en original o en copia certificada por Fedatario Público.</w:t>
      </w:r>
    </w:p>
    <w:p>
      <w:pPr>
        <w:pStyle w:val="BodyText"/>
      </w:pPr>
      <w:r>
        <w:t xml:space="preserve">El Riesgo medio del Cliente o Usuaria obliga al expediente único de identificación completo del artículo 12 de las Reglas, por disposición de su artículo 17 Bis. El Riesgo alto activa información reforzada sobre la actividad preponderante y monitoreo más estricto del comportamiento transaccional, cuestionarios de identificación sobre el origen y el destino de los recursos, medidas reforzadas y datos del cónyuge, dependientes económicos y vínculos patrimoniales (RCG arts. 23 Ter 3 y 23 Ter 4); alerta específica en los mecanismos automatizados (Ley, artículo 18, fracción X, segundo enunciado, y RCG art. 41, fracción V), sin que deba confundirse con el sistema de alertas del artículo 23 Ter 2 de las Reglas, que se exige respecto de todo Cliente o Usuaria y no sólo de los de Riesgo alto; y, tratándose de Personas Políticamente Expuestas de Riesgo alto, la aprobación de un directivo o su equivalente, que en el caso de la persona física que realiza la Actividad Vulnerable se subsana con una constancia motivada (RCG art. 23 Ter 5). Este bloque es verde.</w:t>
      </w:r>
    </w:p>
    <w:p>
      <w:pPr>
        <w:pStyle w:val="BodyText"/>
      </w:pPr>
      <w:r>
        <w:rPr>
          <w:bCs/>
          <w:b/>
        </w:rPr>
        <w:t xml:space="preserve">El Grado de Riesgo propio.</w:t>
      </w:r>
      <w:r>
        <w:t xml:space="preserve"> </w:t>
      </w:r>
      <w:r>
        <w:t xml:space="preserve">No está definido con la misma densidad, y de él dependen al menos tres consecuencias. La primera es quién puede firmar el dictamen: el artículo 44 de las Reglas permite que lo emita un área de auditoría interna o de control interno «cuando el Riesgo de quien realiza la Actividad Vulnerable sea evaluado como bajo o medio de conformidad con la metodología prevista en el Capítulo II Quáter», siempre que esa área esté integrada por personal independiente de la persona Representante Encargada de Cumplimiento, conozca los procesos y procedimientos internos y acredite al menos un programa de capacitación anual del Capítulo XII; el artículo 45 obliga a persona auditora externa independiente cuando ese Riesgo se evalúa como alto o cuando así se elige. La segunda es el acceso al régimen simplificado de identificación, en los términos del artículo 15 del Reglamento ya señalados. La tercera es la exigencia que cabe pedir a los mecanismos automatizados, que deben ser razonablemente adecuados al volumen, naturaleza y complejidad de los actos u operaciones y «al Riesgo de quienes realicen Actividades Vulnerables» (RCG art. 41, primer párrafo); es, además, el mejor argumento de proporcionalidad de un obligado pequeño.</w:t>
      </w:r>
    </w:p>
    <w:p>
      <w:pPr>
        <w:pStyle w:val="BodyText"/>
      </w:pPr>
      <w:r>
        <w:t xml:space="preserve">El Capítulo II Quáter sí dice cómo se mide: hay que identificar elementos e indicadores —actos u operaciones, tipo de personas Clientes o Usuarias, países y áreas geográficas, transacciones y canales de envío o distribución—, asignar valores de manera consistente en función de su importancia, identificar los Mitigantes implementados y establecer su efecto sobre esos indicadores, e incorporar indicadores específicos de los delitos de los artículos 139 Quáter y 400 Bis del Código Penal Federal. Y fija un piso verificable de información: al menos doce meses de datos sobre número de personas Clientes o Usuarias, número de actos u operaciones y monto operado, o datos proyectados cuando aún no haya operación, con obligación de actualizar al cumplir los primeros doce meses (RCG art. 10 Septies 2, fracción II).</w:t>
      </w:r>
    </w:p>
    <w:p>
      <w:pPr>
        <w:pStyle w:val="BodyText"/>
      </w:pPr>
      <w:r>
        <w:t xml:space="preserve">Lo que el Capítulo II Quáter no hace es fijar la escala. Las tres etiquetas —bajo, medio, alto— aparecen en la Ley: el artículo 18, fracción XI opone «bajo o medio» a «alto», y los artículos 44 y 45 de las Reglas reproducen ese par. La consecuencia jurídica, sin embargo, es binaria: lo único que la norma decide es si el Riesgo propio es alto o no lo es. Que la evaluación propia deba expresarse en tres peldaños es lectura razonable, no mandato expreso. Lo que no existe en ninguna parte —ni en la Ley, ni en el Reglamento, ni en las Reglas, ni en los transitorios del ACUERDO 115/2026— es el umbral: dónde termina el medio y empieza el alto. El artículo 10 Septies 1, fracción II de las Reglas se detiene en «asignar un valor a cada uno de ellos de manera consistente en función de su importancia», y el artículo 10 Septies 2 remite el punto de corte al «nivel de tolerancia aceptable de conformidad con su Manual de Políticas Internas», es decir, al que el propio obligado defina. Ahí, y sólo ahí, está el hueco: por eso este anexo es ámbar.</w:t>
      </w:r>
    </w:p>
    <w:p>
      <w:pPr>
        <w:pStyle w:val="BodyText"/>
      </w:pPr>
      <w:r>
        <w:t xml:space="preserve">La frontera entre los dos ejercicios tampoco es perfecta en el texto publicado. El artículo 23 Bis 2 de las Reglas ordena considerar los factores de Riesgo del Cliente o Usuaria «en el desarrollo del modelo a que se refiere el Capítulo II Quáter», y el artículo 41, fracciones III y IV encomienda a un mismo mecanismo automatizado alimentar la metodología institucional y ejecutar el modelo de clasificación de Clientes o Usuarias. Los dos ejercicios comparten insumos y sistema; lo que no comparten es la escala: las tres categorías del artículo 23 Bis rigen, por sus propios términos, para clasificar a los Clientes o Usuarias.</w:t>
      </w:r>
    </w:p>
    <w:p>
      <w:pPr>
        <w:pStyle w:val="BodyText"/>
      </w:pPr>
      <w:r>
        <w:rPr>
          <w:bCs/>
          <w:b/>
        </w:rPr>
        <w:t xml:space="preserve">Consecuencia práctica, y hay que decirla sin adorno.</w:t>
      </w:r>
      <w:r>
        <w:t xml:space="preserve"> </w:t>
      </w:r>
      <w:r>
        <w:t xml:space="preserve">Quien realiza la Actividad Vulnerable determina su propia banda con su propia metodología, y esa determinación decide si puede dictaminarse internamente o debe contratar auditor externo. La norma le da el método y le da los tres peldaños; lo que no le da es dónde ponerlos. Dos cautelas se siguen de ahí. La primera es de coherencia: si la metodología arroja una proporción alta de Clientes o Usuarias de Grado de Riesgo alto, o si la Actividad Vulnerable se ubica en un sector señalado en la Evaluación Nacional de Riesgos, sostener un Riesgo propio bajo exige una justificación escrita que resista lectura ajena; y tomar en cuenta la Evaluación Nacional de Riesgos y sus actualizaciones no es prudencia sino obligación del artículo 10 Septies, segundo párrafo de las Reglas. La segunda es de facultad: el SAT puede revisar la metodología, señalar los ajustes necesarios y solicitar un plan de acción con medidas reforzadas, de modo que la autoclasificación no es definitiva.</w:t>
      </w:r>
    </w:p>
    <w:p>
      <w:pPr>
        <w:pStyle w:val="BodyText"/>
      </w:pPr>
      <w:r>
        <w:t xml:space="preserve">Conviene fechar la urgencia. El ACUERDO 115/2026 entra en vigor el 30 de noviembre de 2026; la evaluación y el Manual de Políticas Internas que contenga la metodología deben estar a disposición de las autoridades competentes, previo requerimiento, a partir del 1 de marzo de 2027 (Transitorios Segundo y Tercero del ACUERDO 115/2026); los Capítulos III Bis, III Ter y III Quinquies rigen los actos u operaciones realizados desde esa misma fecha (Transitorio Cuarto del ACUERDO 115/2026); y el primer periodo de revisión de auditoría es el año calendario 2028 (Transitorio Octavo del ACUERDO 115/2026), de modo que la banda de Riesgo propio decide por primera vez quién firma un dictamen que se entrega a más tardar el último día hábil de marzo de 2029 (RCG art. 50). El criterio, sin embargo, hay que fijarlo antes de conocer el resultado, no después. Documentar el criterio de banda en el Manual de Políticas Internas, aplicarlo de manera uniforme y conservar el soporte por diez años es hoy la defensa principal, y no la única: el artículo 10 Septies 6 de las Reglas ordena a la propia Secretaría que «privilegiará aplicar un enfoque basado en Riesgo» en el ejercicio de sus facultades, lo que es un argumento de proporcionalidad oponible en una verificación, y el artículo 10 Septies 5 encomienda a la UIF, previa opinión del SAT, lineamientos, guías o mejores prácticas sobre este capítulo, que a la fecha no se han emitido.</w:t>
      </w:r>
    </w:p>
    <w:p>
      <w:pPr>
        <w:pStyle w:val="BodyText"/>
      </w:pPr>
      <w:r>
        <w:rPr>
          <w:bCs/>
          <w:b/>
        </w:rPr>
        <w:t xml:space="preserve">Fundamento:</w:t>
      </w:r>
      <w:r>
        <w:t xml:space="preserve"> </w:t>
      </w:r>
      <w:r>
        <w:rPr>
          <w:iCs/>
          <w:i/>
        </w:rPr>
        <w:t xml:space="preserve">Ley arts. 18, fracciones VII —«sus Riesgos, así como los de las personas Clientes o Usuarias»—, X, segundo enunciado, y XI, y 19, párrafos primero y tercero; Reglamento art. 15, párrafos primero, segundo y tercero; RCG art. 3, fracción IX Bis; RCG Capítulo II Quáter, arts. 10 Septies a 10 Septies 6, en particular 10 Septies, segundo párrafo, 10 Septies 1, 10 Septies 2, fracción II, y 10 Septies 3, párrafos segundo y tercero; RCG arts. 12, fracción V Bis, 17 y 17 Bis; RCG Capítulo III Bis, arts. 23 Bis, 23 Bis 1, 23 Bis 2, 23 Bis 3 y 23 Bis 4; RCG Capítulo III Ter, arts. 23 Ter a 23 Ter 5; RCG arts. 34; 37 Bis, fracciones II y III; 41, primer párrafo y fracciones III, IV y V; 42; 44; 45, y 50; Transitorios Segundo, Tercero, Cuarto y Octavo del ACUERDO 115/2026; ausencia de disposición que fije umbrales o criterios de corte entre las tres bandas del Riesgo propio.</w:t>
      </w:r>
      <w:r>
        <w:t xml:space="preserve"> </w:t>
      </w:r>
      <w:r>
        <w:rPr>
          <w:rStyle w:val="Ambar"/>
        </w:rPr>
        <w:t xml:space="preserve">· Ámbar · Recurrencia media</w:t>
      </w:r>
    </w:p>
    <w:p>
      <w:r>
        <w:pict>
          <v:rect style="width:0;height:1.5pt" o:hralign="center" o:hrstd="t" o:hr="t"/>
        </w:pict>
      </w:r>
    </w:p>
    <w:p>
      <w:pPr>
        <w:pStyle w:val="FirstParagraph"/>
      </w:pPr>
      <w:r>
        <w:rPr>
          <w:iCs/>
          <w:i/>
        </w:rPr>
        <w:t xml:space="preserve">Documento de trabajo elaborado con fines de análisis y capacitación. Las referencias normativas corresponden a la Ley Federal para la Prevención e Identificación de Operaciones con Recursos de Procedencia Ilícita, reformada el 16 de julio de 2025, y a su Reglamento, reformado el 27 de marzo de 2026, ambos vigentes, así como a las Reglas de Carácter General en el texto compilado con el ACUERDO 115/2026, publicado el 7 de agosto de 2026, que entra en vigor el 30 de noviembre de 2026 con el calendario escalonado de sus transitorios. Las citas se sometieron a un proceso de cotejo contra el ordenamiento correspondiente, distinto de quien redactó las respuestas. El proceso reduce el error; no lo elimina, y las correcciones detectadas se incorporan en la siguiente versión. Este documento no constituye asesoría legal ni interpretación oficial, y no sustituye el criterio de la autoridad competente; conforme al artículo 5 de la Ley, la interpretación administrativa de la Ley, su Reglamento y las reglas de carácter general corresponde a la Secretaría de Hacienda y Crédito Público, y el artículo 3, fracción I del Reglamento y el artículo 40 de las propias Reglas la radican en la Unidad de Inteligencia Financiera. Ninguna respuesta resuelve un caso concreto.</w:t>
      </w:r>
    </w:p>
    <w:p>
      <w:pPr>
        <w:pStyle w:val="BodyText"/>
      </w:pPr>
      <w:r>
        <w:rPr>
          <w:iCs/>
          <w:i/>
        </w:rPr>
        <w:t xml:space="preserve">Este material se mantiene vivo: si en el camino se detecta cualquier error o precisión, se actualiza a su versión más reciente.</w:t>
      </w:r>
    </w:p>
    <w:p>
      <w:pPr>
        <w:pStyle w:val="BodyText"/>
      </w:pPr>
      <w:r>
        <w:rPr>
          <w:bCs/>
          <w:b/>
        </w:rPr>
        <w:t xml:space="preserve">GMC360 · 360Educa · Segunda edición · 25 de agosto de 2026</w:t>
      </w:r>
    </w:p>
    <w:bookmarkEnd w:id="2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MX"/>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color w:val="14395E"/>
      <w:rFonts w:asciiTheme="majorHAnsi" w:cstheme="majorBidi" w:eastAsiaTheme="majorEastAsia" w:hAnsiTheme="majorHAnsi"/>
      <w:b/>
      <w:bCs/>
      <w:sz w:val="36"/>
      <w:szCs w:val="36"/>
    </w:rPr>
  </w:style>
  <w:style w:styleId="Subtitle" w:type="paragraph">
    <w:name w:val="Subtitle"/>
    <w:basedOn w:val="Title"/>
    <w:next w:val="BodyText"/>
    <w:qFormat/>
    <w:pPr>
      <w:keepNext/>
      <w:keepLines/>
      <w:spacing w:after="240" w:before="240"/>
      <w:jc w:val="center"/>
    </w:pPr>
    <w:rPr>
      <w:color w:val="4A4A4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color w:val="14395E"/>
      <w:sz w:val="30"/>
      <w:szCs w:val="30"/>
      <w:rFonts w:asciiTheme="majorHAnsi" w:cstheme="majorBidi" w:eastAsiaTheme="majorEastAsia" w:hAnsiTheme="majorHAnsi"/>
      <w:b/>
      <w:bCs/>
      <w:sz w:val="32"/>
      <w:szCs w:val="32"/>
    </w:rPr>
  </w:style>
  <w:style w:styleId="Heading2" w:type="paragraph">
    <w:name w:val="Heading 2"/>
    <w:basedOn w:val="Normal"/>
    <w:next w:val="BodyText"/>
    <w:uiPriority w:val="9"/>
    <w:unhideWhenUsed/>
    <w:qFormat/>
    <w:pPr>
      <w:keepNext/>
      <w:keepLines/>
      <w:spacing w:after="0" w:before="200"/>
      <w:outlineLvl w:val="1"/>
    </w:pPr>
    <w:rPr>
      <w:color w:val="14395E"/>
      <w:sz w:val="26"/>
      <w:szCs w:val="26"/>
      <w:rFonts w:asciiTheme="majorHAnsi" w:cstheme="majorBidi" w:eastAsiaTheme="majorEastAsia" w:hAnsiTheme="majorHAnsi"/>
      <w:b/>
      <w:bCs/>
      <w:sz w:val="28"/>
      <w:szCs w:val="28"/>
    </w:rPr>
  </w:style>
  <w:style w:styleId="Heading3" w:type="paragraph">
    <w:name w:val="Heading 3"/>
    <w:basedOn w:val="Normal"/>
    <w:next w:val="BodyText"/>
    <w:uiPriority w:val="9"/>
    <w:unhideWhenUsed/>
    <w:qFormat/>
    <w:pPr>
      <w:keepNext/>
      <w:keepLines/>
      <w:spacing w:after="0" w:before="200"/>
      <w:outlineLvl w:val="2"/>
    </w:pPr>
    <w:rPr>
      <w:color w:val="1F3A5F"/>
      <w:sz w:val="22"/>
      <w:szCs w:val="22"/>
      <w:rFonts w:asciiTheme="majorHAnsi" w:cstheme="majorBidi" w:eastAsiaTheme="majorEastAsia" w:hAnsiTheme="majorHAnsi"/>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Ambar">
    <w:name w:val="Ambar"/>
    <w:rPr>
      <w:b/>
      <w:color w:val="B26A00"/>
    </w:rPr>
  </w:style>
  <w:style w:type="character" w:customStyle="1" w:styleId="Rojo">
    <w:name w:val="Rojo"/>
    <w:rPr>
      <w:b/>
      <w:color w:val="B00020"/>
    </w:rPr>
  </w:style>
  <w:style w:type="character" w:customStyle="1" w:styleId="Verde">
    <w:name w:val="Verde"/>
    <w:rPr>
      <w:b/>
      <w:color w:val="1B7F3A"/>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Preguntas del sector sobre el ACUERDO 115/2026</dc:title>
  <dc:creator>GMC360 · 360Educa</dc:creator>
  <dc:language>es-MX</dc:language>
  <cp:keywords/>
  <dcterms:created xsi:type="dcterms:W3CDTF">2026-08-25T20:22:00Z</dcterms:created>
  <dcterms:modified xsi:type="dcterms:W3CDTF">2026-08-25T20:22:00Z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Segunda edición · 25 de agosto de 2026 · 135 preguntas</vt:lpwstr>
  </property>
  <property fmtid="{D5CDD505-2E9C-101B-9397-08002B2CF9AE}" pid="3" name="subtitle">
    <vt:lpwstr>Respuestas con fundamento y semáforo de certeza normativa · Reformas a las Reglas de Carácter General de la LFPIORPI · DOF 7 de agosto de 2026</vt:lpwstr>
  </property>
</Properties>
</file>