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C1272D" w:val="clear"/>
            <w:tcMar>
              <w:top w:type="dxa" w:w="500"/>
              <w:left w:type="dxa" w:w="360"/>
              <w:bottom w:type="dxa" w:w="500"/>
              <w:right w:type="dxa" w:w="360"/>
            </w:tcMar>
          </w:tcPr>
          <w:p>
            <w:pPr>
              <w:spacing w:after="60"/>
            </w:pPr>
            <w:r>
              <w:rPr>
                <w:b/>
                <w:bCs/>
                <w:color w:val="FFFFFF"/>
                <w:sz w:val="72"/>
                <w:szCs w:val="72"/>
              </w:rPr>
              <w:t xml:space="preserve">ZONA DE RIESGO</w:t>
            </w:r>
          </w:p>
          <w:p>
            <w:r>
              <w:rPr>
                <w:color w:val="FFFFFF"/>
                <w:sz w:val="28"/>
                <w:szCs w:val="28"/>
              </w:rPr>
              <w:t xml:space="preserve">La guía sin rodeos de la nueva Ley Antilavado</w:t>
            </w:r>
          </w:p>
          <w:p>
            <w:r>
              <w:rPr>
                <w:b/>
                <w:bCs/>
                <w:color w:val="FFFFFF"/>
                <w:sz w:val="28"/>
                <w:szCs w:val="28"/>
              </w:rPr>
              <w:t xml:space="preserve">Reforma LFPIORPI 2025 - 2026</w:t>
            </w:r>
          </w:p>
        </w:tc>
      </w:tr>
    </w:tbl>
    <w:p>
      <w:pPr>
        <w:spacing w:after="360"/>
      </w:pPr>
      <w:r>
        <w:t xml:space="preserve"/>
      </w:r>
    </w:p>
    <w:p>
      <w:pPr>
        <w:spacing w:after="200"/>
        <w:jc w:val="center"/>
      </w:pPr>
      <w:r>
        <w:rPr>
          <w:i/>
          <w:iCs/>
          <w:color w:val="1A1A1A"/>
          <w:sz w:val="26"/>
          <w:szCs w:val="26"/>
        </w:rPr>
        <w:t xml:space="preserve">Si tienes un negocio que la autoridad vigila, este libro es para ti.</w:t>
      </w:r>
    </w:p>
    <w:p>
      <w:pPr>
        <w:spacing w:after="200"/>
        <w:jc w:val="center"/>
      </w:pPr>
      <w:r>
        <w:rPr>
          <w:i/>
          <w:iCs/>
          <w:color w:val="1A1A1A"/>
          <w:sz w:val="26"/>
          <w:szCs w:val="26"/>
        </w:rPr>
        <w:t xml:space="preserve">Aunque no seas abogado ni contador.</w:t>
      </w:r>
    </w:p>
    <w:p>
      <w:pPr>
        <w:spacing w:after="240"/>
      </w:pPr>
      <w:r>
        <w:t xml:space="preserve"/>
      </w:r>
    </w:p>
    <w:p>
      <w:pPr>
        <w:spacing w:after="120"/>
        <w:jc w:val="center"/>
      </w:pPr>
      <w:r>
        <w:rPr>
          <w:color w:val="555555"/>
          <w:sz w:val="22"/>
          <w:szCs w:val="22"/>
        </w:rPr>
        <w:t xml:space="preserve">Para notarios, inmobiliarios, joyeros, automotrices,</w:t>
      </w:r>
    </w:p>
    <w:p>
      <w:pPr>
        <w:spacing w:after="360"/>
        <w:jc w:val="center"/>
      </w:pPr>
      <w:r>
        <w:rPr>
          <w:color w:val="555555"/>
          <w:sz w:val="22"/>
          <w:szCs w:val="22"/>
        </w:rPr>
        <w:t xml:space="preserve">empresarios y todo el que realice una Actividad Vulnerable.</w:t>
      </w:r>
    </w:p>
    <w:p>
      <w:pPr>
        <w:spacing w:after="600"/>
      </w:pPr>
      <w:r>
        <w:t xml:space="preserve"/>
      </w:r>
    </w:p>
    <w:p>
      <w:pPr>
        <w:jc w:val="center"/>
      </w:pPr>
      <w:r>
        <w:rPr>
          <w:b/>
          <w:bCs/>
          <w:sz w:val="22"/>
          <w:szCs w:val="22"/>
        </w:rPr>
        <w:t xml:space="preserve">Autora: Maribel Vázquez Menchaca</w:t>
      </w:r>
    </w:p>
    <w:p>
      <w:pPr>
        <w:jc w:val="center"/>
      </w:pPr>
      <w:r>
        <w:rPr>
          <w:color w:val="9E1B1B"/>
          <w:sz w:val="22"/>
          <w:szCs w:val="22"/>
        </w:rPr>
        <w:t xml:space="preserve">GMC360  ·  360Educa</w:t>
      </w:r>
    </w:p>
    <w:p>
      <w:pPr>
        <w:spacing w:before="120"/>
        <w:jc w:val="center"/>
      </w:pPr>
      <w:r>
        <w:rPr>
          <w:color w:val="777777"/>
          <w:sz w:val="16"/>
          <w:szCs w:val="16"/>
        </w:rPr>
        <w:t xml:space="preserve">Edición 2026 · Actualizada con las Reglas de Carácter General (Acuerdo 115/2026, DOF 7 de agosto de 2026) · Material de estudio. No constituye asesoría legal específica.</w:t>
      </w:r>
    </w:p>
    <w:p>
      <w:pPr>
        <w:pStyle w:val="Heading1"/>
      </w:pPr>
      <w:r>
        <w:t xml:space="preserve">¿Para quién es este libro y cómo se usa?</w:t>
      </w:r>
    </w:p>
    <w:p>
      <w:pPr>
        <w:spacing w:after="120" w:before="0" w:line="286"/>
      </w:pPr>
      <w:r>
        <w:t xml:space="preserve">Este libro está hecho para que cualquiera lo entienda, sin que tengas que ser abogado, contador ni experto en cumplimiento. Si tu negocio aparece en la lista del Artículo 17 de la Ley Antilavado, eres lo que la ley llama un sujeto obligado, y aquí te explicamos en cristiano qué te toca hacer.</w:t>
      </w:r>
    </w:p>
    <w:p>
      <w:pPr>
        <w:spacing w:after="120" w:before="0" w:line="286"/>
      </w:pPr>
      <w:r>
        <w:rPr>
          <w:b/>
          <w:bCs/>
        </w:rPr>
        <w:t xml:space="preserve">La regla del libro: </w:t>
      </w:r>
      <w:r>
        <w:t xml:space="preserve">nada de rodeos. Cada tema va al grano, con ejemplos de la vida real y una lista de cosas concretas para hacer 'el lunes'.</w:t>
      </w:r>
    </w:p>
    <w:p>
      <w:pPr>
        <w:spacing w:after="120" w:before="0" w:line="286"/>
      </w:pPr>
      <w:r>
        <w:t xml:space="preserve">Úsalo así:</w:t>
      </w:r>
    </w:p>
    <w:p>
      <w:pPr>
        <w:pStyle w:val="ListParagraph"/>
        <w:numPr>
          <w:ilvl w:val="0"/>
          <w:numId w:val="2"/>
        </w:numPr>
        <w:spacing w:after="60" w:line="280"/>
      </w:pPr>
      <w:r>
        <w:rPr>
          <w:b/>
          <w:bCs/>
        </w:rPr>
        <w:t xml:space="preserve">Ve directo a tu actividad. </w:t>
      </w:r>
      <w:r>
        <w:t xml:space="preserve">En la Parte 2 está el atlas. Busca tu giro y lee solo esas dos páginas. Empieza por ahí.</w:t>
      </w:r>
    </w:p>
    <w:p>
      <w:pPr>
        <w:pStyle w:val="ListParagraph"/>
        <w:numPr>
          <w:ilvl w:val="0"/>
          <w:numId w:val="2"/>
        </w:numPr>
        <w:spacing w:after="60" w:line="280"/>
      </w:pPr>
      <w:r>
        <w:rPr>
          <w:b/>
          <w:bCs/>
        </w:rPr>
        <w:t xml:space="preserve">Aprende a leer los focos rojos. </w:t>
      </w:r>
      <w:r>
        <w:t xml:space="preserve">Son las señales de que algo huele mal en una operación.</w:t>
      </w:r>
    </w:p>
    <w:p>
      <w:pPr>
        <w:pStyle w:val="ListParagraph"/>
        <w:numPr>
          <w:ilvl w:val="0"/>
          <w:numId w:val="2"/>
        </w:numPr>
        <w:spacing w:after="60" w:line="280"/>
      </w:pPr>
      <w:r>
        <w:rPr>
          <w:b/>
          <w:bCs/>
        </w:rPr>
        <w:t xml:space="preserve">Quédate con la 'regla de oro' de tu giro. </w:t>
      </w:r>
      <w:r>
        <w:t xml:space="preserve">Es la idea que no debes olvidar.</w:t>
      </w:r>
    </w:p>
    <w:p>
      <w:pPr>
        <w:pStyle w:val="ListParagraph"/>
        <w:numPr>
          <w:ilvl w:val="0"/>
          <w:numId w:val="2"/>
        </w:numPr>
        <w:spacing w:after="60" w:line="280"/>
      </w:pPr>
      <w:r>
        <w:rPr>
          <w:b/>
          <w:bCs/>
        </w:rPr>
        <w:t xml:space="preserve">Haz tu lista del lunes. </w:t>
      </w:r>
      <w:r>
        <w:t xml:space="preserve">Son acciones que puedes empezar ya, sin esperar a nadie.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8860B" w:sz="24"/>
              <w:bottom w:val="none"/>
              <w:right w:val="none"/>
            </w:tcBorders>
            <w:shd w:fill="FBF3DD" w:val="clear"/>
            <w:tcMar>
              <w:top w:type="dxa" w:w="120"/>
              <w:left w:type="dxa" w:w="200"/>
              <w:bottom w:type="dxa" w:w="120"/>
              <w:right w:type="dxa" w:w="160"/>
            </w:tcMar>
          </w:tcPr>
          <w:p>
            <w:pPr>
              <w:spacing w:after="60"/>
            </w:pPr>
            <w:r>
              <w:rPr>
                <w:b/>
                <w:bCs/>
                <w:color w:val="B8860B"/>
                <w:sz w:val="19"/>
                <w:szCs w:val="19"/>
              </w:rPr>
              <w:t xml:space="preserve">EN UNA FRASE</w:t>
            </w:r>
          </w:p>
          <w:p>
            <w:pPr>
              <w:spacing w:after="0" w:before="0" w:line="286"/>
            </w:pPr>
            <w:r>
              <w:t xml:space="preserve">Antes bastaba con decir 'yo sí cumplo'. Ahora hay que demostrarlo con papeles. Todo este libro gira alrededor de esa idea.</w:t>
            </w:r>
          </w:p>
        </w:tc>
      </w:tr>
    </w:tbl>
    <w:p>
      <w:pPr>
        <w:pStyle w:val="Heading1"/>
      </w:pPr>
      <w:r>
        <w:t xml:space="preserve">Contenido</w:t>
      </w:r>
    </w:p>
    <w:sdt>
      <w:sdtPr>
        <w:alias w:val="Contenido"/>
      </w:sdtPr>
      <w:sdtContent>
        <w:p>
          <w:r>
            <w:fldChar w:fldCharType="begin" w:dirty="true"/>
            <w:instrText xml:space="preserve">TOC \o "1-2"</w:instrText>
            <w:fldChar w:fldCharType="separate"/>
          </w:r>
        </w:p>
        <w:p>
          <w:r>
            <w:fldChar w:fldCharType="end"/>
          </w:r>
        </w:p>
      </w:sdtContent>
    </w:sdt>
    <w:p>
      <w:pPr>
        <w:spacing w:after="120" w:before="120" w:line="286"/>
      </w:pPr>
      <w:r>
        <w:rPr>
          <w:i/>
          <w:iCs/>
          <w:color w:val="777777"/>
          <w:sz w:val="16"/>
          <w:szCs w:val="16"/>
        </w:rPr>
        <w:t xml:space="preserve">(Para ver los números de página, da clic derecho sobre el índice y elige 'Actualizar campos'.)</w:t>
      </w:r>
    </w:p>
    <w:p>
      <w:r>
        <w:br w:type="page"/>
      </w:r>
    </w:p>
    <w:p>
      <w:pPr>
        <w:pStyle w:val="Heading1"/>
      </w:pPr>
      <w:r>
        <w:t xml:space="preserve">Parte 1. La reforma en grande: qué cambió, por qué y quién la empujó</w:t>
      </w:r>
    </w:p>
    <w:p>
      <w:pPr>
        <w:spacing w:after="120" w:before="0" w:line="286"/>
      </w:pPr>
      <w:r>
        <w:rPr>
          <w:i/>
          <w:iCs/>
          <w:color w:val="555555"/>
        </w:rPr>
        <w:t xml:space="preserve">Antes de ir a tu actividad, vale la pena entender de qué se trata todo esto: qué cambió, por qué, y quién lo empujó. Es la foto completa en pocas páginas.</w:t>
      </w:r>
    </w:p>
    <w:p>
      <w:pPr>
        <w:pStyle w:val="Heading2"/>
      </w:pPr>
      <w:r>
        <w:t xml:space="preserve">La reforma en una página</w:t>
      </w:r>
    </w:p>
    <w:p>
      <w:pPr>
        <w:spacing w:after="120" w:before="0" w:line="286"/>
      </w:pPr>
      <w:r>
        <w:t xml:space="preserve">La reforma vino en tres piezas. Primero cambió la Ley (publicada el 16 de julio de 2025 y vigente desde el 17). Después cambió su Reglamento (publicado el 27 de marzo de 2026 y vigente desde el 30). La tercera pieza, las reglas con el detalle fino (las RCG), se publicó el 7 de agosto de 2026 y entra en vigor el 30 de noviembre de 2026. Casi todo lo nuevo arranca el 1 de marzo de 2027.</w:t>
      </w:r>
    </w:p>
    <w:p>
      <w:pPr>
        <w:spacing w:after="120" w:before="0" w:line="286"/>
      </w:pPr>
      <w:r>
        <w:t xml:space="preserve">Lo que cambió, en grueso:</w:t>
      </w:r>
    </w:p>
    <w:p>
      <w:pPr>
        <w:pStyle w:val="ListParagraph"/>
        <w:numPr>
          <w:ilvl w:val="0"/>
          <w:numId w:val="2"/>
        </w:numPr>
        <w:spacing w:after="60" w:line="280"/>
      </w:pPr>
      <w:r>
        <w:t xml:space="preserve">Más actividades vigiladas: entran los desarrolladores inmobiliarios y los facilitadores de solución de controversias, y se cierran huecos en joyería, comercio exterior y traslado de valores.</w:t>
      </w:r>
    </w:p>
    <w:p>
      <w:pPr>
        <w:pStyle w:val="ListParagraph"/>
        <w:numPr>
          <w:ilvl w:val="0"/>
          <w:numId w:val="2"/>
        </w:numPr>
        <w:spacing w:after="60" w:line="280"/>
      </w:pPr>
      <w:r>
        <w:t xml:space="preserve">Más obligaciones: el sujeto obligado pasa de 6 a 12 deberes (de la fracción I a la XI, más la IV Bis). Ahora hay que evaluar el riesgo de tu propio negocio, clasificar a cada cliente por riesgo, tener un manual, capacitar cada año, monitorear con un sistema y auditarte.</w:t>
      </w:r>
    </w:p>
    <w:p>
      <w:pPr>
        <w:pStyle w:val="ListParagraph"/>
        <w:numPr>
          <w:ilvl w:val="0"/>
          <w:numId w:val="2"/>
        </w:numPr>
        <w:spacing w:after="60" w:line="280"/>
      </w:pPr>
      <w:r>
        <w:t xml:space="preserve">Guardar todo 10 años (antes 5) y demostrar con papeles, no de palabra.</w:t>
      </w:r>
    </w:p>
    <w:p>
      <w:pPr>
        <w:pStyle w:val="ListParagraph"/>
        <w:numPr>
          <w:ilvl w:val="0"/>
          <w:numId w:val="2"/>
        </w:numPr>
        <w:spacing w:after="60" w:line="280"/>
      </w:pPr>
      <w:r>
        <w:t xml:space="preserve">El dueño real de las empresas (Beneficiario Controlador) se vuelve obligación central, con un umbral que baja de 50% a 25%.</w:t>
      </w:r>
    </w:p>
    <w:p>
      <w:pPr>
        <w:pStyle w:val="ListParagraph"/>
        <w:numPr>
          <w:ilvl w:val="0"/>
          <w:numId w:val="2"/>
        </w:numPr>
        <w:spacing w:after="60" w:line="280"/>
      </w:pPr>
      <w:r>
        <w:t xml:space="preserve">Sanciones más duras y procedimientos exprés: en algunos casos te multan sin darte oportunidad de alegar.</w:t>
      </w:r>
    </w:p>
    <w:p>
      <w:pPr>
        <w:pStyle w:val="ListParagraph"/>
        <w:numPr>
          <w:ilvl w:val="0"/>
          <w:numId w:val="2"/>
        </w:numPr>
        <w:spacing w:after="60" w:line="280"/>
      </w:pPr>
      <w:r>
        <w:t xml:space="preserve">Los montos se miden en UMA (ya no en salarios mínimos) y tus facturas (CFDI) sirven como prueba en tu contra.</w:t>
      </w:r>
    </w:p>
    <w:p>
      <w:pPr>
        <w:pStyle w:val="ListParagraph"/>
        <w:numPr>
          <w:ilvl w:val="0"/>
          <w:numId w:val="2"/>
        </w:numPr>
        <w:spacing w:after="60" w:line="280"/>
      </w:pPr>
      <w:r>
        <w:t xml:space="preserve">Las RCG ya dicen cómo y cuándo: tu evaluación de riesgo, el grado de riesgo de cada cliente, el manual, la capacitación, el sistema automatizado y la auditoría tienen fecha, entre 2027 y 2028.</w:t>
      </w:r>
    </w:p>
    <w:p>
      <w:pPr>
        <w:spacing w:after="120" w:before="0" w:line="286"/>
      </w:pPr>
      <w:r>
        <w:t xml:space="preserve">Cada punto lo verás aterrizado en tu giro (Parte 2), con sus fechas en la Parte 4 y a detalle, para tu contador, al final del libro (Apéndices D y E).</w:t>
      </w:r>
    </w:p>
    <w:p>
      <w:pPr>
        <w:pStyle w:val="Heading2"/>
      </w:pPr>
      <w:r>
        <w:t xml:space="preserve">¿Por qué hubo reforma?</w:t>
      </w:r>
    </w:p>
    <w:p>
      <w:pPr>
        <w:spacing w:after="120" w:before="0" w:line="286"/>
      </w:pPr>
      <w:r>
        <w:t xml:space="preserve">No fue capricho. México está siendo evaluado por un organismo internacional, el GAFI, y los resultados previos señalaron que nuestro sistema contra el lavado tenía huecos: el régimen de Actividades Vulnerables no era muy efectivo, no se identificaba bien al dueño real de las empresas y a las autoridades les costaba sancionar.</w:t>
      </w:r>
    </w:p>
    <w:p>
      <w:pPr>
        <w:spacing w:after="120" w:before="0" w:line="286"/>
      </w:pPr>
      <w:r>
        <w:t xml:space="preserve">A eso se sumó la presión de Estados Unidos: su unidad financiera (FinCEN) sancionó a algunas entidades mexicanas y subió la lupa sobre nuestro sistema. La reforma busca demostrar que México sí tiene un marco serio, para evitar que nos pongan restricciones que encarecerían y complicarían las operaciones de todo el país.</w:t>
      </w:r>
    </w:p>
    <w:p>
      <w:pPr>
        <w:pStyle w:val="Heading2"/>
      </w:pPr>
      <w:r>
        <w:t xml:space="preserve">¿Quién es GAFI?</w:t>
      </w:r>
    </w:p>
    <w:p>
      <w:pPr>
        <w:spacing w:after="120" w:before="0" w:line="286"/>
      </w:pPr>
      <w:r>
        <w:t xml:space="preserve">GAFI (en inglés, FATF) es el Grupo de Acción Financiera Internacional: el organismo que pone las reglas mundiales contra el lavado de dinero y el financiamiento al terrorismo. México es miembro. Cuando GAFI recomienda algo, los países lo aterrizan en sus leyes; por eso buena parte de esta reforma viene directo de sus estándares, como el Enfoque Basado en Riesgos (pensar en riesgo) y la identificación del dueño real.</w:t>
      </w:r>
    </w:p>
    <w:p>
      <w:pPr>
        <w:pStyle w:val="Heading2"/>
      </w:pPr>
      <w:r>
        <w:t xml:space="preserve">¿Qué es la Quinta Ronda de Evaluación?</w:t>
      </w:r>
    </w:p>
    <w:p>
      <w:pPr>
        <w:spacing w:after="120" w:before="0" w:line="286"/>
      </w:pPr>
      <w:r>
        <w:t xml:space="preserve">Cada cierto tiempo, GAFI revisa a fondo el sistema de cada país. Estamos en la Quinta Ronda, que ya no solo pregunta '¿existen las leyes?', sino '¿de verdad funcionan?'. Es decir, mide la efectividad: si se identifican clientes, si se presentan los Avisos, si se sanciona a quien incumple.</w:t>
      </w:r>
    </w:p>
    <w:p>
      <w:pPr>
        <w:spacing w:after="120" w:before="0" w:line="286"/>
      </w:pPr>
      <w:r>
        <w:t xml:space="preserve">¿Y por qué te importa a ti? Porque si a México le va mal en la evaluación, puede terminar en una lista de países de mayor riesgo. Eso encarece y traba las operaciones de todos: transferencias más lentas, bancos extranjeros que piden más requisitos, menos inversión. La reforma —y que tú cumplas— son parte de evitar ese escenario.</w:t>
      </w:r>
    </w:p>
    <w:p>
      <w:pPr>
        <w:pStyle w:val="Heading2"/>
      </w:pPr>
      <w:r>
        <w:t xml:space="preserve">El cambio de fondo: del 'yo cumplo' al 'demuéstralo'</w:t>
      </w:r>
    </w:p>
    <w:p>
      <w:pPr>
        <w:spacing w:after="120" w:before="0" w:line="286"/>
      </w:pPr>
      <w:r>
        <w:t xml:space="preserve">Si te quedas con una sola idea de toda la reforma, que sea esta: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1272D" w:sz="24"/>
              <w:bottom w:val="none"/>
              <w:right w:val="none"/>
            </w:tcBorders>
            <w:shd w:fill="FBEAE8" w:val="clear"/>
            <w:tcMar>
              <w:top w:type="dxa" w:w="120"/>
              <w:left w:type="dxa" w:w="200"/>
              <w:bottom w:type="dxa" w:w="120"/>
              <w:right w:type="dxa" w:w="160"/>
            </w:tcMar>
          </w:tcPr>
          <w:p>
            <w:pPr>
              <w:spacing w:after="60"/>
            </w:pPr>
            <w:r>
              <w:rPr>
                <w:b/>
                <w:bCs/>
                <w:color w:val="C1272D"/>
                <w:sz w:val="19"/>
                <w:szCs w:val="19"/>
              </w:rPr>
              <w:t xml:space="preserve">LA TESIS DE TODA LA REFORMA</w:t>
            </w:r>
          </w:p>
          <w:p>
            <w:pPr>
              <w:spacing w:after="0" w:before="0" w:line="286"/>
            </w:pPr>
            <w:r>
              <w:t xml:space="preserve">El Estado dejó de creer en tu palabra. Antes bastaba con declarar que cumplías. Ahora tienes que demostrarlo, con evidencia y papeles que cuadren. Si no puedes demostrarlo, es como si no lo hubieras hecho.</w:t>
            </w:r>
          </w:p>
        </w:tc>
      </w:tr>
    </w:tbl>
    <w:p>
      <w:pPr>
        <w:spacing w:after="120" w:before="0" w:line="286"/>
      </w:pPr>
      <w:r>
        <w:t xml:space="preserve">Por eso este libro insiste tanto en guardar pruebas: contratos, identificaciones, comprobantes de pago y reportes. La defensa ya no es de palabra; es documental.</w:t>
      </w:r>
    </w:p>
    <w:p>
      <w:pPr>
        <w:pStyle w:val="Heading2"/>
      </w:pPr>
      <w:r>
        <w:t xml:space="preserve">¿Esto me toca a mí?</w:t>
      </w:r>
    </w:p>
    <w:p>
      <w:pPr>
        <w:spacing w:after="120" w:before="0" w:line="286"/>
      </w:pPr>
      <w:r>
        <w:rPr>
          <w:b/>
          <w:bCs/>
        </w:rPr>
        <w:t xml:space="preserve">Actividad Vulnerable: </w:t>
      </w:r>
      <w:r>
        <w:t xml:space="preserve">es un negocio o servicio que la ley vigila porque se puede usar para lavar dinero. La lista completa está en el Artículo 17 (y la tienes resumida en la Parte 2 y en el Apéndice A).</w:t>
      </w:r>
    </w:p>
    <w:p>
      <w:pPr>
        <w:spacing w:after="120" w:before="0" w:line="286"/>
      </w:pPr>
      <w:r>
        <w:rPr>
          <w:b/>
          <w:bCs/>
        </w:rPr>
        <w:t xml:space="preserve">Sujeto obligado: </w:t>
      </w:r>
      <w:r>
        <w:t xml:space="preserve">eres tú, si haces una de esas actividades.</w:t>
      </w:r>
    </w:p>
    <w:p>
      <w:pPr>
        <w:spacing w:after="120" w:before="0" w:line="286"/>
      </w:pPr>
      <w:r>
        <w:t xml:space="preserve">Si te toca, tienes dos obligaciones base que conviene no confundir:</w:t>
      </w:r>
    </w:p>
    <w:p>
      <w:pPr>
        <w:pStyle w:val="ListParagraph"/>
        <w:numPr>
          <w:ilvl w:val="0"/>
          <w:numId w:val="2"/>
        </w:numPr>
        <w:spacing w:after="60" w:line="280"/>
      </w:pPr>
      <w:r>
        <w:rPr>
          <w:b/>
          <w:bCs/>
        </w:rPr>
        <w:t xml:space="preserve">Identificar: </w:t>
      </w:r>
      <w:r>
        <w:t xml:space="preserve">pedir y guardar los datos de tu cliente (quién es, a qué se dedica, y a veces de dónde sale su dinero).</w:t>
      </w:r>
    </w:p>
    <w:p>
      <w:pPr>
        <w:pStyle w:val="ListParagraph"/>
        <w:numPr>
          <w:ilvl w:val="0"/>
          <w:numId w:val="2"/>
        </w:numPr>
        <w:spacing w:after="60" w:line="280"/>
      </w:pPr>
      <w:r>
        <w:rPr>
          <w:b/>
          <w:bCs/>
        </w:rPr>
        <w:t xml:space="preserve">Dar Aviso: </w:t>
      </w:r>
      <w:r>
        <w:t xml:space="preserve">avisarle al SAT cuando una operación pasa cierto monto. El 'Aviso' es ese reporte.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6FB2" w:sz="24"/>
              <w:bottom w:val="none"/>
              <w:right w:val="none"/>
            </w:tcBorders>
            <w:shd w:fill="E9F1FA" w:val="clear"/>
            <w:tcMar>
              <w:top w:type="dxa" w:w="120"/>
              <w:left w:type="dxa" w:w="200"/>
              <w:bottom w:type="dxa" w:w="120"/>
              <w:right w:type="dxa" w:w="160"/>
            </w:tcMar>
          </w:tcPr>
          <w:p>
            <w:pPr>
              <w:spacing w:after="60"/>
            </w:pPr>
            <w:r>
              <w:rPr>
                <w:b/>
                <w:bCs/>
                <w:color w:val="1F6FB2"/>
                <w:sz w:val="19"/>
                <w:szCs w:val="19"/>
              </w:rPr>
              <w:t xml:space="preserve">OJO CON LA DIFERENCIA</w:t>
            </w:r>
          </w:p>
          <w:p>
            <w:pPr>
              <w:spacing w:after="0" w:before="0" w:line="286"/>
            </w:pPr>
            <w:r>
              <w:t xml:space="preserve">Identificar no es lo mismo que dar Aviso. En algunos giros identificas desde el primer peso, pero solo reportas (Aviso) cuando se pasa un monto. En cripto, por ejemplo, identificas siempre, sin importar el monto.</w:t>
            </w:r>
          </w:p>
        </w:tc>
      </w:tr>
    </w:tbl>
    <w:p>
      <w:pPr>
        <w:pStyle w:val="Heading2"/>
      </w:pPr>
      <w:r>
        <w:t xml:space="preserve">La línea de tiempo, sin complicarte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Cuándo</w:t>
            </w:r>
          </w:p>
        </w:tc>
        <w:tc>
          <w:tcPr>
            <w:tcW w:type="dxa" w:w="766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Qué pasa</w:t>
            </w:r>
          </w:p>
        </w:tc>
      </w:tr>
      <w:tr>
        <w:tc>
          <w:tcPr>
            <w:tcW w:type="dxa" w:w="17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16-17 jul 2025</w:t>
            </w:r>
          </w:p>
        </w:tc>
        <w:tc>
          <w:tcPr>
            <w:tcW w:type="dxa" w:w="76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Se publicó (16) y entró en vigor (17) la reforma a la Ley. Aquí empieza a contar el guardar papeles 10 años (antes eran 5).</w:t>
            </w:r>
          </w:p>
        </w:tc>
      </w:tr>
      <w:tr>
        <w:tc>
          <w:tcPr>
            <w:tcW w:type="dxa" w:w="17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27-30 mar 2026</w:t>
            </w:r>
          </w:p>
        </w:tc>
        <w:tc>
          <w:tcPr>
            <w:tcW w:type="dxa" w:w="76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Se publicó y entró en vigor el nuevo Reglamento.</w:t>
            </w:r>
          </w:p>
        </w:tc>
      </w:tr>
      <w:tr>
        <w:tc>
          <w:tcPr>
            <w:tcW w:type="dxa" w:w="17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7 ago 2026</w:t>
            </w:r>
          </w:p>
        </w:tc>
        <w:tc>
          <w:tcPr>
            <w:tcW w:type="dxa" w:w="76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Se publicaron las reglas con el detalle fino (RCG, Acuerdo 115/2026).</w:t>
            </w:r>
          </w:p>
        </w:tc>
      </w:tr>
      <w:tr>
        <w:tc>
          <w:tcPr>
            <w:tcW w:type="dxa" w:w="17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30 nov 2026</w:t>
            </w:r>
          </w:p>
        </w:tc>
        <w:tc>
          <w:tcPr>
            <w:tcW w:type="dxa" w:w="76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Entran en vigor las RCG. Cambia el expediente de empresas y fideicomisos: ya no basta que el cliente declare quién es el dueño real; tienes que identificarlo.</w:t>
            </w:r>
          </w:p>
        </w:tc>
      </w:tr>
      <w:tr>
        <w:tc>
          <w:tcPr>
            <w:tcW w:type="dxa" w:w="17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1 mar 2027</w:t>
            </w:r>
          </w:p>
        </w:tc>
        <w:tc>
          <w:tcPr>
            <w:tcW w:type="dxa" w:w="76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Tu evaluación de riesgo debe estar lista (hecha con los datos de 2026), junto con tu manual. Empiezas a clasificar a cada cliente por riesgo, a aplicar la lupa total y las nuevas reglas del dueño real.</w:t>
            </w:r>
          </w:p>
        </w:tc>
      </w:tr>
      <w:tr>
        <w:tc>
          <w:tcPr>
            <w:tcW w:type="dxa" w:w="17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1 jun 2027</w:t>
            </w:r>
          </w:p>
        </w:tc>
        <w:tc>
          <w:tcPr>
            <w:tcW w:type="dxa" w:w="76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Debes tener tu sistema automatizado de monitoreo.</w:t>
            </w:r>
          </w:p>
        </w:tc>
      </w:tr>
      <w:tr>
        <w:tc>
          <w:tcPr>
            <w:tcW w:type="dxa" w:w="17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Año 2027</w:t>
            </w:r>
          </w:p>
        </w:tc>
        <w:tc>
          <w:tcPr>
            <w:tcW w:type="dxa" w:w="76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Primer año obligatorio de capacitación.</w:t>
            </w:r>
          </w:p>
        </w:tc>
      </w:tr>
      <w:tr>
        <w:tc>
          <w:tcPr>
            <w:tcW w:type="dxa" w:w="17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Año 2028</w:t>
            </w:r>
          </w:p>
        </w:tc>
        <w:tc>
          <w:tcPr>
            <w:tcW w:type="dxa" w:w="76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Primer año que se audita. El dictamen se entrega a más tardar en marzo de 2029.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8860B" w:sz="24"/>
              <w:bottom w:val="none"/>
              <w:right w:val="none"/>
            </w:tcBorders>
            <w:shd w:fill="FBF3DD" w:val="clear"/>
            <w:tcMar>
              <w:top w:type="dxa" w:w="120"/>
              <w:left w:type="dxa" w:w="200"/>
              <w:bottom w:type="dxa" w:w="120"/>
              <w:right w:type="dxa" w:w="160"/>
            </w:tcMar>
          </w:tcPr>
          <w:p>
            <w:pPr>
              <w:spacing w:after="60"/>
            </w:pPr>
            <w:r>
              <w:rPr>
                <w:b/>
                <w:bCs/>
                <w:color w:val="B8860B"/>
                <w:sz w:val="19"/>
                <w:szCs w:val="19"/>
              </w:rPr>
              <w:t xml:space="preserve">LO QUE NO DEBES PENSAR</w:t>
            </w:r>
          </w:p>
          <w:p>
            <w:pPr>
              <w:spacing w:after="0" w:before="0" w:line="286"/>
            </w:pPr>
            <w:r>
              <w:t xml:space="preserve">Que las fechas fuertes caigan en 2027 no significa que tengas tiempo de sobra. Tu evaluación de riesgo de marzo de 2027 se arma con los datos de TODO 2026: lo que no registres hoy, no lo vas a tener entonces.</w:t>
            </w:r>
          </w:p>
        </w:tc>
      </w:tr>
    </w:tbl>
    <w:p>
      <w:pPr>
        <w:pStyle w:val="Heading2"/>
      </w:pPr>
      <w:r>
        <w:t xml:space="preserve">La idea nueva: pensar en riesgo (el semáforo)</w:t>
      </w:r>
    </w:p>
    <w:p>
      <w:pPr>
        <w:spacing w:after="120" w:before="0" w:line="286"/>
      </w:pPr>
      <w:r>
        <w:t xml:space="preserve">La ley ya no te pide solo llenar formatos. Te pide pensar: ¿qué tan fácil es que A MÍ me usen para lavar? A eso, en lenguaje técnico, le dicen Enfoque Basado en Riesgos. En cristiano: clasifica a tus clientes y operaciones con un semáforo.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360"/>
        <w:gridCol w:w="3100"/>
      </w:tblGrid>
      <w:tr>
        <w:trPr>
          <w:tblHeader/>
        </w:trPr>
        <w:tc>
          <w:tcPr>
            <w:tcW w:type="dxa" w:w="190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Luz</w:t>
            </w:r>
          </w:p>
        </w:tc>
        <w:tc>
          <w:tcPr>
            <w:tcW w:type="dxa" w:w="436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Qué significa</w:t>
            </w:r>
          </w:p>
        </w:tc>
        <w:tc>
          <w:tcPr>
            <w:tcW w:type="dxa" w:w="310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Qué haces</w:t>
            </w:r>
          </w:p>
        </w:tc>
      </w:tr>
      <w:tr>
        <w:tc>
          <w:tcPr>
            <w:tcW w:type="dxa" w:w="19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Verde (bajo)</w:t>
            </w:r>
          </w:p>
        </w:tc>
        <w:tc>
          <w:tcPr>
            <w:tcW w:type="dxa" w:w="43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Cliente conocido, paga por banco, todo cuadra con lo que hace.</w:t>
            </w:r>
          </w:p>
        </w:tc>
        <w:tc>
          <w:tcPr>
            <w:tcW w:type="dxa" w:w="31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Lo normal: identificas y guardas.</w:t>
            </w:r>
          </w:p>
        </w:tc>
      </w:tr>
      <w:tr>
        <w:tc>
          <w:tcPr>
            <w:tcW w:type="dxa" w:w="19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Amarillo (medio)</w:t>
            </w:r>
          </w:p>
        </w:tc>
        <w:tc>
          <w:tcPr>
            <w:tcW w:type="dxa" w:w="43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Algo no checa del todo. Vale la pena vigilarlo.</w:t>
            </w:r>
          </w:p>
        </w:tc>
        <w:tc>
          <w:tcPr>
            <w:tcW w:type="dxa" w:w="31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Pide un poco más y revisa antes de seguir.</w:t>
            </w:r>
          </w:p>
        </w:tc>
      </w:tr>
      <w:tr>
        <w:tc>
          <w:tcPr>
            <w:tcW w:type="dxa" w:w="19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Rojo (alto)</w:t>
            </w:r>
          </w:p>
        </w:tc>
        <w:tc>
          <w:tcPr>
            <w:tcW w:type="dxa" w:w="43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Efectivo, prisa, terceros raros, poder político.</w:t>
            </w:r>
          </w:p>
        </w:tc>
        <w:tc>
          <w:tcPr>
            <w:tcW w:type="dxa" w:w="31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Lupa total: más datos, más revisión, más vigilancia.</w:t>
            </w:r>
          </w:p>
        </w:tc>
      </w:tr>
    </w:tbl>
    <w:p>
      <w:pPr>
        <w:spacing w:after="120" w:before="0" w:line="286"/>
      </w:pPr>
      <w:r>
        <w:t xml:space="preserve">A esa lupa total para los clientes de alto riesgo se le llama </w:t>
      </w:r>
      <w:r>
        <w:rPr>
          <w:b/>
          <w:bCs/>
        </w:rPr>
        <w:t xml:space="preserve">Debida Diligencia Reforzada</w:t>
      </w:r>
      <w:r>
        <w:t xml:space="preserve">: pedir más información, revisar de dónde viene su dinero y seguir de cerca todas sus operaciones.</w:t>
      </w:r>
    </w:p>
    <w:p>
      <w:pPr>
        <w:spacing w:after="120" w:before="0" w:line="286"/>
      </w:pPr>
      <w:r>
        <w:t xml:space="preserve">Con las RCG esto ya no es opcional. Tienes que clasificar a cada cliente por lo menos en tres niveles —bajo, medio y alto— y revisar su clasificación como mínimo cada seis meses (más seguido si es de riesgo alto). Algunos clientes son de riesgo alto por regla, sin discusión: las personas con poder político de otro país (PEP extranjeras) y los no residentes ligados a paraísos fiscales o a países que no combaten bien el lavado.</w:t>
      </w:r>
    </w:p>
    <w:p>
      <w:pPr>
        <w:spacing w:after="120" w:before="0" w:line="286"/>
      </w:pPr>
      <w:r>
        <w:t xml:space="preserve">Y hay un segundo semáforo: el de tu negocio completo. Tu propia evaluación de riesgo decide, entre otras cosas, quién puede hacer tu auditoría y si puedes usar expedientes simplificados. No confundas los dos: un negocio de riesgo medio puede tener clientes de riesgo bajo, y al revés.</w:t>
      </w:r>
    </w:p>
    <w:p>
      <w:pPr>
        <w:pStyle w:val="Heading2"/>
      </w:pPr>
      <w:r>
        <w:t xml:space="preserve">Las palabras raras, en cristiano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Palabra</w:t>
            </w:r>
          </w:p>
        </w:tc>
        <w:tc>
          <w:tcPr>
            <w:tcW w:type="dxa" w:w="676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Qué quiere decir</w:t>
            </w:r>
          </w:p>
        </w:tc>
      </w:tr>
      <w:tr>
        <w:tc>
          <w:tcPr>
            <w:tcW w:type="dxa" w:w="26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Aviso</w:t>
            </w:r>
          </w:p>
        </w:tc>
        <w:tc>
          <w:tcPr>
            <w:tcW w:type="dxa" w:w="67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El reporte que mandas al SAT sobre una operación que pasó cierto monto.</w:t>
            </w:r>
          </w:p>
        </w:tc>
      </w:tr>
      <w:tr>
        <w:tc>
          <w:tcPr>
            <w:tcW w:type="dxa" w:w="26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UMA</w:t>
            </w:r>
          </w:p>
        </w:tc>
        <w:tc>
          <w:tcPr>
            <w:tcW w:type="dxa" w:w="67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Una unidad que vale $117.31 al día en 2026. La ley mide los montos en UMA en vez de pesos para que no se queden desactualizados.</w:t>
            </w:r>
          </w:p>
        </w:tc>
      </w:tr>
      <w:tr>
        <w:tc>
          <w:tcPr>
            <w:tcW w:type="dxa" w:w="26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Sujeto obligado</w:t>
            </w:r>
          </w:p>
        </w:tc>
        <w:tc>
          <w:tcPr>
            <w:tcW w:type="dxa" w:w="67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Tú, si haces una Actividad Vulnerable.</w:t>
            </w:r>
          </w:p>
        </w:tc>
      </w:tr>
      <w:tr>
        <w:tc>
          <w:tcPr>
            <w:tcW w:type="dxa" w:w="26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Beneficiario Controlador</w:t>
            </w:r>
          </w:p>
        </w:tc>
        <w:tc>
          <w:tcPr>
            <w:tcW w:type="dxa" w:w="67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La persona de carne y hueso que de verdad manda o se queda con el dinero detrás de una empresa.</w:t>
            </w:r>
          </w:p>
        </w:tc>
      </w:tr>
      <w:tr>
        <w:tc>
          <w:tcPr>
            <w:tcW w:type="dxa" w:w="26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PEP</w:t>
            </w:r>
          </w:p>
        </w:tc>
        <w:tc>
          <w:tcPr>
            <w:tcW w:type="dxa" w:w="67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Persona con poder político (o sus familiares y socios), que merece más cuidado.</w:t>
            </w:r>
          </w:p>
        </w:tc>
      </w:tr>
      <w:tr>
        <w:tc>
          <w:tcPr>
            <w:tcW w:type="dxa" w:w="26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SPPLD</w:t>
            </w:r>
          </w:p>
        </w:tc>
        <w:tc>
          <w:tcPr>
            <w:tcW w:type="dxa" w:w="67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El portal del SAT donde te das de alta y mandas tus Avisos.</w:t>
            </w:r>
          </w:p>
        </w:tc>
      </w:tr>
      <w:tr>
        <w:tc>
          <w:tcPr>
            <w:tcW w:type="dxa" w:w="26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RCG</w:t>
            </w:r>
          </w:p>
        </w:tc>
        <w:tc>
          <w:tcPr>
            <w:tcW w:type="dxa" w:w="67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Reglas de Carácter General: el detalle fino. Se publicaron el 7 de agosto de 2026 y entran en vigor el 30 de noviembre de 2026.</w:t>
            </w:r>
          </w:p>
        </w:tc>
      </w:tr>
      <w:tr>
        <w:tc>
          <w:tcPr>
            <w:tcW w:type="dxa" w:w="26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Grado de Riesgo</w:t>
            </w:r>
          </w:p>
        </w:tc>
        <w:tc>
          <w:tcPr>
            <w:tcW w:type="dxa" w:w="67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La calificación (bajo, medio o alto) que le pones a cada cliente.</w:t>
            </w:r>
          </w:p>
        </w:tc>
      </w:tr>
    </w:tbl>
    <w:p>
      <w:r>
        <w:br w:type="page"/>
      </w:r>
    </w:p>
    <w:p>
      <w:pPr>
        <w:pStyle w:val="Heading1"/>
      </w:pPr>
      <w:r>
        <w:t xml:space="preserve">Parte 2. Atlas de riesgo: encuentra tu actividad</w:t>
      </w:r>
    </w:p>
    <w:p>
      <w:pPr>
        <w:spacing w:after="120" w:before="0" w:line="286"/>
      </w:pPr>
      <w:r>
        <w:t xml:space="preserve">Esta es la parte más importante del libro. Cada giro tiene su propia ficha de dos páginas con lo mismo: por qué te vigilan, desde qué monto te metes en obligaciones, qué cambió con la reforma, los focos rojos, una regla de oro y tu lista del lunes.</w:t>
      </w:r>
    </w:p>
    <w:p>
      <w:pPr>
        <w:spacing w:after="120" w:before="0" w:line="286"/>
      </w:pPr>
      <w:r>
        <w:t xml:space="preserve">Primero, encuéntrate en esta tabla. Luego ve directo a tu ficha.</w:t>
      </w:r>
    </w:p>
    <w:p>
      <w:pPr>
        <w:spacing w:after="120" w:before="0" w:line="286"/>
      </w:pPr>
      <w:r>
        <w:rPr>
          <w:b/>
          <w:bCs/>
        </w:rPr>
        <w:t xml:space="preserve">Vale para todos los giros:</w:t>
      </w:r>
      <w:r>
        <w:t xml:space="preserve"> además de lo que dice tu ficha, desde el 1 de marzo de 2027 todos tienen que tener su evaluación de riesgo, clasificar a sus clientes (bajo, medio o alto) e identificar al dueño real con las reglas nuevas. Lo ves en las Partes 3 y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60"/>
        <w:gridCol w:w="2700"/>
      </w:tblGrid>
      <w:tr>
        <w:trPr>
          <w:tblHeader/>
        </w:trPr>
        <w:tc>
          <w:tcPr>
            <w:tcW w:type="dxa" w:w="666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Si tú...</w:t>
            </w:r>
          </w:p>
        </w:tc>
        <w:tc>
          <w:tcPr>
            <w:tcW w:type="dxa" w:w="270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Tu actividad es</w:t>
            </w:r>
          </w:p>
        </w:tc>
      </w:tr>
      <w:tr>
        <w:tc>
          <w:tcPr>
            <w:tcW w:type="dxa" w:w="66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Vendes, construyes o desarrollas inmuebles</w:t>
            </w:r>
          </w:p>
        </w:tc>
        <w:tc>
          <w:tcPr>
            <w:tcW w:type="dxa" w:w="27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Fracción V y V Bis</w:t>
            </w:r>
          </w:p>
        </w:tc>
      </w:tr>
      <w:tr>
        <w:tc>
          <w:tcPr>
            <w:tcW w:type="dxa" w:w="66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Eres notario o corredor público</w:t>
            </w:r>
          </w:p>
        </w:tc>
        <w:tc>
          <w:tcPr>
            <w:tcW w:type="dxa" w:w="27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Fracción XII</w:t>
            </w:r>
          </w:p>
        </w:tc>
      </w:tr>
      <w:tr>
        <w:tc>
          <w:tcPr>
            <w:tcW w:type="dxa" w:w="66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Vendes joyas, relojes, oro o piedras preciosas</w:t>
            </w:r>
          </w:p>
        </w:tc>
        <w:tc>
          <w:tcPr>
            <w:tcW w:type="dxa" w:w="27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Fracción VI</w:t>
            </w:r>
          </w:p>
        </w:tc>
      </w:tr>
      <w:tr>
        <w:tc>
          <w:tcPr>
            <w:tcW w:type="dxa" w:w="66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Vendes autos, aviones o barcos</w:t>
            </w:r>
          </w:p>
        </w:tc>
        <w:tc>
          <w:tcPr>
            <w:tcW w:type="dxa" w:w="27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Fracción VIII</w:t>
            </w:r>
          </w:p>
        </w:tc>
      </w:tr>
      <w:tr>
        <w:tc>
          <w:tcPr>
            <w:tcW w:type="dxa" w:w="66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Comercias o subastas obras de arte</w:t>
            </w:r>
          </w:p>
        </w:tc>
        <w:tc>
          <w:tcPr>
            <w:tcW w:type="dxa" w:w="27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Fracción VII</w:t>
            </w:r>
          </w:p>
        </w:tc>
      </w:tr>
      <w:tr>
        <w:tc>
          <w:tcPr>
            <w:tcW w:type="dxa" w:w="66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Blindas autos o inmuebles</w:t>
            </w:r>
          </w:p>
        </w:tc>
        <w:tc>
          <w:tcPr>
            <w:tcW w:type="dxa" w:w="27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Fracción IX</w:t>
            </w:r>
          </w:p>
        </w:tc>
      </w:tr>
      <w:tr>
        <w:tc>
          <w:tcPr>
            <w:tcW w:type="dxa" w:w="66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Prestas dinero sin ser banco</w:t>
            </w:r>
          </w:p>
        </w:tc>
        <w:tc>
          <w:tcPr>
            <w:tcW w:type="dxa" w:w="27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Fracción IV</w:t>
            </w:r>
          </w:p>
        </w:tc>
      </w:tr>
      <w:tr>
        <w:tc>
          <w:tcPr>
            <w:tcW w:type="dxa" w:w="66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Emites tarjetas, prepagadas o monederos</w:t>
            </w:r>
          </w:p>
        </w:tc>
        <w:tc>
          <w:tcPr>
            <w:tcW w:type="dxa" w:w="27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Fracción II</w:t>
            </w:r>
          </w:p>
        </w:tc>
      </w:tr>
      <w:tr>
        <w:tc>
          <w:tcPr>
            <w:tcW w:type="dxa" w:w="66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Vendes cheques de viajero</w:t>
            </w:r>
          </w:p>
        </w:tc>
        <w:tc>
          <w:tcPr>
            <w:tcW w:type="dxa" w:w="27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Fracción III</w:t>
            </w:r>
          </w:p>
        </w:tc>
      </w:tr>
      <w:tr>
        <w:tc>
          <w:tcPr>
            <w:tcW w:type="dxa" w:w="66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Operas casino, sorteo o concurso</w:t>
            </w:r>
          </w:p>
        </w:tc>
        <w:tc>
          <w:tcPr>
            <w:tcW w:type="dxa" w:w="27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Fracción I</w:t>
            </w:r>
          </w:p>
        </w:tc>
      </w:tr>
      <w:tr>
        <w:tc>
          <w:tcPr>
            <w:tcW w:type="dxa" w:w="66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Eres contador, abogado o asesor</w:t>
            </w:r>
          </w:p>
        </w:tc>
        <w:tc>
          <w:tcPr>
            <w:tcW w:type="dxa" w:w="27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Fracción XI</w:t>
            </w:r>
          </w:p>
        </w:tc>
      </w:tr>
      <w:tr>
        <w:tc>
          <w:tcPr>
            <w:tcW w:type="dxa" w:w="66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Eres facilitador, mediador o conciliador</w:t>
            </w:r>
          </w:p>
        </w:tc>
        <w:tc>
          <w:tcPr>
            <w:tcW w:type="dxa" w:w="27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Fracción XII (nuevo)</w:t>
            </w:r>
          </w:p>
        </w:tc>
      </w:tr>
      <w:tr>
        <w:tc>
          <w:tcPr>
            <w:tcW w:type="dxa" w:w="66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Tu asociación o fundación recibe donativos</w:t>
            </w:r>
          </w:p>
        </w:tc>
        <w:tc>
          <w:tcPr>
            <w:tcW w:type="dxa" w:w="27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Fracción XIII</w:t>
            </w:r>
          </w:p>
        </w:tc>
      </w:tr>
      <w:tr>
        <w:tc>
          <w:tcPr>
            <w:tcW w:type="dxa" w:w="66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Trasladas o custodias dinero o valores</w:t>
            </w:r>
          </w:p>
        </w:tc>
        <w:tc>
          <w:tcPr>
            <w:tcW w:type="dxa" w:w="27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Fracción X</w:t>
            </w:r>
          </w:p>
        </w:tc>
      </w:tr>
      <w:tr>
        <w:tc>
          <w:tcPr>
            <w:tcW w:type="dxa" w:w="66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Importas o exportas bienes de valor</w:t>
            </w:r>
          </w:p>
        </w:tc>
        <w:tc>
          <w:tcPr>
            <w:tcW w:type="dxa" w:w="27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Fracción XIV</w:t>
            </w:r>
          </w:p>
        </w:tc>
      </w:tr>
      <w:tr>
        <w:tc>
          <w:tcPr>
            <w:tcW w:type="dxa" w:w="66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Rentas inmuebles</w:t>
            </w:r>
          </w:p>
        </w:tc>
        <w:tc>
          <w:tcPr>
            <w:tcW w:type="dxa" w:w="27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Fracción XV</w:t>
            </w:r>
          </w:p>
        </w:tc>
      </w:tr>
      <w:tr>
        <w:tc>
          <w:tcPr>
            <w:tcW w:type="dxa" w:w="66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Operas con criptomonedas</w:t>
            </w:r>
          </w:p>
        </w:tc>
        <w:tc>
          <w:tcPr>
            <w:tcW w:type="dxa" w:w="27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Fracción XVI</w:t>
            </w:r>
          </w:p>
        </w:tc>
      </w:tr>
    </w:tbl>
    <w:p>
      <w:pPr>
        <w:spacing w:after="160"/>
      </w:pPr>
      <w:r>
        <w:t xml:space="preserve"/>
      </w:r>
    </w:p>
    <w:p>
      <w:pPr>
        <w:pStyle w:val="Heading2"/>
        <w:keepNext/>
        <w:keepLines/>
      </w:pPr>
      <w:r>
        <w:t xml:space="preserve">Inmuebles: vender, construir o desarrollar</w:t>
      </w:r>
    </w:p>
    <w:p>
      <w:pPr>
        <w:spacing w:after="80" w:before="0" w:line="286"/>
      </w:pPr>
      <w:r>
        <w:rPr>
          <w:b/>
          <w:bCs/>
          <w:color w:val="9E1B1B"/>
          <w:sz w:val="19"/>
          <w:szCs w:val="19"/>
        </w:rPr>
        <w:t xml:space="preserve">Artículo 17, Fracción V y V Bis</w:t>
      </w:r>
    </w:p>
    <w:p>
      <w:pPr>
        <w:spacing w:after="120" w:before="0" w:line="286"/>
      </w:pPr>
      <w:r>
        <w:rPr>
          <w:b/>
          <w:bCs/>
          <w:sz w:val="23"/>
          <w:szCs w:val="23"/>
        </w:rPr>
        <w:t xml:space="preserve">¿Construyes, vendes o comercializas casas, departamentos o terrenos? ¿Recibes dinero de inversionistas para un desarrollo?</w:t>
      </w:r>
    </w:p>
    <w:p>
      <w:pPr>
        <w:spacing w:after="120" w:before="0" w:line="286"/>
      </w:pPr>
      <w:r>
        <w:rPr>
          <w:b/>
          <w:bCs/>
        </w:rPr>
        <w:t xml:space="preserve">Por qué te vigilan. </w:t>
      </w:r>
      <w:r>
        <w:t xml:space="preserve">El inmueble es el lavadero favorito a gran escala: una sola operación mueve muchísimo dinero, el valor sube con el tiempo y es fácil esconder quién es el dueño real detrás de una empresa. Por eso la autoridad lo vigila de cerca.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Cómo te usan</w:t>
            </w:r>
          </w:p>
        </w:tc>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Por qué pueden</w:t>
            </w:r>
          </w:p>
        </w:tc>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Qué te cuesta</w:t>
            </w:r>
          </w:p>
        </w:tc>
      </w:tr>
      <w:tr>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Meten o disfrazan dinero sucio en una compraventa.</w:t>
            </w:r>
          </w:p>
        </w:tc>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Montos altos y pagos que se pueden fragmentar.</w:t>
            </w:r>
          </w:p>
        </w:tc>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Sobrevaluación, lavado y sanciones.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AA7B2" w:sz="4"/>
              <w:left w:val="single" w:color="9AA7B2" w:sz="4"/>
              <w:bottom w:val="single" w:color="9AA7B2" w:sz="4"/>
              <w:right w:val="single" w:color="9AA7B2" w:sz="4"/>
            </w:tcBorders>
            <w:shd w:fill="EEF1F4" w:val="clear"/>
            <w:tcMar>
              <w:top w:type="dxa" w:w="100"/>
              <w:left w:type="dxa" w:w="160"/>
              <w:bottom w:type="dxa" w:w="100"/>
              <w:right w:type="dxa" w:w="120"/>
            </w:tcMar>
          </w:tcPr>
          <w:p>
            <w:pPr>
              <w:spacing w:after="40"/>
            </w:pPr>
            <w:r>
              <w:rPr>
                <w:b/>
                <w:bCs/>
                <w:color w:val="555555"/>
                <w:sz w:val="17"/>
                <w:szCs w:val="17"/>
              </w:rPr>
              <w:t xml:space="preserve">Pides identificacion desde</w:t>
            </w:r>
          </w:p>
          <w:p>
            <w:r>
              <w:rPr>
                <w:b/>
                <w:bCs/>
                <w:color w:val="1A1A1A"/>
                <w:sz w:val="22"/>
                <w:szCs w:val="22"/>
              </w:rPr>
              <w:t xml:space="preserve">Siempre que vendas o comercialices (no hay piso).</w:t>
            </w:r>
          </w:p>
        </w:tc>
        <w:tc>
          <w:tcPr>
            <w:tcW w:type="dxa" w:w="4680"/>
            <w:tcBorders>
              <w:top w:val="single" w:color="9AA7B2" w:sz="4"/>
              <w:left w:val="single" w:color="9AA7B2" w:sz="4"/>
              <w:bottom w:val="single" w:color="9AA7B2" w:sz="4"/>
              <w:right w:val="single" w:color="9AA7B2" w:sz="4"/>
            </w:tcBorders>
            <w:shd w:fill="EEF1F4" w:val="clear"/>
            <w:tcMar>
              <w:top w:type="dxa" w:w="100"/>
              <w:left w:type="dxa" w:w="160"/>
              <w:bottom w:type="dxa" w:w="100"/>
              <w:right w:type="dxa" w:w="120"/>
            </w:tcMar>
          </w:tcPr>
          <w:p>
            <w:pPr>
              <w:spacing w:after="40"/>
            </w:pPr>
            <w:r>
              <w:rPr>
                <w:b/>
                <w:bCs/>
                <w:color w:val="555555"/>
                <w:sz w:val="17"/>
                <w:szCs w:val="17"/>
              </w:rPr>
              <w:t xml:space="preserve">Reportas al SAT (Aviso) desde</w:t>
            </w:r>
          </w:p>
          <w:p>
            <w:r>
              <w:rPr>
                <w:b/>
                <w:bCs/>
                <w:color w:val="1A1A1A"/>
                <w:sz w:val="22"/>
                <w:szCs w:val="22"/>
              </w:rPr>
              <w:t xml:space="preserve">$941,413 (8,025 UMA). Igual si recibes recursos para un desarrollo.</w:t>
            </w:r>
          </w:p>
        </w:tc>
      </w:tr>
    </w:tbl>
    <w:p>
      <w:pPr>
        <w:spacing w:after="40"/>
      </w:pPr>
      <w:r>
        <w:t xml:space="preserve"/>
      </w:r>
    </w:p>
    <w:p>
      <w:pPr>
        <w:spacing w:after="120" w:before="40" w:line="286"/>
      </w:pPr>
      <w:r>
        <w:rPr>
          <w:b/>
          <w:bCs/>
        </w:rPr>
        <w:t xml:space="preserve">Qué cambió con la reforma. </w:t>
      </w:r>
      <w:r>
        <w:t xml:space="preserve">Lo nuevo: ahora también es Actividad Vulnerable RECIBIR dinero para un desarrollo inmobiliario (Fracción V Bis). Si juntas aportaciones de inversionistas para construir y luego vender o rentar, ya estás dentro, aunque no seas el que escritura.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777777" w:sz="24"/>
              <w:bottom w:val="none"/>
              <w:right w:val="none"/>
            </w:tcBorders>
            <w:shd w:fill="EEF1F4" w:val="clear"/>
            <w:tcMar>
              <w:top w:type="dxa" w:w="120"/>
              <w:left w:type="dxa" w:w="200"/>
              <w:bottom w:type="dxa" w:w="120"/>
              <w:right w:type="dxa" w:w="160"/>
            </w:tcMar>
          </w:tcPr>
          <w:p>
            <w:pPr>
              <w:spacing w:after="60"/>
            </w:pPr>
            <w:r>
              <w:rPr>
                <w:b/>
                <w:bCs/>
                <w:color w:val="777777"/>
                <w:sz w:val="19"/>
                <w:szCs w:val="19"/>
              </w:rPr>
              <w:t xml:space="preserve">SEMÁFORO DE RIESGO</w:t>
            </w:r>
          </w:p>
          <w:p>
            <w:pPr>
              <w:spacing w:after="40" w:before="0" w:line="286"/>
            </w:pPr>
            <w:r>
              <w:rPr>
                <w:b/>
                <w:bCs/>
                <w:color w:val="C1272D"/>
              </w:rPr>
              <w:t xml:space="preserve">Más riesgo: </w:t>
            </w:r>
            <w:r>
              <w:t xml:space="preserve">Preventa pagada en efectivo, varios inversionistas sin identificar, inmueble de lujo.</w:t>
            </w:r>
          </w:p>
          <w:p>
            <w:pPr>
              <w:spacing w:after="0" w:before="0" w:line="286"/>
            </w:pPr>
            <w:r>
              <w:rPr>
                <w:b/>
                <w:bCs/>
                <w:color w:val="2E7D32"/>
              </w:rPr>
              <w:t xml:space="preserve">Menos riesgo: </w:t>
            </w:r>
            <w:r>
              <w:t xml:space="preserve">Vivienda con crédito bancario y pagos que se pueden rastrear.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5B7C99" w:sz="24"/>
              <w:bottom w:val="none"/>
              <w:right w:val="none"/>
            </w:tcBorders>
            <w:shd w:fill="EFF3F7" w:val="clear"/>
            <w:tcMar>
              <w:top w:type="dxa" w:w="120"/>
              <w:left w:type="dxa" w:w="200"/>
              <w:bottom w:type="dxa" w:w="120"/>
              <w:right w:type="dxa" w:w="160"/>
            </w:tcMar>
          </w:tcPr>
          <w:p>
            <w:pPr>
              <w:spacing w:after="60"/>
            </w:pPr>
            <w:r>
              <w:rPr>
                <w:b/>
                <w:bCs/>
                <w:color w:val="5B7C99"/>
                <w:sz w:val="19"/>
                <w:szCs w:val="19"/>
              </w:rPr>
              <w:t xml:space="preserve">UN CASO REAL</w:t>
            </w:r>
          </w:p>
          <w:p>
            <w:pPr>
              <w:spacing w:after="0" w:before="0" w:line="286"/>
            </w:pPr>
            <w:r>
              <w:t xml:space="preserve">Un comprador quiere una casa de lujo, paga el enganche en efectivo y el resto desde la cuenta de una empresa creada hace un mes en otro estado. No regatea y quiere firmar ya.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1272D" w:sz="24"/>
              <w:bottom w:val="none"/>
              <w:right w:val="none"/>
            </w:tcBorders>
            <w:shd w:fill="FBEAE8" w:val="clear"/>
            <w:tcMar>
              <w:top w:type="dxa" w:w="120"/>
              <w:left w:type="dxa" w:w="200"/>
              <w:bottom w:type="dxa" w:w="120"/>
              <w:right w:type="dxa" w:w="160"/>
            </w:tcMar>
          </w:tcPr>
          <w:p>
            <w:pPr>
              <w:spacing w:after="60"/>
            </w:pPr>
            <w:r>
              <w:rPr>
                <w:b/>
                <w:bCs/>
                <w:color w:val="C1272D"/>
                <w:sz w:val="19"/>
                <w:szCs w:val="19"/>
              </w:rPr>
              <w:t xml:space="preserve">FOCOS ROJOS (si ves esto, prende la antena)</w:t>
            </w:r>
          </w:p>
          <w:p>
            <w:pPr>
              <w:pStyle w:val="ListParagraph"/>
              <w:numPr>
                <w:ilvl w:val="0"/>
                <w:numId w:val="2"/>
              </w:numPr>
              <w:spacing w:after="60" w:line="280"/>
            </w:pPr>
            <w:r>
              <w:t xml:space="preserve">El cliente tiene prisa por cerrar y casi no le interesa la propiedad.</w:t>
            </w:r>
          </w:p>
          <w:p>
            <w:pPr>
              <w:pStyle w:val="ListParagraph"/>
              <w:numPr>
                <w:ilvl w:val="0"/>
                <w:numId w:val="2"/>
              </w:numPr>
              <w:spacing w:after="60" w:line="280"/>
            </w:pPr>
            <w:r>
              <w:t xml:space="preserve">El dinero llega de un tercero que no tiene relación con el comprador.</w:t>
            </w:r>
          </w:p>
          <w:p>
            <w:pPr>
              <w:pStyle w:val="ListParagraph"/>
              <w:numPr>
                <w:ilvl w:val="0"/>
                <w:numId w:val="2"/>
              </w:numPr>
              <w:spacing w:after="60" w:line="280"/>
            </w:pPr>
            <w:r>
              <w:t xml:space="preserve">Quieren escriturar muy por debajo o muy por encima del valor real.</w:t>
            </w:r>
          </w:p>
          <w:p>
            <w:pPr>
              <w:pStyle w:val="ListParagraph"/>
              <w:numPr>
                <w:ilvl w:val="0"/>
                <w:numId w:val="2"/>
              </w:numPr>
              <w:spacing w:after="60" w:line="280"/>
            </w:pPr>
            <w:r>
              <w:t xml:space="preserve">La empresa compradora se creó hace unas semanas y nadie sabe quién está detrás.</w:t>
            </w:r>
          </w:p>
          <w:p>
            <w:pPr>
              <w:pStyle w:val="ListParagraph"/>
              <w:numPr>
                <w:ilvl w:val="0"/>
                <w:numId w:val="2"/>
              </w:numPr>
              <w:spacing w:after="60" w:line="280"/>
            </w:pPr>
            <w:r>
              <w:t xml:space="preserve">Insisten en pagar una parte en efectivo.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8860B" w:sz="24"/>
              <w:bottom w:val="none"/>
              <w:right w:val="none"/>
            </w:tcBorders>
            <w:shd w:fill="FBF3DD" w:val="clear"/>
            <w:tcMar>
              <w:top w:type="dxa" w:w="120"/>
              <w:left w:type="dxa" w:w="200"/>
              <w:bottom w:type="dxa" w:w="120"/>
              <w:right w:type="dxa" w:w="160"/>
            </w:tcMar>
          </w:tcPr>
          <w:p>
            <w:pPr>
              <w:spacing w:after="60"/>
            </w:pPr>
            <w:r>
              <w:rPr>
                <w:b/>
                <w:bCs/>
                <w:color w:val="B8860B"/>
                <w:sz w:val="19"/>
                <w:szCs w:val="19"/>
              </w:rPr>
              <w:t xml:space="preserve">REGLA DE ORO</w:t>
            </w:r>
          </w:p>
          <w:p>
            <w:pPr>
              <w:spacing w:after="0" w:before="0" w:line="286"/>
            </w:pPr>
            <w:r>
              <w:t xml:space="preserve">No basta saber quién firma; necesitas saber de dónde salió el dinero.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6FB2" w:sz="24"/>
              <w:bottom w:val="none"/>
              <w:right w:val="none"/>
            </w:tcBorders>
            <w:shd w:fill="E9F1FA" w:val="clear"/>
            <w:tcMar>
              <w:top w:type="dxa" w:w="120"/>
              <w:left w:type="dxa" w:w="200"/>
              <w:bottom w:type="dxa" w:w="120"/>
              <w:right w:type="dxa" w:w="160"/>
            </w:tcMar>
          </w:tcPr>
          <w:p>
            <w:pPr>
              <w:spacing w:after="60"/>
            </w:pPr>
            <w:r>
              <w:rPr>
                <w:b/>
                <w:bCs/>
                <w:color w:val="1F6FB2"/>
                <w:sz w:val="19"/>
                <w:szCs w:val="19"/>
              </w:rPr>
              <w:t xml:space="preserve">EL LUNES POR LA MAÑANA</w:t>
            </w:r>
          </w:p>
          <w:p>
            <w:pPr>
              <w:pStyle w:val="ListParagraph"/>
              <w:numPr>
                <w:ilvl w:val="0"/>
                <w:numId w:val="2"/>
              </w:numPr>
              <w:spacing w:after="60" w:line="280"/>
            </w:pPr>
            <w:r>
              <w:t xml:space="preserve">Arma un expediente por operación con identificación y comprobante del origen de los fondos.</w:t>
            </w:r>
          </w:p>
          <w:p>
            <w:pPr>
              <w:pStyle w:val="ListParagraph"/>
              <w:numPr>
                <w:ilvl w:val="0"/>
                <w:numId w:val="2"/>
              </w:numPr>
              <w:spacing w:after="60" w:line="280"/>
            </w:pPr>
            <w:r>
              <w:t xml:space="preserve">Revisa que el monto que reportas cuadre con la factura (CFDI) que emites.</w:t>
            </w:r>
          </w:p>
        </w:tc>
      </w:tr>
    </w:tbl>
    <w:p>
      <w:pPr>
        <w:spacing w:after="160"/>
      </w:pPr>
      <w:r>
        <w:t xml:space="preserve"/>
      </w:r>
    </w:p>
    <w:p>
      <w:pPr>
        <w:pStyle w:val="Heading2"/>
        <w:keepNext/>
        <w:keepLines/>
      </w:pPr>
      <w:r>
        <w:t xml:space="preserve">Notarios y corredores públicos</w:t>
      </w:r>
    </w:p>
    <w:p>
      <w:pPr>
        <w:spacing w:after="80" w:before="0" w:line="286"/>
      </w:pPr>
      <w:r>
        <w:rPr>
          <w:b/>
          <w:bCs/>
          <w:color w:val="9E1B1B"/>
          <w:sz w:val="19"/>
          <w:szCs w:val="19"/>
        </w:rPr>
        <w:t xml:space="preserve">Artículo 17, Fracción XII</w:t>
      </w:r>
    </w:p>
    <w:p>
      <w:pPr>
        <w:spacing w:after="120" w:before="0" w:line="286"/>
      </w:pPr>
      <w:r>
        <w:rPr>
          <w:b/>
          <w:bCs/>
          <w:sz w:val="23"/>
          <w:szCs w:val="23"/>
        </w:rPr>
        <w:t xml:space="preserve">¿Eres notario o corredor público?</w:t>
      </w:r>
    </w:p>
    <w:p>
      <w:pPr>
        <w:spacing w:after="120" w:before="0" w:line="286"/>
      </w:pPr>
      <w:r>
        <w:rPr>
          <w:b/>
          <w:bCs/>
        </w:rPr>
        <w:t xml:space="preserve">Por qué te vigilan. </w:t>
      </w:r>
      <w:r>
        <w:t xml:space="preserve">Tu firma le da legalidad a las cosas, y por eso el que lava te busca: quiere que su operación quede 'limpia' con un acto formal y oficial.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Cómo te usan</w:t>
            </w:r>
          </w:p>
        </w:tc>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Por qué pueden</w:t>
            </w:r>
          </w:p>
        </w:tc>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Qué te cuesta</w:t>
            </w:r>
          </w:p>
        </w:tc>
      </w:tr>
      <w:tr>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Usan tu escritura para legitimar recursos ilícitos.</w:t>
            </w:r>
          </w:p>
        </w:tc>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Tus actos mueven mucho valor.</w:t>
            </w:r>
          </w:p>
        </w:tc>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Multas y aviso a quien supervisa tu fe pública (art. 58).</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AA7B2" w:sz="4"/>
              <w:left w:val="single" w:color="9AA7B2" w:sz="4"/>
              <w:bottom w:val="single" w:color="9AA7B2" w:sz="4"/>
              <w:right w:val="single" w:color="9AA7B2" w:sz="4"/>
            </w:tcBorders>
            <w:shd w:fill="EEF1F4" w:val="clear"/>
            <w:tcMar>
              <w:top w:type="dxa" w:w="100"/>
              <w:left w:type="dxa" w:w="160"/>
              <w:bottom w:type="dxa" w:w="100"/>
              <w:right w:type="dxa" w:w="120"/>
            </w:tcMar>
          </w:tcPr>
          <w:p>
            <w:pPr>
              <w:spacing w:after="40"/>
            </w:pPr>
            <w:r>
              <w:rPr>
                <w:b/>
                <w:bCs/>
                <w:color w:val="555555"/>
                <w:sz w:val="17"/>
                <w:szCs w:val="17"/>
              </w:rPr>
              <w:t xml:space="preserve">Pides identificacion desde</w:t>
            </w:r>
          </w:p>
          <w:p>
            <w:r>
              <w:rPr>
                <w:b/>
                <w:bCs/>
                <w:color w:val="1A1A1A"/>
                <w:sz w:val="22"/>
                <w:szCs w:val="22"/>
              </w:rPr>
              <w:t xml:space="preserve">Siempre (la mayoría de tus actos se identifican sin importar el monto).</w:t>
            </w:r>
          </w:p>
        </w:tc>
        <w:tc>
          <w:tcPr>
            <w:tcW w:type="dxa" w:w="4680"/>
            <w:tcBorders>
              <w:top w:val="single" w:color="9AA7B2" w:sz="4"/>
              <w:left w:val="single" w:color="9AA7B2" w:sz="4"/>
              <w:bottom w:val="single" w:color="9AA7B2" w:sz="4"/>
              <w:right w:val="single" w:color="9AA7B2" w:sz="4"/>
            </w:tcBorders>
            <w:shd w:fill="EEF1F4" w:val="clear"/>
            <w:tcMar>
              <w:top w:type="dxa" w:w="100"/>
              <w:left w:type="dxa" w:w="160"/>
              <w:bottom w:type="dxa" w:w="100"/>
              <w:right w:type="dxa" w:w="120"/>
            </w:tcMar>
          </w:tcPr>
          <w:p>
            <w:pPr>
              <w:spacing w:after="40"/>
            </w:pPr>
            <w:r>
              <w:rPr>
                <w:b/>
                <w:bCs/>
                <w:color w:val="555555"/>
                <w:sz w:val="17"/>
                <w:szCs w:val="17"/>
              </w:rPr>
              <w:t xml:space="preserve">Reportas al SAT (Aviso) desde</w:t>
            </w:r>
          </w:p>
          <w:p>
            <w:r>
              <w:rPr>
                <w:b/>
                <w:bCs/>
                <w:color w:val="1A1A1A"/>
                <w:sz w:val="22"/>
                <w:szCs w:val="22"/>
              </w:rPr>
              <w:t xml:space="preserve">Inmuebles: $938,480 (8,000 UMA). Fideicomisos: $469,240 (4,000 UMA). Poderes irrevocables: siempre.</w:t>
            </w:r>
          </w:p>
        </w:tc>
      </w:tr>
    </w:tbl>
    <w:p>
      <w:pPr>
        <w:spacing w:after="40"/>
      </w:pPr>
      <w:r>
        <w:t xml:space="preserve"/>
      </w:r>
    </w:p>
    <w:p>
      <w:pPr>
        <w:spacing w:after="120" w:before="40" w:line="286"/>
      </w:pPr>
      <w:r>
        <w:rPr>
          <w:b/>
          <w:bCs/>
        </w:rPr>
        <w:t xml:space="preserve">Qué cambió con la reforma. </w:t>
      </w:r>
      <w:r>
        <w:t xml:space="preserve">Lo más importante: bajó el monto desde el cual reportas la compraventa de inmuebles (antes 16,000 salarios mínimos, ahora 8,000 UMA). Vas a mandar muchos más Avisos que antes. Además entran como nuevos sujetos los facilitadores de solución de controversias, con tus mismas reglas.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777777" w:sz="24"/>
              <w:bottom w:val="none"/>
              <w:right w:val="none"/>
            </w:tcBorders>
            <w:shd w:fill="EEF1F4" w:val="clear"/>
            <w:tcMar>
              <w:top w:type="dxa" w:w="120"/>
              <w:left w:type="dxa" w:w="200"/>
              <w:bottom w:type="dxa" w:w="120"/>
              <w:right w:type="dxa" w:w="160"/>
            </w:tcMar>
          </w:tcPr>
          <w:p>
            <w:pPr>
              <w:spacing w:after="60"/>
            </w:pPr>
            <w:r>
              <w:rPr>
                <w:b/>
                <w:bCs/>
                <w:color w:val="777777"/>
                <w:sz w:val="19"/>
                <w:szCs w:val="19"/>
              </w:rPr>
              <w:t xml:space="preserve">SEMÁFORO DE RIESGO</w:t>
            </w:r>
          </w:p>
          <w:p>
            <w:pPr>
              <w:spacing w:after="40" w:before="0" w:line="286"/>
            </w:pPr>
            <w:r>
              <w:rPr>
                <w:b/>
                <w:bCs/>
                <w:color w:val="C1272D"/>
              </w:rPr>
              <w:t xml:space="preserve">Más riesgo: </w:t>
            </w:r>
            <w:r>
              <w:t xml:space="preserve">Inmuebles de alto valor, poderes amplios sin límite, fideicomisos grandes.</w:t>
            </w:r>
          </w:p>
          <w:p>
            <w:pPr>
              <w:spacing w:after="0" w:before="0" w:line="286"/>
            </w:pPr>
            <w:r>
              <w:rPr>
                <w:b/>
                <w:bCs/>
                <w:color w:val="2E7D32"/>
              </w:rPr>
              <w:t xml:space="preserve">Menos riesgo: </w:t>
            </w:r>
            <w:r>
              <w:t xml:space="preserve">Vivienda social, poderes limitados a un acto concreto.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5B7C99" w:sz="24"/>
              <w:bottom w:val="none"/>
              <w:right w:val="none"/>
            </w:tcBorders>
            <w:shd w:fill="EFF3F7" w:val="clear"/>
            <w:tcMar>
              <w:top w:type="dxa" w:w="120"/>
              <w:left w:type="dxa" w:w="200"/>
              <w:bottom w:type="dxa" w:w="120"/>
              <w:right w:type="dxa" w:w="160"/>
            </w:tcMar>
          </w:tcPr>
          <w:p>
            <w:pPr>
              <w:spacing w:after="60"/>
            </w:pPr>
            <w:r>
              <w:rPr>
                <w:b/>
                <w:bCs/>
                <w:color w:val="5B7C99"/>
                <w:sz w:val="19"/>
                <w:szCs w:val="19"/>
              </w:rPr>
              <w:t xml:space="preserve">UN CASO REAL</w:t>
            </w:r>
          </w:p>
          <w:p>
            <w:pPr>
              <w:spacing w:after="0" w:before="0" w:line="286"/>
            </w:pPr>
            <w:r>
              <w:t xml:space="preserve">Llega a escriturar una empresa de dos meses de vida; el representante es funcionario de un municipio vecino, trae prisa y el dinero lo manda un tercero sin relación con la operación.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1272D" w:sz="24"/>
              <w:bottom w:val="none"/>
              <w:right w:val="none"/>
            </w:tcBorders>
            <w:shd w:fill="FBEAE8" w:val="clear"/>
            <w:tcMar>
              <w:top w:type="dxa" w:w="120"/>
              <w:left w:type="dxa" w:w="200"/>
              <w:bottom w:type="dxa" w:w="120"/>
              <w:right w:type="dxa" w:w="160"/>
            </w:tcMar>
          </w:tcPr>
          <w:p>
            <w:pPr>
              <w:spacing w:after="60"/>
            </w:pPr>
            <w:r>
              <w:rPr>
                <w:b/>
                <w:bCs/>
                <w:color w:val="C1272D"/>
                <w:sz w:val="19"/>
                <w:szCs w:val="19"/>
              </w:rPr>
              <w:t xml:space="preserve">FOCOS ROJOS (si ves esto, prende la antena)</w:t>
            </w:r>
          </w:p>
          <w:p>
            <w:pPr>
              <w:pStyle w:val="ListParagraph"/>
              <w:numPr>
                <w:ilvl w:val="0"/>
                <w:numId w:val="2"/>
              </w:numPr>
              <w:spacing w:after="60" w:line="280"/>
            </w:pPr>
            <w:r>
              <w:t xml:space="preserve">El comprador es una empresa creada hace dos meses y no se sabe quién está atrás.</w:t>
            </w:r>
          </w:p>
          <w:p>
            <w:pPr>
              <w:pStyle w:val="ListParagraph"/>
              <w:numPr>
                <w:ilvl w:val="0"/>
                <w:numId w:val="2"/>
              </w:numPr>
              <w:spacing w:after="60" w:line="280"/>
            </w:pPr>
            <w:r>
              <w:t xml:space="preserve">Hay prisa rara por firmar y no les importa negociar el precio.</w:t>
            </w:r>
          </w:p>
          <w:p>
            <w:pPr>
              <w:pStyle w:val="ListParagraph"/>
              <w:numPr>
                <w:ilvl w:val="0"/>
                <w:numId w:val="2"/>
              </w:numPr>
              <w:spacing w:after="60" w:line="280"/>
            </w:pPr>
            <w:r>
              <w:t xml:space="preserve">El dinero llega de un tercero sin relación con el comprador.</w:t>
            </w:r>
          </w:p>
          <w:p>
            <w:pPr>
              <w:pStyle w:val="ListParagraph"/>
              <w:numPr>
                <w:ilvl w:val="0"/>
                <w:numId w:val="2"/>
              </w:numPr>
              <w:spacing w:after="60" w:line="280"/>
            </w:pPr>
            <w:r>
              <w:t xml:space="preserve">Usan estructuras complicadas (varias empresas en varios países) para comprar una sola propiedad.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8860B" w:sz="24"/>
              <w:bottom w:val="none"/>
              <w:right w:val="none"/>
            </w:tcBorders>
            <w:shd w:fill="FBF3DD" w:val="clear"/>
            <w:tcMar>
              <w:top w:type="dxa" w:w="120"/>
              <w:left w:type="dxa" w:w="200"/>
              <w:bottom w:type="dxa" w:w="120"/>
              <w:right w:type="dxa" w:w="160"/>
            </w:tcMar>
          </w:tcPr>
          <w:p>
            <w:pPr>
              <w:spacing w:after="60"/>
            </w:pPr>
            <w:r>
              <w:rPr>
                <w:b/>
                <w:bCs/>
                <w:color w:val="B8860B"/>
                <w:sz w:val="19"/>
                <w:szCs w:val="19"/>
              </w:rPr>
              <w:t xml:space="preserve">REGLA DE ORO</w:t>
            </w:r>
          </w:p>
          <w:p>
            <w:pPr>
              <w:spacing w:after="0" w:before="0" w:line="286"/>
            </w:pPr>
            <w:r>
              <w:t xml:space="preserve">Tu pregunta no es '¿quién firma?', es '¿quién manda de verdad aquí?'. Esa persona es el Beneficiario Controlador y ahora tienes que identificarla.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6FB2" w:sz="24"/>
              <w:bottom w:val="none"/>
              <w:right w:val="none"/>
            </w:tcBorders>
            <w:shd w:fill="E9F1FA" w:val="clear"/>
            <w:tcMar>
              <w:top w:type="dxa" w:w="120"/>
              <w:left w:type="dxa" w:w="200"/>
              <w:bottom w:type="dxa" w:w="120"/>
              <w:right w:type="dxa" w:w="160"/>
            </w:tcMar>
          </w:tcPr>
          <w:p>
            <w:pPr>
              <w:spacing w:after="60"/>
            </w:pPr>
            <w:r>
              <w:rPr>
                <w:b/>
                <w:bCs/>
                <w:color w:val="1F6FB2"/>
                <w:sz w:val="19"/>
                <w:szCs w:val="19"/>
              </w:rPr>
              <w:t xml:space="preserve">EL LUNES POR LA MAÑANA</w:t>
            </w:r>
          </w:p>
          <w:p>
            <w:pPr>
              <w:pStyle w:val="ListParagraph"/>
              <w:numPr>
                <w:ilvl w:val="0"/>
                <w:numId w:val="2"/>
              </w:numPr>
              <w:spacing w:after="60" w:line="280"/>
            </w:pPr>
            <w:r>
              <w:t xml:space="preserve">Revisa que tu domicilio en el portal del SAT (SPPLD) sea igual al del RFC. Si no coinciden y llega una notificación, te cae sanción y ni enterado.</w:t>
            </w:r>
          </w:p>
          <w:p>
            <w:pPr>
              <w:pStyle w:val="ListParagraph"/>
              <w:numPr>
                <w:ilvl w:val="0"/>
                <w:numId w:val="2"/>
              </w:numPr>
              <w:spacing w:after="60" w:line="280"/>
            </w:pPr>
            <w:r>
              <w:t xml:space="preserve">Pide y guarda la información del dueño real en operaciones con empresas.</w:t>
            </w:r>
          </w:p>
        </w:tc>
      </w:tr>
    </w:tbl>
    <w:p>
      <w:pPr>
        <w:spacing w:after="160"/>
      </w:pPr>
      <w:r>
        <w:t xml:space="preserve"/>
      </w:r>
    </w:p>
    <w:p>
      <w:pPr>
        <w:pStyle w:val="Heading2"/>
        <w:keepNext/>
        <w:keepLines/>
      </w:pPr>
      <w:r>
        <w:t xml:space="preserve">Joyería, relojes, oro y piedras preciosas</w:t>
      </w:r>
    </w:p>
    <w:p>
      <w:pPr>
        <w:spacing w:after="80" w:before="0" w:line="286"/>
      </w:pPr>
      <w:r>
        <w:rPr>
          <w:b/>
          <w:bCs/>
          <w:color w:val="9E1B1B"/>
          <w:sz w:val="19"/>
          <w:szCs w:val="19"/>
        </w:rPr>
        <w:t xml:space="preserve">Artículo 17, Fracción VI</w:t>
      </w:r>
    </w:p>
    <w:p>
      <w:pPr>
        <w:spacing w:after="120" w:before="0" w:line="286"/>
      </w:pPr>
      <w:r>
        <w:rPr>
          <w:b/>
          <w:bCs/>
          <w:sz w:val="23"/>
          <w:szCs w:val="23"/>
        </w:rPr>
        <w:t xml:space="preserve">¿Vendes joyas, relojes finos, oro o piedras preciosas?</w:t>
      </w:r>
    </w:p>
    <w:p>
      <w:pPr>
        <w:spacing w:after="120" w:before="0" w:line="286"/>
      </w:pPr>
      <w:r>
        <w:rPr>
          <w:b/>
          <w:bCs/>
        </w:rPr>
        <w:t xml:space="preserve">Por qué te vigilan. </w:t>
      </w:r>
      <w:r>
        <w:t xml:space="preserve">Para el que lava, un reloj de lujo es casi como efectivo: vale mucho, cabe en el bolsillo y se revende rápido. Por eso la ley te vigila.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Cómo te usan</w:t>
            </w:r>
          </w:p>
        </w:tc>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Por qué pueden</w:t>
            </w:r>
          </w:p>
        </w:tc>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Qué te cuesta</w:t>
            </w:r>
          </w:p>
        </w:tc>
      </w:tr>
      <w:tr>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Mueven y ocultan valor en piezas chicas.</w:t>
            </w:r>
          </w:p>
        </w:tc>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Son portátiles, líquidas y difíciles de rastrear.</w:t>
            </w:r>
          </w:p>
        </w:tc>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Decomiso, multas y vínculo criminal.</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AA7B2" w:sz="4"/>
              <w:left w:val="single" w:color="9AA7B2" w:sz="4"/>
              <w:bottom w:val="single" w:color="9AA7B2" w:sz="4"/>
              <w:right w:val="single" w:color="9AA7B2" w:sz="4"/>
            </w:tcBorders>
            <w:shd w:fill="EEF1F4" w:val="clear"/>
            <w:tcMar>
              <w:top w:type="dxa" w:w="100"/>
              <w:left w:type="dxa" w:w="160"/>
              <w:bottom w:type="dxa" w:w="100"/>
              <w:right w:type="dxa" w:w="120"/>
            </w:tcMar>
          </w:tcPr>
          <w:p>
            <w:pPr>
              <w:spacing w:after="40"/>
            </w:pPr>
            <w:r>
              <w:rPr>
                <w:b/>
                <w:bCs/>
                <w:color w:val="555555"/>
                <w:sz w:val="17"/>
                <w:szCs w:val="17"/>
              </w:rPr>
              <w:t xml:space="preserve">Pides identificacion desde</w:t>
            </w:r>
          </w:p>
          <w:p>
            <w:r>
              <w:rPr>
                <w:b/>
                <w:bCs/>
                <w:color w:val="1A1A1A"/>
                <w:sz w:val="22"/>
                <w:szCs w:val="22"/>
              </w:rPr>
              <w:t xml:space="preserve">$94,435 (805 UMA).</w:t>
            </w:r>
          </w:p>
        </w:tc>
        <w:tc>
          <w:tcPr>
            <w:tcW w:type="dxa" w:w="4680"/>
            <w:tcBorders>
              <w:top w:val="single" w:color="9AA7B2" w:sz="4"/>
              <w:left w:val="single" w:color="9AA7B2" w:sz="4"/>
              <w:bottom w:val="single" w:color="9AA7B2" w:sz="4"/>
              <w:right w:val="single" w:color="9AA7B2" w:sz="4"/>
            </w:tcBorders>
            <w:shd w:fill="EEF1F4" w:val="clear"/>
            <w:tcMar>
              <w:top w:type="dxa" w:w="100"/>
              <w:left w:type="dxa" w:w="160"/>
              <w:bottom w:type="dxa" w:w="100"/>
              <w:right w:type="dxa" w:w="120"/>
            </w:tcMar>
          </w:tcPr>
          <w:p>
            <w:pPr>
              <w:spacing w:after="40"/>
            </w:pPr>
            <w:r>
              <w:rPr>
                <w:b/>
                <w:bCs/>
                <w:color w:val="555555"/>
                <w:sz w:val="17"/>
                <w:szCs w:val="17"/>
              </w:rPr>
              <w:t xml:space="preserve">Reportas al SAT (Aviso) desde</w:t>
            </w:r>
          </w:p>
          <w:p>
            <w:r>
              <w:rPr>
                <w:b/>
                <w:bCs/>
                <w:color w:val="1A1A1A"/>
                <w:sz w:val="22"/>
                <w:szCs w:val="22"/>
              </w:rPr>
              <w:t xml:space="preserve">$188,283 (1,605 UMA).</w:t>
            </w:r>
          </w:p>
        </w:tc>
      </w:tr>
    </w:tbl>
    <w:p>
      <w:pPr>
        <w:spacing w:after="40"/>
      </w:pPr>
      <w:r>
        <w:t xml:space="preserve"/>
      </w:r>
    </w:p>
    <w:p>
      <w:pPr>
        <w:spacing w:after="120" w:before="40" w:line="286"/>
      </w:pPr>
      <w:r>
        <w:rPr>
          <w:b/>
          <w:bCs/>
        </w:rPr>
        <w:t xml:space="preserve">Qué cambió con la reforma. </w:t>
      </w:r>
      <w:r>
        <w:t xml:space="preserve">Antes solo reportabas las ventas en efectivo. Ahora no: si la venta pasa el monto, la reportas aunque te paguen con transferencia o tarjeta. Se acabó el truco de 'págame por transferencia para que no haya reporte'.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777777" w:sz="24"/>
              <w:bottom w:val="none"/>
              <w:right w:val="none"/>
            </w:tcBorders>
            <w:shd w:fill="EEF1F4" w:val="clear"/>
            <w:tcMar>
              <w:top w:type="dxa" w:w="120"/>
              <w:left w:type="dxa" w:w="200"/>
              <w:bottom w:type="dxa" w:w="120"/>
              <w:right w:type="dxa" w:w="160"/>
            </w:tcMar>
          </w:tcPr>
          <w:p>
            <w:pPr>
              <w:spacing w:after="60"/>
            </w:pPr>
            <w:r>
              <w:rPr>
                <w:b/>
                <w:bCs/>
                <w:color w:val="777777"/>
                <w:sz w:val="19"/>
                <w:szCs w:val="19"/>
              </w:rPr>
              <w:t xml:space="preserve">SEMÁFORO DE RIESGO</w:t>
            </w:r>
          </w:p>
          <w:p>
            <w:pPr>
              <w:spacing w:after="40" w:before="0" w:line="286"/>
            </w:pPr>
            <w:r>
              <w:rPr>
                <w:b/>
                <w:bCs/>
                <w:color w:val="C1272D"/>
              </w:rPr>
              <w:t xml:space="preserve">Más riesgo: </w:t>
            </w:r>
            <w:r>
              <w:t xml:space="preserve">Pago en efectivo, piezas de alto valor unitario, ventas en mercados informales.</w:t>
            </w:r>
          </w:p>
          <w:p>
            <w:pPr>
              <w:spacing w:after="0" w:before="0" w:line="286"/>
            </w:pPr>
            <w:r>
              <w:rPr>
                <w:b/>
                <w:bCs/>
                <w:color w:val="2E7D32"/>
              </w:rPr>
              <w:t xml:space="preserve">Menos riesgo: </w:t>
            </w:r>
            <w:r>
              <w:t xml:space="preserve">Venta con factura y pago por banco.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5B7C99" w:sz="24"/>
              <w:bottom w:val="none"/>
              <w:right w:val="none"/>
            </w:tcBorders>
            <w:shd w:fill="EFF3F7" w:val="clear"/>
            <w:tcMar>
              <w:top w:type="dxa" w:w="120"/>
              <w:left w:type="dxa" w:w="200"/>
              <w:bottom w:type="dxa" w:w="120"/>
              <w:right w:type="dxa" w:w="160"/>
            </w:tcMar>
          </w:tcPr>
          <w:p>
            <w:pPr>
              <w:spacing w:after="60"/>
            </w:pPr>
            <w:r>
              <w:rPr>
                <w:b/>
                <w:bCs/>
                <w:color w:val="5B7C99"/>
                <w:sz w:val="19"/>
                <w:szCs w:val="19"/>
              </w:rPr>
              <w:t xml:space="preserve">UN CASO REAL</w:t>
            </w:r>
          </w:p>
          <w:p>
            <w:pPr>
              <w:spacing w:after="0" w:before="0" w:line="286"/>
            </w:pPr>
            <w:r>
              <w:t xml:space="preserve">Un cliente entra cada semana y compra relojes por montos siempre un poco abajo del que te obliga a reportar. Paga en efectivo y no le interesa el modelo, solo el valor.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1272D" w:sz="24"/>
              <w:bottom w:val="none"/>
              <w:right w:val="none"/>
            </w:tcBorders>
            <w:shd w:fill="FBEAE8" w:val="clear"/>
            <w:tcMar>
              <w:top w:type="dxa" w:w="120"/>
              <w:left w:type="dxa" w:w="200"/>
              <w:bottom w:type="dxa" w:w="120"/>
              <w:right w:type="dxa" w:w="160"/>
            </w:tcMar>
          </w:tcPr>
          <w:p>
            <w:pPr>
              <w:spacing w:after="60"/>
            </w:pPr>
            <w:r>
              <w:rPr>
                <w:b/>
                <w:bCs/>
                <w:color w:val="C1272D"/>
                <w:sz w:val="19"/>
                <w:szCs w:val="19"/>
              </w:rPr>
              <w:t xml:space="preserve">FOCOS ROJOS (si ves esto, prende la antena)</w:t>
            </w:r>
          </w:p>
          <w:p>
            <w:pPr>
              <w:pStyle w:val="ListParagraph"/>
              <w:numPr>
                <w:ilvl w:val="0"/>
                <w:numId w:val="2"/>
              </w:numPr>
              <w:spacing w:after="60" w:line="280"/>
            </w:pPr>
            <w:r>
              <w:t xml:space="preserve">Compra seguido, pero siempre tantito abajo del monto que obliga a reportar.</w:t>
            </w:r>
          </w:p>
          <w:p>
            <w:pPr>
              <w:pStyle w:val="ListParagraph"/>
              <w:numPr>
                <w:ilvl w:val="0"/>
                <w:numId w:val="2"/>
              </w:numPr>
              <w:spacing w:after="60" w:line="280"/>
            </w:pPr>
            <w:r>
              <w:t xml:space="preserve">No le importa la pieza ni el precio, solo llevarse algo de valor.</w:t>
            </w:r>
          </w:p>
          <w:p>
            <w:pPr>
              <w:pStyle w:val="ListParagraph"/>
              <w:numPr>
                <w:ilvl w:val="0"/>
                <w:numId w:val="2"/>
              </w:numPr>
              <w:spacing w:after="60" w:line="280"/>
            </w:pPr>
            <w:r>
              <w:t xml:space="preserve">Quiere pagar todo en efectivo y se molesta cuando le pides una identificación.</w:t>
            </w:r>
          </w:p>
          <w:p>
            <w:pPr>
              <w:pStyle w:val="ListParagraph"/>
              <w:numPr>
                <w:ilvl w:val="0"/>
                <w:numId w:val="2"/>
              </w:numPr>
              <w:spacing w:after="60" w:line="280"/>
            </w:pPr>
            <w:r>
              <w:t xml:space="preserve">Pide enviar la pieza a otro país sin una razón clara.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8860B" w:sz="24"/>
              <w:bottom w:val="none"/>
              <w:right w:val="none"/>
            </w:tcBorders>
            <w:shd w:fill="FBF3DD" w:val="clear"/>
            <w:tcMar>
              <w:top w:type="dxa" w:w="120"/>
              <w:left w:type="dxa" w:w="200"/>
              <w:bottom w:type="dxa" w:w="120"/>
              <w:right w:type="dxa" w:w="160"/>
            </w:tcMar>
          </w:tcPr>
          <w:p>
            <w:pPr>
              <w:spacing w:after="60"/>
            </w:pPr>
            <w:r>
              <w:rPr>
                <w:b/>
                <w:bCs/>
                <w:color w:val="B8860B"/>
                <w:sz w:val="19"/>
                <w:szCs w:val="19"/>
              </w:rPr>
              <w:t xml:space="preserve">REGLA DE ORO</w:t>
            </w:r>
          </w:p>
          <w:p>
            <w:pPr>
              <w:spacing w:after="0" w:before="0" w:line="286"/>
            </w:pPr>
            <w:r>
              <w:t xml:space="preserve">Si el cliente pelea por NO identificarse, el problema es el cliente, no tu trámite.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6FB2" w:sz="24"/>
              <w:bottom w:val="none"/>
              <w:right w:val="none"/>
            </w:tcBorders>
            <w:shd w:fill="E9F1FA" w:val="clear"/>
            <w:tcMar>
              <w:top w:type="dxa" w:w="120"/>
              <w:left w:type="dxa" w:w="200"/>
              <w:bottom w:type="dxa" w:w="120"/>
              <w:right w:type="dxa" w:w="160"/>
            </w:tcMar>
          </w:tcPr>
          <w:p>
            <w:pPr>
              <w:spacing w:after="60"/>
            </w:pPr>
            <w:r>
              <w:rPr>
                <w:b/>
                <w:bCs/>
                <w:color w:val="1F6FB2"/>
                <w:sz w:val="19"/>
                <w:szCs w:val="19"/>
              </w:rPr>
              <w:t xml:space="preserve">EL LUNES POR LA MAÑANA</w:t>
            </w:r>
          </w:p>
          <w:p>
            <w:pPr>
              <w:pStyle w:val="ListParagraph"/>
              <w:numPr>
                <w:ilvl w:val="0"/>
                <w:numId w:val="2"/>
              </w:numPr>
              <w:spacing w:after="60" w:line="280"/>
            </w:pPr>
            <w:r>
              <w:t xml:space="preserve">Ten una libreta o Excel con cada venta grande y copia de identificación.</w:t>
            </w:r>
          </w:p>
          <w:p>
            <w:pPr>
              <w:pStyle w:val="ListParagraph"/>
              <w:numPr>
                <w:ilvl w:val="0"/>
                <w:numId w:val="2"/>
              </w:numPr>
              <w:spacing w:after="60" w:line="280"/>
            </w:pPr>
            <w:r>
              <w:t xml:space="preserve">Si alguien se negó a identificarse y por eso no vendiste, anótalo también: eso ahora se documenta.</w:t>
            </w:r>
          </w:p>
        </w:tc>
      </w:tr>
    </w:tbl>
    <w:p>
      <w:pPr>
        <w:spacing w:after="160"/>
      </w:pPr>
      <w:r>
        <w:t xml:space="preserve"/>
      </w:r>
    </w:p>
    <w:p>
      <w:pPr>
        <w:pStyle w:val="Heading2"/>
        <w:keepNext/>
        <w:keepLines/>
      </w:pPr>
      <w:r>
        <w:t xml:space="preserve">Venta de autos, aviones y barcos</w:t>
      </w:r>
    </w:p>
    <w:p>
      <w:pPr>
        <w:spacing w:after="80" w:before="0" w:line="286"/>
      </w:pPr>
      <w:r>
        <w:rPr>
          <w:b/>
          <w:bCs/>
          <w:color w:val="9E1B1B"/>
          <w:sz w:val="19"/>
          <w:szCs w:val="19"/>
        </w:rPr>
        <w:t xml:space="preserve">Artículo 17, Fracción VIII</w:t>
      </w:r>
    </w:p>
    <w:p>
      <w:pPr>
        <w:spacing w:after="120" w:before="0" w:line="286"/>
      </w:pPr>
      <w:r>
        <w:rPr>
          <w:b/>
          <w:bCs/>
          <w:sz w:val="23"/>
          <w:szCs w:val="23"/>
        </w:rPr>
        <w:t xml:space="preserve">¿Vendes vehículos (autos, motos, aviones o embarcaciones), nuevos o usados, de forma habitual?</w:t>
      </w:r>
    </w:p>
    <w:p>
      <w:pPr>
        <w:spacing w:after="120" w:before="0" w:line="286"/>
      </w:pPr>
      <w:r>
        <w:rPr>
          <w:b/>
          <w:bCs/>
        </w:rPr>
        <w:t xml:space="preserve">Por qué te vigilan. </w:t>
      </w:r>
      <w:r>
        <w:t xml:space="preserve">Un auto de lujo o un yate guarda mucho valor, se puede pagar en efectivo y se revende rápido. Es una forma cómoda de 'guardar' dinero sucio.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Cómo te usan</w:t>
            </w:r>
          </w:p>
        </w:tc>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Por qué pueden</w:t>
            </w:r>
          </w:p>
        </w:tc>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Qué te cuesta</w:t>
            </w:r>
          </w:p>
        </w:tc>
      </w:tr>
      <w:tr>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Esconden el origen del dinero en un vehículo.</w:t>
            </w:r>
          </w:p>
        </w:tc>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Alto valor y se liquida en efectivo.</w:t>
            </w:r>
          </w:p>
        </w:tc>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Decomiso y patrimonio ilícito ligado a ti.</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AA7B2" w:sz="4"/>
              <w:left w:val="single" w:color="9AA7B2" w:sz="4"/>
              <w:bottom w:val="single" w:color="9AA7B2" w:sz="4"/>
              <w:right w:val="single" w:color="9AA7B2" w:sz="4"/>
            </w:tcBorders>
            <w:shd w:fill="EEF1F4" w:val="clear"/>
            <w:tcMar>
              <w:top w:type="dxa" w:w="100"/>
              <w:left w:type="dxa" w:w="160"/>
              <w:bottom w:type="dxa" w:w="100"/>
              <w:right w:type="dxa" w:w="120"/>
            </w:tcMar>
          </w:tcPr>
          <w:p>
            <w:pPr>
              <w:spacing w:after="40"/>
            </w:pPr>
            <w:r>
              <w:rPr>
                <w:b/>
                <w:bCs/>
                <w:color w:val="555555"/>
                <w:sz w:val="17"/>
                <w:szCs w:val="17"/>
              </w:rPr>
              <w:t xml:space="preserve">Pides identificacion desde</w:t>
            </w:r>
          </w:p>
          <w:p>
            <w:r>
              <w:rPr>
                <w:b/>
                <w:bCs/>
                <w:color w:val="1A1A1A"/>
                <w:sz w:val="22"/>
                <w:szCs w:val="22"/>
              </w:rPr>
              <w:t xml:space="preserve">$376,565 (3,210 UMA).</w:t>
            </w:r>
          </w:p>
        </w:tc>
        <w:tc>
          <w:tcPr>
            <w:tcW w:type="dxa" w:w="4680"/>
            <w:tcBorders>
              <w:top w:val="single" w:color="9AA7B2" w:sz="4"/>
              <w:left w:val="single" w:color="9AA7B2" w:sz="4"/>
              <w:bottom w:val="single" w:color="9AA7B2" w:sz="4"/>
              <w:right w:val="single" w:color="9AA7B2" w:sz="4"/>
            </w:tcBorders>
            <w:shd w:fill="EEF1F4" w:val="clear"/>
            <w:tcMar>
              <w:top w:type="dxa" w:w="100"/>
              <w:left w:type="dxa" w:w="160"/>
              <w:bottom w:type="dxa" w:w="100"/>
              <w:right w:type="dxa" w:w="120"/>
            </w:tcMar>
          </w:tcPr>
          <w:p>
            <w:pPr>
              <w:spacing w:after="40"/>
            </w:pPr>
            <w:r>
              <w:rPr>
                <w:b/>
                <w:bCs/>
                <w:color w:val="555555"/>
                <w:sz w:val="17"/>
                <w:szCs w:val="17"/>
              </w:rPr>
              <w:t xml:space="preserve">Reportas al SAT (Aviso) desde</w:t>
            </w:r>
          </w:p>
          <w:p>
            <w:r>
              <w:rPr>
                <w:b/>
                <w:bCs/>
                <w:color w:val="1A1A1A"/>
                <w:sz w:val="22"/>
                <w:szCs w:val="22"/>
              </w:rPr>
              <w:t xml:space="preserve">$753,130 (6,420 UMA).</w:t>
            </w:r>
          </w:p>
        </w:tc>
      </w:tr>
    </w:tbl>
    <w:p>
      <w:pPr>
        <w:spacing w:after="40"/>
      </w:pPr>
      <w:r>
        <w:t xml:space="preserve"/>
      </w:r>
    </w:p>
    <w:p>
      <w:pPr>
        <w:spacing w:after="120" w:before="40" w:line="286"/>
      </w:pPr>
      <w:r>
        <w:rPr>
          <w:b/>
          <w:bCs/>
        </w:rPr>
        <w:t xml:space="preserve">Qué cambió con la reforma. </w:t>
      </w:r>
      <w:r>
        <w:t xml:space="preserve">Recuerda qué cuenta como 'habitual o profesional': más de dos ventas al año o que ese sea tu giro. Si vendes tu coche personal una vez, no aplica.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777777" w:sz="24"/>
              <w:bottom w:val="none"/>
              <w:right w:val="none"/>
            </w:tcBorders>
            <w:shd w:fill="EEF1F4" w:val="clear"/>
            <w:tcMar>
              <w:top w:type="dxa" w:w="120"/>
              <w:left w:type="dxa" w:w="200"/>
              <w:bottom w:type="dxa" w:w="120"/>
              <w:right w:type="dxa" w:w="160"/>
            </w:tcMar>
          </w:tcPr>
          <w:p>
            <w:pPr>
              <w:spacing w:after="60"/>
            </w:pPr>
            <w:r>
              <w:rPr>
                <w:b/>
                <w:bCs/>
                <w:color w:val="777777"/>
                <w:sz w:val="19"/>
                <w:szCs w:val="19"/>
              </w:rPr>
              <w:t xml:space="preserve">SEMÁFORO DE RIESGO</w:t>
            </w:r>
          </w:p>
          <w:p>
            <w:pPr>
              <w:spacing w:after="40" w:before="0" w:line="286"/>
            </w:pPr>
            <w:r>
              <w:rPr>
                <w:b/>
                <w:bCs/>
                <w:color w:val="C1272D"/>
              </w:rPr>
              <w:t xml:space="preserve">Más riesgo: </w:t>
            </w:r>
            <w:r>
              <w:t xml:space="preserve">Vehículos de lujo o varios en poco tiempo, pago en efectivo.</w:t>
            </w:r>
          </w:p>
          <w:p>
            <w:pPr>
              <w:spacing w:after="0" w:before="0" w:line="286"/>
            </w:pPr>
            <w:r>
              <w:rPr>
                <w:b/>
                <w:bCs/>
                <w:color w:val="2E7D32"/>
              </w:rPr>
              <w:t xml:space="preserve">Menos riesgo: </w:t>
            </w:r>
            <w:r>
              <w:t xml:space="preserve">Vehículo económico con crédito formal y pago bancario.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5B7C99" w:sz="24"/>
              <w:bottom w:val="none"/>
              <w:right w:val="none"/>
            </w:tcBorders>
            <w:shd w:fill="EFF3F7" w:val="clear"/>
            <w:tcMar>
              <w:top w:type="dxa" w:w="120"/>
              <w:left w:type="dxa" w:w="200"/>
              <w:bottom w:type="dxa" w:w="120"/>
              <w:right w:type="dxa" w:w="160"/>
            </w:tcMar>
          </w:tcPr>
          <w:p>
            <w:pPr>
              <w:spacing w:after="60"/>
            </w:pPr>
            <w:r>
              <w:rPr>
                <w:b/>
                <w:bCs/>
                <w:color w:val="5B7C99"/>
                <w:sz w:val="19"/>
                <w:szCs w:val="19"/>
              </w:rPr>
              <w:t xml:space="preserve">UN CASO REAL</w:t>
            </w:r>
          </w:p>
          <w:p>
            <w:pPr>
              <w:spacing w:after="0" w:before="0" w:line="286"/>
            </w:pPr>
            <w:r>
              <w:t xml:space="preserve">Alguien compra tres camionetas de lujo en un mes, paga en efectivo y pide que dos queden a nombre de personas distintas a quien trae el dinero.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1272D" w:sz="24"/>
              <w:bottom w:val="none"/>
              <w:right w:val="none"/>
            </w:tcBorders>
            <w:shd w:fill="FBEAE8" w:val="clear"/>
            <w:tcMar>
              <w:top w:type="dxa" w:w="120"/>
              <w:left w:type="dxa" w:w="200"/>
              <w:bottom w:type="dxa" w:w="120"/>
              <w:right w:type="dxa" w:w="160"/>
            </w:tcMar>
          </w:tcPr>
          <w:p>
            <w:pPr>
              <w:spacing w:after="60"/>
            </w:pPr>
            <w:r>
              <w:rPr>
                <w:b/>
                <w:bCs/>
                <w:color w:val="C1272D"/>
                <w:sz w:val="19"/>
                <w:szCs w:val="19"/>
              </w:rPr>
              <w:t xml:space="preserve">FOCOS ROJOS (si ves esto, prende la antena)</w:t>
            </w:r>
          </w:p>
          <w:p>
            <w:pPr>
              <w:pStyle w:val="ListParagraph"/>
              <w:numPr>
                <w:ilvl w:val="0"/>
                <w:numId w:val="2"/>
              </w:numPr>
              <w:spacing w:after="60" w:line="280"/>
            </w:pPr>
            <w:r>
              <w:t xml:space="preserve">Pagan en efectivo o con muchas transferencias chiquitas.</w:t>
            </w:r>
          </w:p>
          <w:p>
            <w:pPr>
              <w:pStyle w:val="ListParagraph"/>
              <w:numPr>
                <w:ilvl w:val="0"/>
                <w:numId w:val="2"/>
              </w:numPr>
              <w:spacing w:after="60" w:line="280"/>
            </w:pPr>
            <w:r>
              <w:t xml:space="preserve">Compran varios vehículos en poco tiempo.</w:t>
            </w:r>
          </w:p>
          <w:p>
            <w:pPr>
              <w:pStyle w:val="ListParagraph"/>
              <w:numPr>
                <w:ilvl w:val="0"/>
                <w:numId w:val="2"/>
              </w:numPr>
              <w:spacing w:after="60" w:line="280"/>
            </w:pPr>
            <w:r>
              <w:t xml:space="preserve">El que paga no es el que se queda con el vehículo.</w:t>
            </w:r>
          </w:p>
          <w:p>
            <w:pPr>
              <w:pStyle w:val="ListParagraph"/>
              <w:numPr>
                <w:ilvl w:val="0"/>
                <w:numId w:val="2"/>
              </w:numPr>
              <w:spacing w:after="60" w:line="280"/>
            </w:pPr>
            <w:r>
              <w:t xml:space="preserve">No les importa el precio ni el modelo, solo cerrar.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8860B" w:sz="24"/>
              <w:bottom w:val="none"/>
              <w:right w:val="none"/>
            </w:tcBorders>
            <w:shd w:fill="FBF3DD" w:val="clear"/>
            <w:tcMar>
              <w:top w:type="dxa" w:w="120"/>
              <w:left w:type="dxa" w:w="200"/>
              <w:bottom w:type="dxa" w:w="120"/>
              <w:right w:type="dxa" w:w="160"/>
            </w:tcMar>
          </w:tcPr>
          <w:p>
            <w:pPr>
              <w:spacing w:after="60"/>
            </w:pPr>
            <w:r>
              <w:rPr>
                <w:b/>
                <w:bCs/>
                <w:color w:val="B8860B"/>
                <w:sz w:val="19"/>
                <w:szCs w:val="19"/>
              </w:rPr>
              <w:t xml:space="preserve">REGLA DE ORO</w:t>
            </w:r>
          </w:p>
          <w:p>
            <w:pPr>
              <w:spacing w:after="0" w:before="0" w:line="286"/>
            </w:pPr>
            <w:r>
              <w:t xml:space="preserve">Si el cliente trae el efectivo en una mochila, esa venta no te conviene.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6FB2" w:sz="24"/>
              <w:bottom w:val="none"/>
              <w:right w:val="none"/>
            </w:tcBorders>
            <w:shd w:fill="E9F1FA" w:val="clear"/>
            <w:tcMar>
              <w:top w:type="dxa" w:w="120"/>
              <w:left w:type="dxa" w:w="200"/>
              <w:bottom w:type="dxa" w:w="120"/>
              <w:right w:type="dxa" w:w="160"/>
            </w:tcMar>
          </w:tcPr>
          <w:p>
            <w:pPr>
              <w:spacing w:after="60"/>
            </w:pPr>
            <w:r>
              <w:rPr>
                <w:b/>
                <w:bCs/>
                <w:color w:val="1F6FB2"/>
                <w:sz w:val="19"/>
                <w:szCs w:val="19"/>
              </w:rPr>
              <w:t xml:space="preserve">EL LUNES POR LA MAÑANA</w:t>
            </w:r>
          </w:p>
          <w:p>
            <w:pPr>
              <w:pStyle w:val="ListParagraph"/>
              <w:numPr>
                <w:ilvl w:val="0"/>
                <w:numId w:val="2"/>
              </w:numPr>
              <w:spacing w:after="60" w:line="280"/>
            </w:pPr>
            <w:r>
              <w:t xml:space="preserve">Anota en el contrato de dónde salió el dinero y a nombre de quién queda el vehículo.</w:t>
            </w:r>
          </w:p>
          <w:p>
            <w:pPr>
              <w:pStyle w:val="ListParagraph"/>
              <w:numPr>
                <w:ilvl w:val="0"/>
                <w:numId w:val="2"/>
              </w:numPr>
              <w:spacing w:after="60" w:line="280"/>
            </w:pPr>
            <w:r>
              <w:t xml:space="preserve">Junta copia de identificación en cada venta que pase el monto.</w:t>
            </w:r>
          </w:p>
        </w:tc>
      </w:tr>
    </w:tbl>
    <w:p>
      <w:pPr>
        <w:spacing w:after="160"/>
      </w:pPr>
      <w:r>
        <w:t xml:space="preserve"/>
      </w:r>
    </w:p>
    <w:p>
      <w:pPr>
        <w:pStyle w:val="Heading2"/>
        <w:keepNext/>
        <w:keepLines/>
      </w:pPr>
      <w:r>
        <w:t xml:space="preserve">Obras de arte y subastas</w:t>
      </w:r>
    </w:p>
    <w:p>
      <w:pPr>
        <w:spacing w:after="80" w:before="0" w:line="286"/>
      </w:pPr>
      <w:r>
        <w:rPr>
          <w:b/>
          <w:bCs/>
          <w:color w:val="9E1B1B"/>
          <w:sz w:val="19"/>
          <w:szCs w:val="19"/>
        </w:rPr>
        <w:t xml:space="preserve">Artículo 17, Fracción VII</w:t>
      </w:r>
    </w:p>
    <w:p>
      <w:pPr>
        <w:spacing w:after="120" w:before="0" w:line="286"/>
      </w:pPr>
      <w:r>
        <w:rPr>
          <w:b/>
          <w:bCs/>
          <w:sz w:val="23"/>
          <w:szCs w:val="23"/>
        </w:rPr>
        <w:t xml:space="preserve">¿Subastas, vendes o intermedias en la venta de obras de arte?</w:t>
      </w:r>
    </w:p>
    <w:p>
      <w:pPr>
        <w:spacing w:after="120" w:before="0" w:line="286"/>
      </w:pPr>
      <w:r>
        <w:rPr>
          <w:b/>
          <w:bCs/>
        </w:rPr>
        <w:t xml:space="preserve">Por qué te vigilan. </w:t>
      </w:r>
      <w:r>
        <w:t xml:space="preserve">El arte vale lo que alguien quiera pagar; no tiene precio fijo. Eso lo vuelve perfecto para mover mucho dinero 'justificándolo' con una pintura.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Cómo te usan</w:t>
            </w:r>
          </w:p>
        </w:tc>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Por qué pueden</w:t>
            </w:r>
          </w:p>
        </w:tc>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Qué te cuesta</w:t>
            </w:r>
          </w:p>
        </w:tc>
      </w:tr>
      <w:tr>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Justifican patrimonio o transfieren valor con una obra.</w:t>
            </w:r>
          </w:p>
        </w:tc>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El precio es subjetivo y difícil de tasar.</w:t>
            </w:r>
          </w:p>
        </w:tc>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Sobrevaluación detectada y sanciones.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AA7B2" w:sz="4"/>
              <w:left w:val="single" w:color="9AA7B2" w:sz="4"/>
              <w:bottom w:val="single" w:color="9AA7B2" w:sz="4"/>
              <w:right w:val="single" w:color="9AA7B2" w:sz="4"/>
            </w:tcBorders>
            <w:shd w:fill="EEF1F4" w:val="clear"/>
            <w:tcMar>
              <w:top w:type="dxa" w:w="100"/>
              <w:left w:type="dxa" w:w="160"/>
              <w:bottom w:type="dxa" w:w="100"/>
              <w:right w:type="dxa" w:w="120"/>
            </w:tcMar>
          </w:tcPr>
          <w:p>
            <w:pPr>
              <w:spacing w:after="40"/>
            </w:pPr>
            <w:r>
              <w:rPr>
                <w:b/>
                <w:bCs/>
                <w:color w:val="555555"/>
                <w:sz w:val="17"/>
                <w:szCs w:val="17"/>
              </w:rPr>
              <w:t xml:space="preserve">Pides identificacion desde</w:t>
            </w:r>
          </w:p>
          <w:p>
            <w:r>
              <w:rPr>
                <w:b/>
                <w:bCs/>
                <w:color w:val="1A1A1A"/>
                <w:sz w:val="22"/>
                <w:szCs w:val="22"/>
              </w:rPr>
              <w:t xml:space="preserve">$282,717 (2,410 UMA).</w:t>
            </w:r>
          </w:p>
        </w:tc>
        <w:tc>
          <w:tcPr>
            <w:tcW w:type="dxa" w:w="4680"/>
            <w:tcBorders>
              <w:top w:val="single" w:color="9AA7B2" w:sz="4"/>
              <w:left w:val="single" w:color="9AA7B2" w:sz="4"/>
              <w:bottom w:val="single" w:color="9AA7B2" w:sz="4"/>
              <w:right w:val="single" w:color="9AA7B2" w:sz="4"/>
            </w:tcBorders>
            <w:shd w:fill="EEF1F4" w:val="clear"/>
            <w:tcMar>
              <w:top w:type="dxa" w:w="100"/>
              <w:left w:type="dxa" w:w="160"/>
              <w:bottom w:type="dxa" w:w="100"/>
              <w:right w:type="dxa" w:w="120"/>
            </w:tcMar>
          </w:tcPr>
          <w:p>
            <w:pPr>
              <w:spacing w:after="40"/>
            </w:pPr>
            <w:r>
              <w:rPr>
                <w:b/>
                <w:bCs/>
                <w:color w:val="555555"/>
                <w:sz w:val="17"/>
                <w:szCs w:val="17"/>
              </w:rPr>
              <w:t xml:space="preserve">Reportas al SAT (Aviso) desde</w:t>
            </w:r>
          </w:p>
          <w:p>
            <w:r>
              <w:rPr>
                <w:b/>
                <w:bCs/>
                <w:color w:val="1A1A1A"/>
                <w:sz w:val="22"/>
                <w:szCs w:val="22"/>
              </w:rPr>
              <w:t xml:space="preserve">$564,848 (4,815 UMA).</w:t>
            </w:r>
          </w:p>
        </w:tc>
      </w:tr>
    </w:tbl>
    <w:p>
      <w:pPr>
        <w:spacing w:after="40"/>
      </w:pPr>
      <w:r>
        <w:t xml:space="preserve"/>
      </w:r>
    </w:p>
    <w:p>
      <w:pPr>
        <w:spacing w:after="120" w:before="40" w:line="286"/>
      </w:pPr>
      <w:r>
        <w:rPr>
          <w:b/>
          <w:bCs/>
        </w:rPr>
        <w:t xml:space="preserve">Qué cambió con la reforma. </w:t>
      </w:r>
      <w:r>
        <w:t xml:space="preserve">Los montos ahora se miden en UMA, que se actualiza cada año por inflación. Antes se medían en salarios mínimos.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777777" w:sz="24"/>
              <w:bottom w:val="none"/>
              <w:right w:val="none"/>
            </w:tcBorders>
            <w:shd w:fill="EEF1F4" w:val="clear"/>
            <w:tcMar>
              <w:top w:type="dxa" w:w="120"/>
              <w:left w:type="dxa" w:w="200"/>
              <w:bottom w:type="dxa" w:w="120"/>
              <w:right w:type="dxa" w:w="160"/>
            </w:tcMar>
          </w:tcPr>
          <w:p>
            <w:pPr>
              <w:spacing w:after="60"/>
            </w:pPr>
            <w:r>
              <w:rPr>
                <w:b/>
                <w:bCs/>
                <w:color w:val="777777"/>
                <w:sz w:val="19"/>
                <w:szCs w:val="19"/>
              </w:rPr>
              <w:t xml:space="preserve">SEMÁFORO DE RIESGO</w:t>
            </w:r>
          </w:p>
          <w:p>
            <w:pPr>
              <w:spacing w:after="40" w:before="0" w:line="286"/>
            </w:pPr>
            <w:r>
              <w:rPr>
                <w:b/>
                <w:bCs/>
                <w:color w:val="C1272D"/>
              </w:rPr>
              <w:t xml:space="preserve">Más riesgo: </w:t>
            </w:r>
            <w:r>
              <w:t xml:space="preserve">Obras de alto valor sin historia de propiedad, pagos del extranjero.</w:t>
            </w:r>
          </w:p>
          <w:p>
            <w:pPr>
              <w:spacing w:after="0" w:before="0" w:line="286"/>
            </w:pPr>
            <w:r>
              <w:rPr>
                <w:b/>
                <w:bCs/>
                <w:color w:val="2E7D32"/>
              </w:rPr>
              <w:t xml:space="preserve">Menos riesgo: </w:t>
            </w:r>
            <w:r>
              <w:t xml:space="preserve">Arte de bajo valor con factura completa.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5B7C99" w:sz="24"/>
              <w:bottom w:val="none"/>
              <w:right w:val="none"/>
            </w:tcBorders>
            <w:shd w:fill="EFF3F7" w:val="clear"/>
            <w:tcMar>
              <w:top w:type="dxa" w:w="120"/>
              <w:left w:type="dxa" w:w="200"/>
              <w:bottom w:type="dxa" w:w="120"/>
              <w:right w:type="dxa" w:w="160"/>
            </w:tcMar>
          </w:tcPr>
          <w:p>
            <w:pPr>
              <w:spacing w:after="60"/>
            </w:pPr>
            <w:r>
              <w:rPr>
                <w:b/>
                <w:bCs/>
                <w:color w:val="5B7C99"/>
                <w:sz w:val="19"/>
                <w:szCs w:val="19"/>
              </w:rPr>
              <w:t xml:space="preserve">UN CASO REAL</w:t>
            </w:r>
          </w:p>
          <w:p>
            <w:pPr>
              <w:spacing w:after="0" w:before="0" w:line="286"/>
            </w:pPr>
            <w:r>
              <w:t xml:space="preserve">Te ofrecen vender un cuadro 'de colección' del que nadie tiene papeles de quién fue su dueño, y el comprador paga desde una cuenta en el extranjero.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1272D" w:sz="24"/>
              <w:bottom w:val="none"/>
              <w:right w:val="none"/>
            </w:tcBorders>
            <w:shd w:fill="FBEAE8" w:val="clear"/>
            <w:tcMar>
              <w:top w:type="dxa" w:w="120"/>
              <w:left w:type="dxa" w:w="200"/>
              <w:bottom w:type="dxa" w:w="120"/>
              <w:right w:type="dxa" w:w="160"/>
            </w:tcMar>
          </w:tcPr>
          <w:p>
            <w:pPr>
              <w:spacing w:after="60"/>
            </w:pPr>
            <w:r>
              <w:rPr>
                <w:b/>
                <w:bCs/>
                <w:color w:val="C1272D"/>
                <w:sz w:val="19"/>
                <w:szCs w:val="19"/>
              </w:rPr>
              <w:t xml:space="preserve">FOCOS ROJOS (si ves esto, prende la antena)</w:t>
            </w:r>
          </w:p>
          <w:p>
            <w:pPr>
              <w:pStyle w:val="ListParagraph"/>
              <w:numPr>
                <w:ilvl w:val="0"/>
                <w:numId w:val="2"/>
              </w:numPr>
              <w:spacing w:after="60" w:line="280"/>
            </w:pPr>
            <w:r>
              <w:t xml:space="preserve">Compran o venden sin que les importe el precio.</w:t>
            </w:r>
          </w:p>
          <w:p>
            <w:pPr>
              <w:pStyle w:val="ListParagraph"/>
              <w:numPr>
                <w:ilvl w:val="0"/>
                <w:numId w:val="2"/>
              </w:numPr>
              <w:spacing w:after="60" w:line="280"/>
            </w:pPr>
            <w:r>
              <w:t xml:space="preserve">Piezas sin papeles que digan de quién eran antes.</w:t>
            </w:r>
          </w:p>
          <w:p>
            <w:pPr>
              <w:pStyle w:val="ListParagraph"/>
              <w:numPr>
                <w:ilvl w:val="0"/>
                <w:numId w:val="2"/>
              </w:numPr>
              <w:spacing w:after="60" w:line="280"/>
            </w:pPr>
            <w:r>
              <w:t xml:space="preserve">Pagos desde otro país sin razón clara.</w:t>
            </w:r>
          </w:p>
          <w:p>
            <w:pPr>
              <w:pStyle w:val="ListParagraph"/>
              <w:numPr>
                <w:ilvl w:val="0"/>
                <w:numId w:val="2"/>
              </w:numPr>
              <w:spacing w:after="60" w:line="280"/>
            </w:pPr>
            <w:r>
              <w:t xml:space="preserve">Quieren mantener el anonimato a toda costa.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8860B" w:sz="24"/>
              <w:bottom w:val="none"/>
              <w:right w:val="none"/>
            </w:tcBorders>
            <w:shd w:fill="FBF3DD" w:val="clear"/>
            <w:tcMar>
              <w:top w:type="dxa" w:w="120"/>
              <w:left w:type="dxa" w:w="200"/>
              <w:bottom w:type="dxa" w:w="120"/>
              <w:right w:type="dxa" w:w="160"/>
            </w:tcMar>
          </w:tcPr>
          <w:p>
            <w:pPr>
              <w:spacing w:after="60"/>
            </w:pPr>
            <w:r>
              <w:rPr>
                <w:b/>
                <w:bCs/>
                <w:color w:val="B8860B"/>
                <w:sz w:val="19"/>
                <w:szCs w:val="19"/>
              </w:rPr>
              <w:t xml:space="preserve">REGLA DE ORO</w:t>
            </w:r>
          </w:p>
          <w:p>
            <w:pPr>
              <w:spacing w:after="0" w:before="0" w:line="286"/>
            </w:pPr>
            <w:r>
              <w:t xml:space="preserve">Si nadie puede decir de quién era antes la obra, sospecha.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6FB2" w:sz="24"/>
              <w:bottom w:val="none"/>
              <w:right w:val="none"/>
            </w:tcBorders>
            <w:shd w:fill="E9F1FA" w:val="clear"/>
            <w:tcMar>
              <w:top w:type="dxa" w:w="120"/>
              <w:left w:type="dxa" w:w="200"/>
              <w:bottom w:type="dxa" w:w="120"/>
              <w:right w:type="dxa" w:w="160"/>
            </w:tcMar>
          </w:tcPr>
          <w:p>
            <w:pPr>
              <w:spacing w:after="60"/>
            </w:pPr>
            <w:r>
              <w:rPr>
                <w:b/>
                <w:bCs/>
                <w:color w:val="1F6FB2"/>
                <w:sz w:val="19"/>
                <w:szCs w:val="19"/>
              </w:rPr>
              <w:t xml:space="preserve">EL LUNES POR LA MAÑANA</w:t>
            </w:r>
          </w:p>
          <w:p>
            <w:pPr>
              <w:pStyle w:val="ListParagraph"/>
              <w:numPr>
                <w:ilvl w:val="0"/>
                <w:numId w:val="2"/>
              </w:numPr>
              <w:spacing w:after="60" w:line="280"/>
            </w:pPr>
            <w:r>
              <w:t xml:space="preserve">Pide documentos de procedencia de la pieza.</w:t>
            </w:r>
          </w:p>
          <w:p>
            <w:pPr>
              <w:pStyle w:val="ListParagraph"/>
              <w:numPr>
                <w:ilvl w:val="0"/>
                <w:numId w:val="2"/>
              </w:numPr>
              <w:spacing w:after="60" w:line="280"/>
            </w:pPr>
            <w:r>
              <w:t xml:space="preserve">Guarda identificación del comprador y del vendedor.</w:t>
            </w:r>
          </w:p>
        </w:tc>
      </w:tr>
    </w:tbl>
    <w:p>
      <w:pPr>
        <w:spacing w:after="160"/>
      </w:pPr>
      <w:r>
        <w:t xml:space="preserve"/>
      </w:r>
    </w:p>
    <w:p>
      <w:pPr>
        <w:pStyle w:val="Heading2"/>
        <w:keepNext/>
        <w:keepLines/>
      </w:pPr>
      <w:r>
        <w:t xml:space="preserve">Servicios de blindaje</w:t>
      </w:r>
    </w:p>
    <w:p>
      <w:pPr>
        <w:spacing w:after="80" w:before="0" w:line="286"/>
      </w:pPr>
      <w:r>
        <w:rPr>
          <w:b/>
          <w:bCs/>
          <w:color w:val="9E1B1B"/>
          <w:sz w:val="19"/>
          <w:szCs w:val="19"/>
        </w:rPr>
        <w:t xml:space="preserve">Artículo 17, Fracción IX</w:t>
      </w:r>
    </w:p>
    <w:p>
      <w:pPr>
        <w:spacing w:after="120" w:before="0" w:line="286"/>
      </w:pPr>
      <w:r>
        <w:rPr>
          <w:b/>
          <w:bCs/>
          <w:sz w:val="23"/>
          <w:szCs w:val="23"/>
        </w:rPr>
        <w:t xml:space="preserve">¿Blindas autos o inmuebles?</w:t>
      </w:r>
    </w:p>
    <w:p>
      <w:pPr>
        <w:spacing w:after="120" w:before="0" w:line="286"/>
      </w:pPr>
      <w:r>
        <w:rPr>
          <w:b/>
          <w:bCs/>
        </w:rPr>
        <w:t xml:space="preserve">Por qué te vigilan. </w:t>
      </w:r>
      <w:r>
        <w:t xml:space="preserve">Quien necesita blindar a la carrera y pagar en efectivo muchas veces tiene un perfil de riesgo. El servicio puede terminar ligado a gente peligrosa.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Cómo te usan</w:t>
            </w:r>
          </w:p>
        </w:tc>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Por qué pueden</w:t>
            </w:r>
          </w:p>
        </w:tc>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Qué te cuesta</w:t>
            </w:r>
          </w:p>
        </w:tc>
      </w:tr>
      <w:tr>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Protegen bienes comprados con dinero sucio.</w:t>
            </w:r>
          </w:p>
        </w:tc>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Demanda de efectivo y bienes de alto valor.</w:t>
            </w:r>
          </w:p>
        </w:tc>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Vínculo con delincuencia organizada.</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AA7B2" w:sz="4"/>
              <w:left w:val="single" w:color="9AA7B2" w:sz="4"/>
              <w:bottom w:val="single" w:color="9AA7B2" w:sz="4"/>
              <w:right w:val="single" w:color="9AA7B2" w:sz="4"/>
            </w:tcBorders>
            <w:shd w:fill="EEF1F4" w:val="clear"/>
            <w:tcMar>
              <w:top w:type="dxa" w:w="100"/>
              <w:left w:type="dxa" w:w="160"/>
              <w:bottom w:type="dxa" w:w="100"/>
              <w:right w:type="dxa" w:w="120"/>
            </w:tcMar>
          </w:tcPr>
          <w:p>
            <w:pPr>
              <w:spacing w:after="40"/>
            </w:pPr>
            <w:r>
              <w:rPr>
                <w:b/>
                <w:bCs/>
                <w:color w:val="555555"/>
                <w:sz w:val="17"/>
                <w:szCs w:val="17"/>
              </w:rPr>
              <w:t xml:space="preserve">Pides identificacion desde</w:t>
            </w:r>
          </w:p>
          <w:p>
            <w:r>
              <w:rPr>
                <w:b/>
                <w:bCs/>
                <w:color w:val="1A1A1A"/>
                <w:sz w:val="22"/>
                <w:szCs w:val="22"/>
              </w:rPr>
              <w:t xml:space="preserve">$282,717 (2,410 UMA).</w:t>
            </w:r>
          </w:p>
        </w:tc>
        <w:tc>
          <w:tcPr>
            <w:tcW w:type="dxa" w:w="4680"/>
            <w:tcBorders>
              <w:top w:val="single" w:color="9AA7B2" w:sz="4"/>
              <w:left w:val="single" w:color="9AA7B2" w:sz="4"/>
              <w:bottom w:val="single" w:color="9AA7B2" w:sz="4"/>
              <w:right w:val="single" w:color="9AA7B2" w:sz="4"/>
            </w:tcBorders>
            <w:shd w:fill="EEF1F4" w:val="clear"/>
            <w:tcMar>
              <w:top w:type="dxa" w:w="100"/>
              <w:left w:type="dxa" w:w="160"/>
              <w:bottom w:type="dxa" w:w="100"/>
              <w:right w:type="dxa" w:w="120"/>
            </w:tcMar>
          </w:tcPr>
          <w:p>
            <w:pPr>
              <w:spacing w:after="40"/>
            </w:pPr>
            <w:r>
              <w:rPr>
                <w:b/>
                <w:bCs/>
                <w:color w:val="555555"/>
                <w:sz w:val="17"/>
                <w:szCs w:val="17"/>
              </w:rPr>
              <w:t xml:space="preserve">Reportas al SAT (Aviso) desde</w:t>
            </w:r>
          </w:p>
          <w:p>
            <w:r>
              <w:rPr>
                <w:b/>
                <w:bCs/>
                <w:color w:val="1A1A1A"/>
                <w:sz w:val="22"/>
                <w:szCs w:val="22"/>
              </w:rPr>
              <w:t xml:space="preserve">$564,848 (4,815 UMA).</w:t>
            </w:r>
          </w:p>
        </w:tc>
      </w:tr>
    </w:tbl>
    <w:p>
      <w:pPr>
        <w:spacing w:after="40"/>
      </w:pPr>
      <w:r>
        <w:t xml:space="preserve"/>
      </w:r>
    </w:p>
    <w:p>
      <w:pPr>
        <w:spacing w:after="120" w:before="40" w:line="286"/>
      </w:pPr>
      <w:r>
        <w:rPr>
          <w:b/>
          <w:bCs/>
        </w:rPr>
        <w:t xml:space="preserve">Qué cambió con la reforma. </w:t>
      </w:r>
      <w:r>
        <w:t xml:space="preserve">Los montos ahora se miden en UMA.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777777" w:sz="24"/>
              <w:bottom w:val="none"/>
              <w:right w:val="none"/>
            </w:tcBorders>
            <w:shd w:fill="EEF1F4" w:val="clear"/>
            <w:tcMar>
              <w:top w:type="dxa" w:w="120"/>
              <w:left w:type="dxa" w:w="200"/>
              <w:bottom w:type="dxa" w:w="120"/>
              <w:right w:type="dxa" w:w="160"/>
            </w:tcMar>
          </w:tcPr>
          <w:p>
            <w:pPr>
              <w:spacing w:after="60"/>
            </w:pPr>
            <w:r>
              <w:rPr>
                <w:b/>
                <w:bCs/>
                <w:color w:val="777777"/>
                <w:sz w:val="19"/>
                <w:szCs w:val="19"/>
              </w:rPr>
              <w:t xml:space="preserve">SEMÁFORO DE RIESGO</w:t>
            </w:r>
          </w:p>
          <w:p>
            <w:pPr>
              <w:spacing w:after="40" w:before="0" w:line="286"/>
            </w:pPr>
            <w:r>
              <w:rPr>
                <w:b/>
                <w:bCs/>
                <w:color w:val="C1272D"/>
              </w:rPr>
              <w:t xml:space="preserve">Más riesgo: </w:t>
            </w:r>
            <w:r>
              <w:t xml:space="preserve">Blindaje de lujo pagado en efectivo.</w:t>
            </w:r>
          </w:p>
          <w:p>
            <w:pPr>
              <w:spacing w:after="0" w:before="0" w:line="286"/>
            </w:pPr>
            <w:r>
              <w:rPr>
                <w:b/>
                <w:bCs/>
                <w:color w:val="2E7D32"/>
              </w:rPr>
              <w:t xml:space="preserve">Menos riesgo: </w:t>
            </w:r>
            <w:r>
              <w:t xml:space="preserve">Contratado por empresa regulada con pago bancario.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5B7C99" w:sz="24"/>
              <w:bottom w:val="none"/>
              <w:right w:val="none"/>
            </w:tcBorders>
            <w:shd w:fill="EFF3F7" w:val="clear"/>
            <w:tcMar>
              <w:top w:type="dxa" w:w="120"/>
              <w:left w:type="dxa" w:w="200"/>
              <w:bottom w:type="dxa" w:w="120"/>
              <w:right w:type="dxa" w:w="160"/>
            </w:tcMar>
          </w:tcPr>
          <w:p>
            <w:pPr>
              <w:spacing w:after="60"/>
            </w:pPr>
            <w:r>
              <w:rPr>
                <w:b/>
                <w:bCs/>
                <w:color w:val="5B7C99"/>
                <w:sz w:val="19"/>
                <w:szCs w:val="19"/>
              </w:rPr>
              <w:t xml:space="preserve">UN CASO REAL</w:t>
            </w:r>
          </w:p>
          <w:p>
            <w:pPr>
              <w:spacing w:after="0" w:before="0" w:line="286"/>
            </w:pPr>
            <w:r>
              <w:t xml:space="preserve">Un cliente quiere blindar dos camionetas de inmediato, paga todo en efectivo y se molesta cuando le pides una identificación.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1272D" w:sz="24"/>
              <w:bottom w:val="none"/>
              <w:right w:val="none"/>
            </w:tcBorders>
            <w:shd w:fill="FBEAE8" w:val="clear"/>
            <w:tcMar>
              <w:top w:type="dxa" w:w="120"/>
              <w:left w:type="dxa" w:w="200"/>
              <w:bottom w:type="dxa" w:w="120"/>
              <w:right w:type="dxa" w:w="160"/>
            </w:tcMar>
          </w:tcPr>
          <w:p>
            <w:pPr>
              <w:spacing w:after="60"/>
            </w:pPr>
            <w:r>
              <w:rPr>
                <w:b/>
                <w:bCs/>
                <w:color w:val="C1272D"/>
                <w:sz w:val="19"/>
                <w:szCs w:val="19"/>
              </w:rPr>
              <w:t xml:space="preserve">FOCOS ROJOS (si ves esto, prende la antena)</w:t>
            </w:r>
          </w:p>
          <w:p>
            <w:pPr>
              <w:pStyle w:val="ListParagraph"/>
              <w:numPr>
                <w:ilvl w:val="0"/>
                <w:numId w:val="2"/>
              </w:numPr>
              <w:spacing w:after="60" w:line="280"/>
            </w:pPr>
            <w:r>
              <w:t xml:space="preserve">Pago en efectivo de montos altos.</w:t>
            </w:r>
          </w:p>
          <w:p>
            <w:pPr>
              <w:pStyle w:val="ListParagraph"/>
              <w:numPr>
                <w:ilvl w:val="0"/>
                <w:numId w:val="2"/>
              </w:numPr>
              <w:spacing w:after="60" w:line="280"/>
            </w:pPr>
            <w:r>
              <w:t xml:space="preserve">Cliente que no quiere dar datos.</w:t>
            </w:r>
          </w:p>
          <w:p>
            <w:pPr>
              <w:pStyle w:val="ListParagraph"/>
              <w:numPr>
                <w:ilvl w:val="0"/>
                <w:numId w:val="2"/>
              </w:numPr>
              <w:spacing w:after="60" w:line="280"/>
            </w:pPr>
            <w:r>
              <w:t xml:space="preserve">Varios trabajos seguidos para distintas personas que pagan igual.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8860B" w:sz="24"/>
              <w:bottom w:val="none"/>
              <w:right w:val="none"/>
            </w:tcBorders>
            <w:shd w:fill="FBF3DD" w:val="clear"/>
            <w:tcMar>
              <w:top w:type="dxa" w:w="120"/>
              <w:left w:type="dxa" w:w="200"/>
              <w:bottom w:type="dxa" w:w="120"/>
              <w:right w:type="dxa" w:w="160"/>
            </w:tcMar>
          </w:tcPr>
          <w:p>
            <w:pPr>
              <w:spacing w:after="60"/>
            </w:pPr>
            <w:r>
              <w:rPr>
                <w:b/>
                <w:bCs/>
                <w:color w:val="B8860B"/>
                <w:sz w:val="19"/>
                <w:szCs w:val="19"/>
              </w:rPr>
              <w:t xml:space="preserve">REGLA DE ORO</w:t>
            </w:r>
          </w:p>
          <w:p>
            <w:pPr>
              <w:spacing w:after="0" w:before="0" w:line="286"/>
            </w:pPr>
            <w:r>
              <w:t xml:space="preserve">Desde $282,717 identificas a quien le blindas; y siempre pregúntate quién paga el blindaje.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6FB2" w:sz="24"/>
              <w:bottom w:val="none"/>
              <w:right w:val="none"/>
            </w:tcBorders>
            <w:shd w:fill="E9F1FA" w:val="clear"/>
            <w:tcMar>
              <w:top w:type="dxa" w:w="120"/>
              <w:left w:type="dxa" w:w="200"/>
              <w:bottom w:type="dxa" w:w="120"/>
              <w:right w:type="dxa" w:w="160"/>
            </w:tcMar>
          </w:tcPr>
          <w:p>
            <w:pPr>
              <w:spacing w:after="60"/>
            </w:pPr>
            <w:r>
              <w:rPr>
                <w:b/>
                <w:bCs/>
                <w:color w:val="1F6FB2"/>
                <w:sz w:val="19"/>
                <w:szCs w:val="19"/>
              </w:rPr>
              <w:t xml:space="preserve">EL LUNES POR LA MAÑANA</w:t>
            </w:r>
          </w:p>
          <w:p>
            <w:pPr>
              <w:pStyle w:val="ListParagraph"/>
              <w:numPr>
                <w:ilvl w:val="0"/>
                <w:numId w:val="2"/>
              </w:numPr>
              <w:spacing w:after="60" w:line="280"/>
            </w:pPr>
            <w:r>
              <w:t xml:space="preserve">Arma un expediente con identificación y forma de pago de cada trabajo grande.</w:t>
            </w:r>
          </w:p>
        </w:tc>
      </w:tr>
    </w:tbl>
    <w:p>
      <w:pPr>
        <w:spacing w:after="160"/>
      </w:pPr>
      <w:r>
        <w:t xml:space="preserve"/>
      </w:r>
    </w:p>
    <w:p>
      <w:pPr>
        <w:pStyle w:val="Heading2"/>
        <w:keepNext/>
        <w:keepLines/>
      </w:pPr>
      <w:r>
        <w:t xml:space="preserve">El que presta dinero sin ser banco</w:t>
      </w:r>
    </w:p>
    <w:p>
      <w:pPr>
        <w:spacing w:after="80" w:before="0" w:line="286"/>
      </w:pPr>
      <w:r>
        <w:rPr>
          <w:b/>
          <w:bCs/>
          <w:color w:val="9E1B1B"/>
          <w:sz w:val="19"/>
          <w:szCs w:val="19"/>
        </w:rPr>
        <w:t xml:space="preserve">Artículo 17, Fracción IV</w:t>
      </w:r>
    </w:p>
    <w:p>
      <w:pPr>
        <w:spacing w:after="120" w:before="0" w:line="286"/>
      </w:pPr>
      <w:r>
        <w:rPr>
          <w:b/>
          <w:bCs/>
          <w:sz w:val="23"/>
          <w:szCs w:val="23"/>
        </w:rPr>
        <w:t xml:space="preserve">¿Prestas dinero o das créditos sin ser banco (financieras, casas de empeño, prestamistas)?</w:t>
      </w:r>
    </w:p>
    <w:p>
      <w:pPr>
        <w:spacing w:after="120" w:before="0" w:line="286"/>
      </w:pPr>
      <w:r>
        <w:rPr>
          <w:b/>
          <w:bCs/>
        </w:rPr>
        <w:t xml:space="preserve">Por qué te vigilan. </w:t>
      </w:r>
      <w:r>
        <w:t xml:space="preserve">El préstamo sirve para 'limpiar' dinero: meto dinero sucio, lo presto, me lo pagan y ya parece ingreso legal. El truco más usado se llama 'préstamo de regreso'.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Cómo te usan</w:t>
            </w:r>
          </w:p>
        </w:tc>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Por qué pueden</w:t>
            </w:r>
          </w:p>
        </w:tc>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Qué te cuesta</w:t>
            </w:r>
          </w:p>
        </w:tc>
      </w:tr>
      <w:tr>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Inyectan dinero sucio disfrazado de crédito.</w:t>
            </w:r>
          </w:p>
        </w:tc>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El crédito es flexible y admite efectivo.</w:t>
            </w:r>
          </w:p>
        </w:tc>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Ser parte de un esquema de lavado.</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AA7B2" w:sz="4"/>
              <w:left w:val="single" w:color="9AA7B2" w:sz="4"/>
              <w:bottom w:val="single" w:color="9AA7B2" w:sz="4"/>
              <w:right w:val="single" w:color="9AA7B2" w:sz="4"/>
            </w:tcBorders>
            <w:shd w:fill="EEF1F4" w:val="clear"/>
            <w:tcMar>
              <w:top w:type="dxa" w:w="100"/>
              <w:left w:type="dxa" w:w="160"/>
              <w:bottom w:type="dxa" w:w="100"/>
              <w:right w:type="dxa" w:w="120"/>
            </w:tcMar>
          </w:tcPr>
          <w:p>
            <w:pPr>
              <w:spacing w:after="40"/>
            </w:pPr>
            <w:r>
              <w:rPr>
                <w:b/>
                <w:bCs/>
                <w:color w:val="555555"/>
                <w:sz w:val="17"/>
                <w:szCs w:val="17"/>
              </w:rPr>
              <w:t xml:space="preserve">Pides identificacion desde</w:t>
            </w:r>
          </w:p>
          <w:p>
            <w:r>
              <w:rPr>
                <w:b/>
                <w:bCs/>
                <w:color w:val="1A1A1A"/>
                <w:sz w:val="22"/>
                <w:szCs w:val="22"/>
              </w:rPr>
              <w:t xml:space="preserve">Siempre.</w:t>
            </w:r>
          </w:p>
        </w:tc>
        <w:tc>
          <w:tcPr>
            <w:tcW w:type="dxa" w:w="4680"/>
            <w:tcBorders>
              <w:top w:val="single" w:color="9AA7B2" w:sz="4"/>
              <w:left w:val="single" w:color="9AA7B2" w:sz="4"/>
              <w:bottom w:val="single" w:color="9AA7B2" w:sz="4"/>
              <w:right w:val="single" w:color="9AA7B2" w:sz="4"/>
            </w:tcBorders>
            <w:shd w:fill="EEF1F4" w:val="clear"/>
            <w:tcMar>
              <w:top w:type="dxa" w:w="100"/>
              <w:left w:type="dxa" w:w="160"/>
              <w:bottom w:type="dxa" w:w="100"/>
              <w:right w:type="dxa" w:w="120"/>
            </w:tcMar>
          </w:tcPr>
          <w:p>
            <w:pPr>
              <w:spacing w:after="40"/>
            </w:pPr>
            <w:r>
              <w:rPr>
                <w:b/>
                <w:bCs/>
                <w:color w:val="555555"/>
                <w:sz w:val="17"/>
                <w:szCs w:val="17"/>
              </w:rPr>
              <w:t xml:space="preserve">Reportas al SAT (Aviso) desde</w:t>
            </w:r>
          </w:p>
          <w:p>
            <w:r>
              <w:rPr>
                <w:b/>
                <w:bCs/>
                <w:color w:val="1A1A1A"/>
                <w:sz w:val="22"/>
                <w:szCs w:val="22"/>
              </w:rPr>
              <w:t xml:space="preserve">$188,283 (1,605 UMA).</w:t>
            </w:r>
          </w:p>
        </w:tc>
      </w:tr>
    </w:tbl>
    <w:p>
      <w:pPr>
        <w:spacing w:after="40"/>
      </w:pPr>
      <w:r>
        <w:t xml:space="preserve"/>
      </w:r>
    </w:p>
    <w:p>
      <w:pPr>
        <w:spacing w:after="120" w:before="40" w:line="286"/>
      </w:pPr>
      <w:r>
        <w:rPr>
          <w:b/>
          <w:bCs/>
        </w:rPr>
        <w:t xml:space="preserve">Qué cambió con la reforma. </w:t>
      </w:r>
      <w:r>
        <w:t xml:space="preserve">Los montos ahora se miden en UMA.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777777" w:sz="24"/>
              <w:bottom w:val="none"/>
              <w:right w:val="none"/>
            </w:tcBorders>
            <w:shd w:fill="EEF1F4" w:val="clear"/>
            <w:tcMar>
              <w:top w:type="dxa" w:w="120"/>
              <w:left w:type="dxa" w:w="200"/>
              <w:bottom w:type="dxa" w:w="120"/>
              <w:right w:type="dxa" w:w="160"/>
            </w:tcMar>
          </w:tcPr>
          <w:p>
            <w:pPr>
              <w:spacing w:after="60"/>
            </w:pPr>
            <w:r>
              <w:rPr>
                <w:b/>
                <w:bCs/>
                <w:color w:val="777777"/>
                <w:sz w:val="19"/>
                <w:szCs w:val="19"/>
              </w:rPr>
              <w:t xml:space="preserve">SEMÁFORO DE RIESGO</w:t>
            </w:r>
          </w:p>
          <w:p>
            <w:pPr>
              <w:spacing w:after="40" w:before="0" w:line="286"/>
            </w:pPr>
            <w:r>
              <w:rPr>
                <w:b/>
                <w:bCs/>
                <w:color w:val="C1272D"/>
              </w:rPr>
              <w:t xml:space="preserve">Más riesgo: </w:t>
            </w:r>
            <w:r>
              <w:t xml:space="preserve">Crédito en efectivo, sin garantía, liquidado por adelantado.</w:t>
            </w:r>
          </w:p>
          <w:p>
            <w:pPr>
              <w:spacing w:after="0" w:before="0" w:line="286"/>
            </w:pPr>
            <w:r>
              <w:rPr>
                <w:b/>
                <w:bCs/>
                <w:color w:val="2E7D32"/>
              </w:rPr>
              <w:t xml:space="preserve">Menos riesgo: </w:t>
            </w:r>
            <w:r>
              <w:t xml:space="preserve">Crédito con garantía real y pagos rastreables por banco.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5B7C99" w:sz="24"/>
              <w:bottom w:val="none"/>
              <w:right w:val="none"/>
            </w:tcBorders>
            <w:shd w:fill="EFF3F7" w:val="clear"/>
            <w:tcMar>
              <w:top w:type="dxa" w:w="120"/>
              <w:left w:type="dxa" w:w="200"/>
              <w:bottom w:type="dxa" w:w="120"/>
              <w:right w:type="dxa" w:w="160"/>
            </w:tcMar>
          </w:tcPr>
          <w:p>
            <w:pPr>
              <w:spacing w:after="60"/>
            </w:pPr>
            <w:r>
              <w:rPr>
                <w:b/>
                <w:bCs/>
                <w:color w:val="5B7C99"/>
                <w:sz w:val="19"/>
                <w:szCs w:val="19"/>
              </w:rPr>
              <w:t xml:space="preserve">UN CASO REAL</w:t>
            </w:r>
          </w:p>
          <w:p>
            <w:pPr>
              <w:spacing w:after="0" w:before="0" w:line="286"/>
            </w:pPr>
            <w:r>
              <w:t xml:space="preserve">El 'préstamo de regreso': una empresa fantasma en el extranjero le 'presta' a alguien en México. Con ese dinero compra una casa y luego paga el préstamo con más dinero sucio, creando un historial que se ve totalmente legal.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1272D" w:sz="24"/>
              <w:bottom w:val="none"/>
              <w:right w:val="none"/>
            </w:tcBorders>
            <w:shd w:fill="FBEAE8" w:val="clear"/>
            <w:tcMar>
              <w:top w:type="dxa" w:w="120"/>
              <w:left w:type="dxa" w:w="200"/>
              <w:bottom w:type="dxa" w:w="120"/>
              <w:right w:type="dxa" w:w="160"/>
            </w:tcMar>
          </w:tcPr>
          <w:p>
            <w:pPr>
              <w:spacing w:after="60"/>
            </w:pPr>
            <w:r>
              <w:rPr>
                <w:b/>
                <w:bCs/>
                <w:color w:val="C1272D"/>
                <w:sz w:val="19"/>
                <w:szCs w:val="19"/>
              </w:rPr>
              <w:t xml:space="preserve">FOCOS ROJOS (si ves esto, prende la antena)</w:t>
            </w:r>
          </w:p>
          <w:p>
            <w:pPr>
              <w:pStyle w:val="ListParagraph"/>
              <w:numPr>
                <w:ilvl w:val="0"/>
                <w:numId w:val="2"/>
              </w:numPr>
              <w:spacing w:after="60" w:line="280"/>
            </w:pPr>
            <w:r>
              <w:t xml:space="preserve">Pagan el préstamo por adelantado y completo, sobre todo en efectivo o desde un tercero inesperado.</w:t>
            </w:r>
          </w:p>
          <w:p>
            <w:pPr>
              <w:pStyle w:val="ListParagraph"/>
              <w:numPr>
                <w:ilvl w:val="0"/>
                <w:numId w:val="2"/>
              </w:numPr>
              <w:spacing w:after="60" w:line="280"/>
            </w:pPr>
            <w:r>
              <w:t xml:space="preserve">La garantía está en otro país sin relación con el cliente.</w:t>
            </w:r>
          </w:p>
          <w:p>
            <w:pPr>
              <w:pStyle w:val="ListParagraph"/>
              <w:numPr>
                <w:ilvl w:val="0"/>
                <w:numId w:val="2"/>
              </w:numPr>
              <w:spacing w:after="60" w:line="280"/>
            </w:pPr>
            <w:r>
              <w:t xml:space="preserve">No les importa la tasa de interés ni las condiciones.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8860B" w:sz="24"/>
              <w:bottom w:val="none"/>
              <w:right w:val="none"/>
            </w:tcBorders>
            <w:shd w:fill="FBF3DD" w:val="clear"/>
            <w:tcMar>
              <w:top w:type="dxa" w:w="120"/>
              <w:left w:type="dxa" w:w="200"/>
              <w:bottom w:type="dxa" w:w="120"/>
              <w:right w:type="dxa" w:w="160"/>
            </w:tcMar>
          </w:tcPr>
          <w:p>
            <w:pPr>
              <w:spacing w:after="60"/>
            </w:pPr>
            <w:r>
              <w:rPr>
                <w:b/>
                <w:bCs/>
                <w:color w:val="B8860B"/>
                <w:sz w:val="19"/>
                <w:szCs w:val="19"/>
              </w:rPr>
              <w:t xml:space="preserve">REGLA DE ORO</w:t>
            </w:r>
          </w:p>
          <w:p>
            <w:pPr>
              <w:spacing w:after="0" w:before="0" w:line="286"/>
            </w:pPr>
            <w:r>
              <w:t xml:space="preserve">A quien no le importa cuánto le cobras de interés, le importa otra cosa.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6FB2" w:sz="24"/>
              <w:bottom w:val="none"/>
              <w:right w:val="none"/>
            </w:tcBorders>
            <w:shd w:fill="E9F1FA" w:val="clear"/>
            <w:tcMar>
              <w:top w:type="dxa" w:w="120"/>
              <w:left w:type="dxa" w:w="200"/>
              <w:bottom w:type="dxa" w:w="120"/>
              <w:right w:type="dxa" w:w="160"/>
            </w:tcMar>
          </w:tcPr>
          <w:p>
            <w:pPr>
              <w:spacing w:after="60"/>
            </w:pPr>
            <w:r>
              <w:rPr>
                <w:b/>
                <w:bCs/>
                <w:color w:val="1F6FB2"/>
                <w:sz w:val="19"/>
                <w:szCs w:val="19"/>
              </w:rPr>
              <w:t xml:space="preserve">EL LUNES POR LA MAÑANA</w:t>
            </w:r>
          </w:p>
          <w:p>
            <w:pPr>
              <w:pStyle w:val="ListParagraph"/>
              <w:numPr>
                <w:ilvl w:val="0"/>
                <w:numId w:val="2"/>
              </w:numPr>
              <w:spacing w:after="60" w:line="280"/>
            </w:pPr>
            <w:r>
              <w:t xml:space="preserve">Documenta de dónde viene el dinero con que te pagan.</w:t>
            </w:r>
          </w:p>
          <w:p>
            <w:pPr>
              <w:pStyle w:val="ListParagraph"/>
              <w:numPr>
                <w:ilvl w:val="0"/>
                <w:numId w:val="2"/>
              </w:numPr>
              <w:spacing w:after="60" w:line="280"/>
            </w:pPr>
            <w:r>
              <w:t xml:space="preserve">Alerta los pagos anticipados grandes en efectivo.</w:t>
            </w:r>
          </w:p>
        </w:tc>
      </w:tr>
    </w:tbl>
    <w:p>
      <w:pPr>
        <w:spacing w:after="160"/>
      </w:pPr>
      <w:r>
        <w:t xml:space="preserve"/>
      </w:r>
    </w:p>
    <w:p>
      <w:pPr>
        <w:pStyle w:val="Heading2"/>
        <w:keepNext/>
        <w:keepLines/>
      </w:pPr>
      <w:r>
        <w:t xml:space="preserve">Tarjetas de crédito, prepagadas y monederos</w:t>
      </w:r>
    </w:p>
    <w:p>
      <w:pPr>
        <w:spacing w:after="80" w:before="0" w:line="286"/>
      </w:pPr>
      <w:r>
        <w:rPr>
          <w:b/>
          <w:bCs/>
          <w:color w:val="9E1B1B"/>
          <w:sz w:val="19"/>
          <w:szCs w:val="19"/>
        </w:rPr>
        <w:t xml:space="preserve">Artículo 17, Fracción II</w:t>
      </w:r>
    </w:p>
    <w:p>
      <w:pPr>
        <w:spacing w:after="120" w:before="0" w:line="286"/>
      </w:pPr>
      <w:r>
        <w:rPr>
          <w:b/>
          <w:bCs/>
          <w:sz w:val="23"/>
          <w:szCs w:val="23"/>
        </w:rPr>
        <w:t xml:space="preserve">¿Emites o comercializas tarjetas de crédito, prepagadas o monederos electrónicos?</w:t>
      </w:r>
    </w:p>
    <w:p>
      <w:pPr>
        <w:spacing w:after="120" w:before="0" w:line="286"/>
      </w:pPr>
      <w:r>
        <w:rPr>
          <w:b/>
          <w:bCs/>
        </w:rPr>
        <w:t xml:space="preserve">Por qué te vigilan. </w:t>
      </w:r>
      <w:r>
        <w:t xml:space="preserve">Las prepagadas se cargan con efectivo y se gastan donde sea, casi sin nombre. Son dinero anónimo de bolsillo, muy útil para una red criminal.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Cómo te usan</w:t>
            </w:r>
          </w:p>
        </w:tc>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Por qué pueden</w:t>
            </w:r>
          </w:p>
        </w:tc>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Qué te cuesta</w:t>
            </w:r>
          </w:p>
        </w:tc>
      </w:tr>
      <w:tr>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Dispersan fondos de forma casi anónima.</w:t>
            </w:r>
          </w:p>
        </w:tc>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Poca identificación en productos masivos.</w:t>
            </w:r>
          </w:p>
        </w:tc>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Multas y detección por la UIF.</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AA7B2" w:sz="4"/>
              <w:left w:val="single" w:color="9AA7B2" w:sz="4"/>
              <w:bottom w:val="single" w:color="9AA7B2" w:sz="4"/>
              <w:right w:val="single" w:color="9AA7B2" w:sz="4"/>
            </w:tcBorders>
            <w:shd w:fill="EEF1F4" w:val="clear"/>
            <w:tcMar>
              <w:top w:type="dxa" w:w="100"/>
              <w:left w:type="dxa" w:w="160"/>
              <w:bottom w:type="dxa" w:w="100"/>
              <w:right w:type="dxa" w:w="120"/>
            </w:tcMar>
          </w:tcPr>
          <w:p>
            <w:pPr>
              <w:spacing w:after="40"/>
            </w:pPr>
            <w:r>
              <w:rPr>
                <w:b/>
                <w:bCs/>
                <w:color w:val="555555"/>
                <w:sz w:val="17"/>
                <w:szCs w:val="17"/>
              </w:rPr>
              <w:t xml:space="preserve">Pides identificacion desde</w:t>
            </w:r>
          </w:p>
          <w:p>
            <w:r>
              <w:rPr>
                <w:b/>
                <w:bCs/>
                <w:color w:val="1A1A1A"/>
                <w:sz w:val="22"/>
                <w:szCs w:val="22"/>
              </w:rPr>
              <w:t xml:space="preserve">$94,435 (805 UMA) crédito/servicios. $75,665 (645 UMA) prepagadas/monederos.</w:t>
            </w:r>
          </w:p>
        </w:tc>
        <w:tc>
          <w:tcPr>
            <w:tcW w:type="dxa" w:w="4680"/>
            <w:tcBorders>
              <w:top w:val="single" w:color="9AA7B2" w:sz="4"/>
              <w:left w:val="single" w:color="9AA7B2" w:sz="4"/>
              <w:bottom w:val="single" w:color="9AA7B2" w:sz="4"/>
              <w:right w:val="single" w:color="9AA7B2" w:sz="4"/>
            </w:tcBorders>
            <w:shd w:fill="EEF1F4" w:val="clear"/>
            <w:tcMar>
              <w:top w:type="dxa" w:w="100"/>
              <w:left w:type="dxa" w:w="160"/>
              <w:bottom w:type="dxa" w:w="100"/>
              <w:right w:type="dxa" w:w="120"/>
            </w:tcMar>
          </w:tcPr>
          <w:p>
            <w:pPr>
              <w:spacing w:after="40"/>
            </w:pPr>
            <w:r>
              <w:rPr>
                <w:b/>
                <w:bCs/>
                <w:color w:val="555555"/>
                <w:sz w:val="17"/>
                <w:szCs w:val="17"/>
              </w:rPr>
              <w:t xml:space="preserve">Reportas al SAT (Aviso) desde</w:t>
            </w:r>
          </w:p>
          <w:p>
            <w:r>
              <w:rPr>
                <w:b/>
                <w:bCs/>
                <w:color w:val="1A1A1A"/>
                <w:sz w:val="22"/>
                <w:szCs w:val="22"/>
              </w:rPr>
              <w:t xml:space="preserve">$150,743 (1,285 UMA) crédito/servicios. $75,665 (645 UMA) prepagadas.</w:t>
            </w:r>
          </w:p>
        </w:tc>
      </w:tr>
    </w:tbl>
    <w:p>
      <w:pPr>
        <w:spacing w:after="40"/>
      </w:pPr>
      <w:r>
        <w:t xml:space="preserve"/>
      </w:r>
    </w:p>
    <w:p>
      <w:pPr>
        <w:spacing w:after="120" w:before="40" w:line="286"/>
      </w:pPr>
      <w:r>
        <w:rPr>
          <w:b/>
          <w:bCs/>
        </w:rPr>
        <w:t xml:space="preserve">Qué cambió con la reforma. </w:t>
      </w:r>
      <w:r>
        <w:t xml:space="preserve">Los montos ahora se miden en UMA.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777777" w:sz="24"/>
              <w:bottom w:val="none"/>
              <w:right w:val="none"/>
            </w:tcBorders>
            <w:shd w:fill="EEF1F4" w:val="clear"/>
            <w:tcMar>
              <w:top w:type="dxa" w:w="120"/>
              <w:left w:type="dxa" w:w="200"/>
              <w:bottom w:type="dxa" w:w="120"/>
              <w:right w:type="dxa" w:w="160"/>
            </w:tcMar>
          </w:tcPr>
          <w:p>
            <w:pPr>
              <w:spacing w:after="60"/>
            </w:pPr>
            <w:r>
              <w:rPr>
                <w:b/>
                <w:bCs/>
                <w:color w:val="777777"/>
                <w:sz w:val="19"/>
                <w:szCs w:val="19"/>
              </w:rPr>
              <w:t xml:space="preserve">SEMÁFORO DE RIESGO</w:t>
            </w:r>
          </w:p>
          <w:p>
            <w:pPr>
              <w:spacing w:after="40" w:before="0" w:line="286"/>
            </w:pPr>
            <w:r>
              <w:rPr>
                <w:b/>
                <w:bCs/>
                <w:color w:val="C1272D"/>
              </w:rPr>
              <w:t xml:space="preserve">Más riesgo: </w:t>
            </w:r>
            <w:r>
              <w:t xml:space="preserve">Recargas en efectivo de alto monto, compra masiva de tarjetas.</w:t>
            </w:r>
          </w:p>
          <w:p>
            <w:pPr>
              <w:spacing w:after="0" w:before="0" w:line="286"/>
            </w:pPr>
            <w:r>
              <w:rPr>
                <w:b/>
                <w:bCs/>
                <w:color w:val="2E7D32"/>
              </w:rPr>
              <w:t xml:space="preserve">Menos riesgo: </w:t>
            </w:r>
            <w:r>
              <w:t xml:space="preserve">Recarga desde cuenta bancaria, límites bajos y rastreables.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5B7C99" w:sz="24"/>
              <w:bottom w:val="none"/>
              <w:right w:val="none"/>
            </w:tcBorders>
            <w:shd w:fill="EFF3F7" w:val="clear"/>
            <w:tcMar>
              <w:top w:type="dxa" w:w="120"/>
              <w:left w:type="dxa" w:w="200"/>
              <w:bottom w:type="dxa" w:w="120"/>
              <w:right w:type="dxa" w:w="160"/>
            </w:tcMar>
          </w:tcPr>
          <w:p>
            <w:pPr>
              <w:spacing w:after="60"/>
            </w:pPr>
            <w:r>
              <w:rPr>
                <w:b/>
                <w:bCs/>
                <w:color w:val="5B7C99"/>
                <w:sz w:val="19"/>
                <w:szCs w:val="19"/>
              </w:rPr>
              <w:t xml:space="preserve">UN CASO REAL</w:t>
            </w:r>
          </w:p>
          <w:p>
            <w:pPr>
              <w:spacing w:after="0" w:before="0" w:line="286"/>
            </w:pPr>
            <w:r>
              <w:t xml:space="preserve">Una red reparte decenas de tarjetas prepagadas y las recarga con poquito efectivo en cientos de tiendas distintas durante una semana para no llamar la atención. Luego cada quien gasta su tarjeta.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1272D" w:sz="24"/>
              <w:bottom w:val="none"/>
              <w:right w:val="none"/>
            </w:tcBorders>
            <w:shd w:fill="FBEAE8" w:val="clear"/>
            <w:tcMar>
              <w:top w:type="dxa" w:w="120"/>
              <w:left w:type="dxa" w:w="200"/>
              <w:bottom w:type="dxa" w:w="120"/>
              <w:right w:type="dxa" w:w="160"/>
            </w:tcMar>
          </w:tcPr>
          <w:p>
            <w:pPr>
              <w:spacing w:after="60"/>
            </w:pPr>
            <w:r>
              <w:rPr>
                <w:b/>
                <w:bCs/>
                <w:color w:val="C1272D"/>
                <w:sz w:val="19"/>
                <w:szCs w:val="19"/>
              </w:rPr>
              <w:t xml:space="preserve">FOCOS ROJOS (si ves esto, prende la antena)</w:t>
            </w:r>
          </w:p>
          <w:p>
            <w:pPr>
              <w:pStyle w:val="ListParagraph"/>
              <w:numPr>
                <w:ilvl w:val="0"/>
                <w:numId w:val="2"/>
              </w:numPr>
              <w:spacing w:after="60" w:line="280"/>
            </w:pPr>
            <w:r>
              <w:t xml:space="preserve">Varias personas recargan la misma tarjeta.</w:t>
            </w:r>
          </w:p>
          <w:p>
            <w:pPr>
              <w:pStyle w:val="ListParagraph"/>
              <w:numPr>
                <w:ilvl w:val="0"/>
                <w:numId w:val="2"/>
              </w:numPr>
              <w:spacing w:after="60" w:line="280"/>
            </w:pPr>
            <w:r>
              <w:t xml:space="preserve">Se carga en una ciudad y se gasta en otra.</w:t>
            </w:r>
          </w:p>
          <w:p>
            <w:pPr>
              <w:pStyle w:val="ListParagraph"/>
              <w:numPr>
                <w:ilvl w:val="0"/>
                <w:numId w:val="2"/>
              </w:numPr>
              <w:spacing w:after="60" w:line="280"/>
            </w:pPr>
            <w:r>
              <w:t xml:space="preserve">Recargas frecuentes tantito abajo del monto que obliga a identificar.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8860B" w:sz="24"/>
              <w:bottom w:val="none"/>
              <w:right w:val="none"/>
            </w:tcBorders>
            <w:shd w:fill="FBF3DD" w:val="clear"/>
            <w:tcMar>
              <w:top w:type="dxa" w:w="120"/>
              <w:left w:type="dxa" w:w="200"/>
              <w:bottom w:type="dxa" w:w="120"/>
              <w:right w:type="dxa" w:w="160"/>
            </w:tcMar>
          </w:tcPr>
          <w:p>
            <w:pPr>
              <w:spacing w:after="60"/>
            </w:pPr>
            <w:r>
              <w:rPr>
                <w:b/>
                <w:bCs/>
                <w:color w:val="B8860B"/>
                <w:sz w:val="19"/>
                <w:szCs w:val="19"/>
              </w:rPr>
              <w:t xml:space="preserve">REGLA DE ORO</w:t>
            </w:r>
          </w:p>
          <w:p>
            <w:pPr>
              <w:spacing w:after="0" w:before="0" w:line="286"/>
            </w:pPr>
            <w:r>
              <w:t xml:space="preserve">Muchas recargas chiquitas a una misma tarjeta no es casualidad, es una bandera.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6FB2" w:sz="24"/>
              <w:bottom w:val="none"/>
              <w:right w:val="none"/>
            </w:tcBorders>
            <w:shd w:fill="E9F1FA" w:val="clear"/>
            <w:tcMar>
              <w:top w:type="dxa" w:w="120"/>
              <w:left w:type="dxa" w:w="200"/>
              <w:bottom w:type="dxa" w:w="120"/>
              <w:right w:type="dxa" w:w="160"/>
            </w:tcMar>
          </w:tcPr>
          <w:p>
            <w:pPr>
              <w:spacing w:after="60"/>
            </w:pPr>
            <w:r>
              <w:rPr>
                <w:b/>
                <w:bCs/>
                <w:color w:val="1F6FB2"/>
                <w:sz w:val="19"/>
                <w:szCs w:val="19"/>
              </w:rPr>
              <w:t xml:space="preserve">EL LUNES POR LA MAÑANA</w:t>
            </w:r>
          </w:p>
          <w:p>
            <w:pPr>
              <w:pStyle w:val="ListParagraph"/>
              <w:numPr>
                <w:ilvl w:val="0"/>
                <w:numId w:val="2"/>
              </w:numPr>
              <w:spacing w:after="60" w:line="280"/>
            </w:pPr>
            <w:r>
              <w:t xml:space="preserve">Alerta las recargas múltiples y partidas.</w:t>
            </w:r>
          </w:p>
          <w:p>
            <w:pPr>
              <w:pStyle w:val="ListParagraph"/>
              <w:numPr>
                <w:ilvl w:val="0"/>
                <w:numId w:val="2"/>
              </w:numPr>
              <w:spacing w:after="60" w:line="280"/>
            </w:pPr>
            <w:r>
              <w:t xml:space="preserve">Identifica desde el monto que marca la ley.</w:t>
            </w:r>
          </w:p>
        </w:tc>
      </w:tr>
    </w:tbl>
    <w:p>
      <w:pPr>
        <w:spacing w:after="160"/>
      </w:pPr>
      <w:r>
        <w:t xml:space="preserve"/>
      </w:r>
    </w:p>
    <w:p>
      <w:pPr>
        <w:pStyle w:val="Heading2"/>
        <w:keepNext/>
        <w:keepLines/>
      </w:pPr>
      <w:r>
        <w:t xml:space="preserve">Cheques de viajero</w:t>
      </w:r>
    </w:p>
    <w:p>
      <w:pPr>
        <w:spacing w:after="80" w:before="0" w:line="286"/>
      </w:pPr>
      <w:r>
        <w:rPr>
          <w:b/>
          <w:bCs/>
          <w:color w:val="9E1B1B"/>
          <w:sz w:val="19"/>
          <w:szCs w:val="19"/>
        </w:rPr>
        <w:t xml:space="preserve">Artículo 17, Fracción III</w:t>
      </w:r>
    </w:p>
    <w:p>
      <w:pPr>
        <w:spacing w:after="120" w:before="0" w:line="286"/>
      </w:pPr>
      <w:r>
        <w:rPr>
          <w:b/>
          <w:bCs/>
          <w:sz w:val="23"/>
          <w:szCs w:val="23"/>
        </w:rPr>
        <w:t xml:space="preserve">¿Vendes o compras cheques de viajero?</w:t>
      </w:r>
    </w:p>
    <w:p>
      <w:pPr>
        <w:spacing w:after="120" w:before="0" w:line="286"/>
      </w:pPr>
      <w:r>
        <w:rPr>
          <w:b/>
          <w:bCs/>
        </w:rPr>
        <w:t xml:space="preserve">Por qué te vigilan. </w:t>
      </w:r>
      <w:r>
        <w:t xml:space="preserve">Se compran y se cobran en muchos países. Sirven para mover valor cruzando fronteras sin dejar tanto rastro.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Cómo te usan</w:t>
            </w:r>
          </w:p>
        </w:tc>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Por qué pueden</w:t>
            </w:r>
          </w:p>
        </w:tc>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Qué te cuesta</w:t>
            </w:r>
          </w:p>
        </w:tc>
      </w:tr>
      <w:tr>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Mueven recursos entre países.</w:t>
            </w:r>
          </w:p>
        </w:tc>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Fáciles de portar y canjear afuera.</w:t>
            </w:r>
          </w:p>
        </w:tc>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Riesgo transfronterizo y sanciones.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AA7B2" w:sz="4"/>
              <w:left w:val="single" w:color="9AA7B2" w:sz="4"/>
              <w:bottom w:val="single" w:color="9AA7B2" w:sz="4"/>
              <w:right w:val="single" w:color="9AA7B2" w:sz="4"/>
            </w:tcBorders>
            <w:shd w:fill="EEF1F4" w:val="clear"/>
            <w:tcMar>
              <w:top w:type="dxa" w:w="100"/>
              <w:left w:type="dxa" w:w="160"/>
              <w:bottom w:type="dxa" w:w="100"/>
              <w:right w:type="dxa" w:w="120"/>
            </w:tcMar>
          </w:tcPr>
          <w:p>
            <w:pPr>
              <w:spacing w:after="40"/>
            </w:pPr>
            <w:r>
              <w:rPr>
                <w:b/>
                <w:bCs/>
                <w:color w:val="555555"/>
                <w:sz w:val="17"/>
                <w:szCs w:val="17"/>
              </w:rPr>
              <w:t xml:space="preserve">Pides identificacion desde</w:t>
            </w:r>
          </w:p>
          <w:p>
            <w:r>
              <w:rPr>
                <w:b/>
                <w:bCs/>
                <w:color w:val="1A1A1A"/>
                <w:sz w:val="22"/>
                <w:szCs w:val="22"/>
              </w:rPr>
              <w:t xml:space="preserve">Siempre.</w:t>
            </w:r>
          </w:p>
        </w:tc>
        <w:tc>
          <w:tcPr>
            <w:tcW w:type="dxa" w:w="4680"/>
            <w:tcBorders>
              <w:top w:val="single" w:color="9AA7B2" w:sz="4"/>
              <w:left w:val="single" w:color="9AA7B2" w:sz="4"/>
              <w:bottom w:val="single" w:color="9AA7B2" w:sz="4"/>
              <w:right w:val="single" w:color="9AA7B2" w:sz="4"/>
            </w:tcBorders>
            <w:shd w:fill="EEF1F4" w:val="clear"/>
            <w:tcMar>
              <w:top w:type="dxa" w:w="100"/>
              <w:left w:type="dxa" w:w="160"/>
              <w:bottom w:type="dxa" w:w="100"/>
              <w:right w:type="dxa" w:w="120"/>
            </w:tcMar>
          </w:tcPr>
          <w:p>
            <w:pPr>
              <w:spacing w:after="40"/>
            </w:pPr>
            <w:r>
              <w:rPr>
                <w:b/>
                <w:bCs/>
                <w:color w:val="555555"/>
                <w:sz w:val="17"/>
                <w:szCs w:val="17"/>
              </w:rPr>
              <w:t xml:space="preserve">Reportas al SAT (Aviso) desde</w:t>
            </w:r>
          </w:p>
          <w:p>
            <w:r>
              <w:rPr>
                <w:b/>
                <w:bCs/>
                <w:color w:val="1A1A1A"/>
                <w:sz w:val="22"/>
                <w:szCs w:val="22"/>
              </w:rPr>
              <w:t xml:space="preserve">$75,665 (645 UMA).</w:t>
            </w:r>
          </w:p>
        </w:tc>
      </w:tr>
    </w:tbl>
    <w:p>
      <w:pPr>
        <w:spacing w:after="40"/>
      </w:pPr>
      <w:r>
        <w:t xml:space="preserve"/>
      </w:r>
    </w:p>
    <w:p>
      <w:pPr>
        <w:spacing w:after="120" w:before="40" w:line="286"/>
      </w:pPr>
      <w:r>
        <w:rPr>
          <w:b/>
          <w:bCs/>
        </w:rPr>
        <w:t xml:space="preserve">Qué cambió con la reforma. </w:t>
      </w:r>
      <w:r>
        <w:t xml:space="preserve">Los montos ahora se miden en UMA.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777777" w:sz="24"/>
              <w:bottom w:val="none"/>
              <w:right w:val="none"/>
            </w:tcBorders>
            <w:shd w:fill="EEF1F4" w:val="clear"/>
            <w:tcMar>
              <w:top w:type="dxa" w:w="120"/>
              <w:left w:type="dxa" w:w="200"/>
              <w:bottom w:type="dxa" w:w="120"/>
              <w:right w:type="dxa" w:w="160"/>
            </w:tcMar>
          </w:tcPr>
          <w:p>
            <w:pPr>
              <w:spacing w:after="60"/>
            </w:pPr>
            <w:r>
              <w:rPr>
                <w:b/>
                <w:bCs/>
                <w:color w:val="777777"/>
                <w:sz w:val="19"/>
                <w:szCs w:val="19"/>
              </w:rPr>
              <w:t xml:space="preserve">SEMÁFORO DE RIESGO</w:t>
            </w:r>
          </w:p>
          <w:p>
            <w:pPr>
              <w:spacing w:after="40" w:before="0" w:line="286"/>
            </w:pPr>
            <w:r>
              <w:rPr>
                <w:b/>
                <w:bCs/>
                <w:color w:val="C1272D"/>
              </w:rPr>
              <w:t xml:space="preserve">Más riesgo: </w:t>
            </w:r>
            <w:r>
              <w:t xml:space="preserve">Emisión en efectivo, montos altos, uso internacional.</w:t>
            </w:r>
          </w:p>
          <w:p>
            <w:pPr>
              <w:spacing w:after="0" w:before="0" w:line="286"/>
            </w:pPr>
            <w:r>
              <w:rPr>
                <w:b/>
                <w:bCs/>
                <w:color w:val="2E7D32"/>
              </w:rPr>
              <w:t xml:space="preserve">Menos riesgo: </w:t>
            </w:r>
            <w:r>
              <w:t xml:space="preserve">Compra con transferencia desde cuenta de un cliente identificado.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5B7C99" w:sz="24"/>
              <w:bottom w:val="none"/>
              <w:right w:val="none"/>
            </w:tcBorders>
            <w:shd w:fill="EFF3F7" w:val="clear"/>
            <w:tcMar>
              <w:top w:type="dxa" w:w="120"/>
              <w:left w:type="dxa" w:w="200"/>
              <w:bottom w:type="dxa" w:w="120"/>
              <w:right w:type="dxa" w:w="160"/>
            </w:tcMar>
          </w:tcPr>
          <w:p>
            <w:pPr>
              <w:spacing w:after="60"/>
            </w:pPr>
            <w:r>
              <w:rPr>
                <w:b/>
                <w:bCs/>
                <w:color w:val="5B7C99"/>
                <w:sz w:val="19"/>
                <w:szCs w:val="19"/>
              </w:rPr>
              <w:t xml:space="preserve">UN CASO REAL</w:t>
            </w:r>
          </w:p>
          <w:p>
            <w:pPr>
              <w:spacing w:after="0" w:before="0" w:line="286"/>
            </w:pPr>
            <w:r>
              <w:t xml:space="preserve">Una persona compra cheques de viajero por montos altos varias veces en pocos días, los liquida en efectivo y no quiere dar sus datos.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1272D" w:sz="24"/>
              <w:bottom w:val="none"/>
              <w:right w:val="none"/>
            </w:tcBorders>
            <w:shd w:fill="FBEAE8" w:val="clear"/>
            <w:tcMar>
              <w:top w:type="dxa" w:w="120"/>
              <w:left w:type="dxa" w:w="200"/>
              <w:bottom w:type="dxa" w:w="120"/>
              <w:right w:type="dxa" w:w="160"/>
            </w:tcMar>
          </w:tcPr>
          <w:p>
            <w:pPr>
              <w:spacing w:after="60"/>
            </w:pPr>
            <w:r>
              <w:rPr>
                <w:b/>
                <w:bCs/>
                <w:color w:val="C1272D"/>
                <w:sz w:val="19"/>
                <w:szCs w:val="19"/>
              </w:rPr>
              <w:t xml:space="preserve">FOCOS ROJOS (si ves esto, prende la antena)</w:t>
            </w:r>
          </w:p>
          <w:p>
            <w:pPr>
              <w:pStyle w:val="ListParagraph"/>
              <w:numPr>
                <w:ilvl w:val="0"/>
                <w:numId w:val="2"/>
              </w:numPr>
              <w:spacing w:after="60" w:line="280"/>
            </w:pPr>
            <w:r>
              <w:t xml:space="preserve">Compra o venta seguida sin razón aparente.</w:t>
            </w:r>
          </w:p>
          <w:p>
            <w:pPr>
              <w:pStyle w:val="ListParagraph"/>
              <w:numPr>
                <w:ilvl w:val="0"/>
                <w:numId w:val="2"/>
              </w:numPr>
              <w:spacing w:after="60" w:line="280"/>
            </w:pPr>
            <w:r>
              <w:t xml:space="preserve">Liquidación en efectivo de montos altos.</w:t>
            </w:r>
          </w:p>
          <w:p>
            <w:pPr>
              <w:pStyle w:val="ListParagraph"/>
              <w:numPr>
                <w:ilvl w:val="0"/>
                <w:numId w:val="2"/>
              </w:numPr>
              <w:spacing w:after="60" w:line="280"/>
            </w:pPr>
            <w:r>
              <w:t xml:space="preserve">El cliente se niega a identificarse.</w:t>
            </w:r>
          </w:p>
          <w:p>
            <w:pPr>
              <w:pStyle w:val="ListParagraph"/>
              <w:numPr>
                <w:ilvl w:val="0"/>
                <w:numId w:val="2"/>
              </w:numPr>
              <w:spacing w:after="60" w:line="280"/>
            </w:pPr>
            <w:r>
              <w:t xml:space="preserve">El monto no cuadra con el trabajo o los ingresos del cliente.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8860B" w:sz="24"/>
              <w:bottom w:val="none"/>
              <w:right w:val="none"/>
            </w:tcBorders>
            <w:shd w:fill="FBF3DD" w:val="clear"/>
            <w:tcMar>
              <w:top w:type="dxa" w:w="120"/>
              <w:left w:type="dxa" w:w="200"/>
              <w:bottom w:type="dxa" w:w="120"/>
              <w:right w:type="dxa" w:w="160"/>
            </w:tcMar>
          </w:tcPr>
          <w:p>
            <w:pPr>
              <w:spacing w:after="60"/>
            </w:pPr>
            <w:r>
              <w:rPr>
                <w:b/>
                <w:bCs/>
                <w:color w:val="B8860B"/>
                <w:sz w:val="19"/>
                <w:szCs w:val="19"/>
              </w:rPr>
              <w:t xml:space="preserve">REGLA DE ORO</w:t>
            </w:r>
          </w:p>
          <w:p>
            <w:pPr>
              <w:spacing w:after="0" w:before="0" w:line="286"/>
            </w:pPr>
            <w:r>
              <w:t xml:space="preserve">Si el monto no cuadra con lo que el cliente hace para vivir, pregunta.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6FB2" w:sz="24"/>
              <w:bottom w:val="none"/>
              <w:right w:val="none"/>
            </w:tcBorders>
            <w:shd w:fill="E9F1FA" w:val="clear"/>
            <w:tcMar>
              <w:top w:type="dxa" w:w="120"/>
              <w:left w:type="dxa" w:w="200"/>
              <w:bottom w:type="dxa" w:w="120"/>
              <w:right w:type="dxa" w:w="160"/>
            </w:tcMar>
          </w:tcPr>
          <w:p>
            <w:pPr>
              <w:spacing w:after="60"/>
            </w:pPr>
            <w:r>
              <w:rPr>
                <w:b/>
                <w:bCs/>
                <w:color w:val="1F6FB2"/>
                <w:sz w:val="19"/>
                <w:szCs w:val="19"/>
              </w:rPr>
              <w:t xml:space="preserve">EL LUNES POR LA MAÑANA</w:t>
            </w:r>
          </w:p>
          <w:p>
            <w:pPr>
              <w:pStyle w:val="ListParagraph"/>
              <w:numPr>
                <w:ilvl w:val="0"/>
                <w:numId w:val="2"/>
              </w:numPr>
              <w:spacing w:after="60" w:line="280"/>
            </w:pPr>
            <w:r>
              <w:t xml:space="preserve">Identifica siempre y guarda el comprobante de cada operación.</w:t>
            </w:r>
          </w:p>
        </w:tc>
      </w:tr>
    </w:tbl>
    <w:p>
      <w:pPr>
        <w:spacing w:after="160"/>
      </w:pPr>
      <w:r>
        <w:t xml:space="preserve"/>
      </w:r>
    </w:p>
    <w:p>
      <w:pPr>
        <w:pStyle w:val="Heading2"/>
        <w:keepNext/>
        <w:keepLines/>
      </w:pPr>
      <w:r>
        <w:t xml:space="preserve">Casinos, sorteos y concursos</w:t>
      </w:r>
    </w:p>
    <w:p>
      <w:pPr>
        <w:spacing w:after="80" w:before="0" w:line="286"/>
      </w:pPr>
      <w:r>
        <w:rPr>
          <w:b/>
          <w:bCs/>
          <w:color w:val="9E1B1B"/>
          <w:sz w:val="19"/>
          <w:szCs w:val="19"/>
        </w:rPr>
        <w:t xml:space="preserve">Artículo 17, Fracción I</w:t>
      </w:r>
    </w:p>
    <w:p>
      <w:pPr>
        <w:spacing w:after="120" w:before="0" w:line="286"/>
      </w:pPr>
      <w:r>
        <w:rPr>
          <w:b/>
          <w:bCs/>
          <w:sz w:val="23"/>
          <w:szCs w:val="23"/>
        </w:rPr>
        <w:t xml:space="preserve">¿Operas un casino, un sorteo o un concurso con apuesta?</w:t>
      </w:r>
    </w:p>
    <w:p>
      <w:pPr>
        <w:spacing w:after="120" w:before="0" w:line="286"/>
      </w:pPr>
      <w:r>
        <w:rPr>
          <w:b/>
          <w:bCs/>
        </w:rPr>
        <w:t xml:space="preserve">Por qué te vigilan. </w:t>
      </w:r>
      <w:r>
        <w:t xml:space="preserve">El casino mezcla efectivo todo el día. Meter dinero sucio y sacarlo después como 'ganancia' es un clásico del lavado.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Cómo te usan</w:t>
            </w:r>
          </w:p>
        </w:tc>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Por qué pueden</w:t>
            </w:r>
          </w:p>
        </w:tc>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Qué te cuesta</w:t>
            </w:r>
          </w:p>
        </w:tc>
      </w:tr>
      <w:tr>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Meten efectivo y lo sacan como 'ganancia'.</w:t>
            </w:r>
          </w:p>
        </w:tc>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El casino usa efectivo todo el día.</w:t>
            </w:r>
          </w:p>
        </w:tc>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Sanciones y hasta pérdida de la licencia.</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AA7B2" w:sz="4"/>
              <w:left w:val="single" w:color="9AA7B2" w:sz="4"/>
              <w:bottom w:val="single" w:color="9AA7B2" w:sz="4"/>
              <w:right w:val="single" w:color="9AA7B2" w:sz="4"/>
            </w:tcBorders>
            <w:shd w:fill="EEF1F4" w:val="clear"/>
            <w:tcMar>
              <w:top w:type="dxa" w:w="100"/>
              <w:left w:type="dxa" w:w="160"/>
              <w:bottom w:type="dxa" w:w="100"/>
              <w:right w:type="dxa" w:w="120"/>
            </w:tcMar>
          </w:tcPr>
          <w:p>
            <w:pPr>
              <w:spacing w:after="40"/>
            </w:pPr>
            <w:r>
              <w:rPr>
                <w:b/>
                <w:bCs/>
                <w:color w:val="555555"/>
                <w:sz w:val="17"/>
                <w:szCs w:val="17"/>
              </w:rPr>
              <w:t xml:space="preserve">Pides identificacion desde</w:t>
            </w:r>
          </w:p>
          <w:p>
            <w:r>
              <w:rPr>
                <w:b/>
                <w:bCs/>
                <w:color w:val="1A1A1A"/>
                <w:sz w:val="22"/>
                <w:szCs w:val="22"/>
              </w:rPr>
              <w:t xml:space="preserve">$38,126 (325 UMA).</w:t>
            </w:r>
          </w:p>
        </w:tc>
        <w:tc>
          <w:tcPr>
            <w:tcW w:type="dxa" w:w="4680"/>
            <w:tcBorders>
              <w:top w:val="single" w:color="9AA7B2" w:sz="4"/>
              <w:left w:val="single" w:color="9AA7B2" w:sz="4"/>
              <w:bottom w:val="single" w:color="9AA7B2" w:sz="4"/>
              <w:right w:val="single" w:color="9AA7B2" w:sz="4"/>
            </w:tcBorders>
            <w:shd w:fill="EEF1F4" w:val="clear"/>
            <w:tcMar>
              <w:top w:type="dxa" w:w="100"/>
              <w:left w:type="dxa" w:w="160"/>
              <w:bottom w:type="dxa" w:w="100"/>
              <w:right w:type="dxa" w:w="120"/>
            </w:tcMar>
          </w:tcPr>
          <w:p>
            <w:pPr>
              <w:spacing w:after="40"/>
            </w:pPr>
            <w:r>
              <w:rPr>
                <w:b/>
                <w:bCs/>
                <w:color w:val="555555"/>
                <w:sz w:val="17"/>
                <w:szCs w:val="17"/>
              </w:rPr>
              <w:t xml:space="preserve">Reportas al SAT (Aviso) desde</w:t>
            </w:r>
          </w:p>
          <w:p>
            <w:r>
              <w:rPr>
                <w:b/>
                <w:bCs/>
                <w:color w:val="1A1A1A"/>
                <w:sz w:val="22"/>
                <w:szCs w:val="22"/>
              </w:rPr>
              <w:t xml:space="preserve">$75,665 (645 UMA).</w:t>
            </w:r>
          </w:p>
        </w:tc>
      </w:tr>
    </w:tbl>
    <w:p>
      <w:pPr>
        <w:spacing w:after="40"/>
      </w:pPr>
      <w:r>
        <w:t xml:space="preserve"/>
      </w:r>
    </w:p>
    <w:p>
      <w:pPr>
        <w:spacing w:after="120" w:before="40" w:line="286"/>
      </w:pPr>
      <w:r>
        <w:rPr>
          <w:b/>
          <w:bCs/>
        </w:rPr>
        <w:t xml:space="preserve">Qué cambió con la reforma. </w:t>
      </w:r>
      <w:r>
        <w:t xml:space="preserve">Los montos ahora se miden en UMA.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777777" w:sz="24"/>
              <w:bottom w:val="none"/>
              <w:right w:val="none"/>
            </w:tcBorders>
            <w:shd w:fill="EEF1F4" w:val="clear"/>
            <w:tcMar>
              <w:top w:type="dxa" w:w="120"/>
              <w:left w:type="dxa" w:w="200"/>
              <w:bottom w:type="dxa" w:w="120"/>
              <w:right w:type="dxa" w:w="160"/>
            </w:tcMar>
          </w:tcPr>
          <w:p>
            <w:pPr>
              <w:spacing w:after="60"/>
            </w:pPr>
            <w:r>
              <w:rPr>
                <w:b/>
                <w:bCs/>
                <w:color w:val="777777"/>
                <w:sz w:val="19"/>
                <w:szCs w:val="19"/>
              </w:rPr>
              <w:t xml:space="preserve">SEMÁFORO DE RIESGO</w:t>
            </w:r>
          </w:p>
          <w:p>
            <w:pPr>
              <w:spacing w:after="40" w:before="0" w:line="286"/>
            </w:pPr>
            <w:r>
              <w:rPr>
                <w:b/>
                <w:bCs/>
                <w:color w:val="C1272D"/>
              </w:rPr>
              <w:t xml:space="preserve">Más riesgo: </w:t>
            </w:r>
            <w:r>
              <w:t xml:space="preserve">Apuestas en efectivo de alto monto, clientes no frecuentes.</w:t>
            </w:r>
          </w:p>
          <w:p>
            <w:pPr>
              <w:spacing w:after="0" w:before="0" w:line="286"/>
            </w:pPr>
            <w:r>
              <w:rPr>
                <w:b/>
                <w:bCs/>
                <w:color w:val="2E7D32"/>
              </w:rPr>
              <w:t xml:space="preserve">Menos riesgo: </w:t>
            </w:r>
            <w:r>
              <w:t xml:space="preserve">Apuestas con tarjeta, montos bajos, clientes identificables.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5B7C99" w:sz="24"/>
              <w:bottom w:val="none"/>
              <w:right w:val="none"/>
            </w:tcBorders>
            <w:shd w:fill="EFF3F7" w:val="clear"/>
            <w:tcMar>
              <w:top w:type="dxa" w:w="120"/>
              <w:left w:type="dxa" w:w="200"/>
              <w:bottom w:type="dxa" w:w="120"/>
              <w:right w:type="dxa" w:w="160"/>
            </w:tcMar>
          </w:tcPr>
          <w:p>
            <w:pPr>
              <w:spacing w:after="60"/>
            </w:pPr>
            <w:r>
              <w:rPr>
                <w:b/>
                <w:bCs/>
                <w:color w:val="5B7C99"/>
                <w:sz w:val="19"/>
                <w:szCs w:val="19"/>
              </w:rPr>
              <w:t xml:space="preserve">UN CASO REAL</w:t>
            </w:r>
          </w:p>
          <w:p>
            <w:pPr>
              <w:spacing w:after="0" w:before="0" w:line="286"/>
            </w:pPr>
            <w:r>
              <w:t xml:space="preserve">Un cliente compra muchísimas fichas, apuesta poquito y al rato pide cobrar casi todo como 'premio', para llevarse un comprobante de origen 'legal'.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1272D" w:sz="24"/>
              <w:bottom w:val="none"/>
              <w:right w:val="none"/>
            </w:tcBorders>
            <w:shd w:fill="FBEAE8" w:val="clear"/>
            <w:tcMar>
              <w:top w:type="dxa" w:w="120"/>
              <w:left w:type="dxa" w:w="200"/>
              <w:bottom w:type="dxa" w:w="120"/>
              <w:right w:type="dxa" w:w="160"/>
            </w:tcMar>
          </w:tcPr>
          <w:p>
            <w:pPr>
              <w:spacing w:after="60"/>
            </w:pPr>
            <w:r>
              <w:rPr>
                <w:b/>
                <w:bCs/>
                <w:color w:val="C1272D"/>
                <w:sz w:val="19"/>
                <w:szCs w:val="19"/>
              </w:rPr>
              <w:t xml:space="preserve">FOCOS ROJOS (si ves esto, prende la antena)</w:t>
            </w:r>
          </w:p>
          <w:p>
            <w:pPr>
              <w:pStyle w:val="ListParagraph"/>
              <w:numPr>
                <w:ilvl w:val="0"/>
                <w:numId w:val="2"/>
              </w:numPr>
              <w:spacing w:after="60" w:line="280"/>
            </w:pPr>
            <w:r>
              <w:t xml:space="preserve">Compra muchas fichas y juega poquito, luego cobra como si hubiera 'ganado'.</w:t>
            </w:r>
          </w:p>
          <w:p>
            <w:pPr>
              <w:pStyle w:val="ListParagraph"/>
              <w:numPr>
                <w:ilvl w:val="0"/>
                <w:numId w:val="2"/>
              </w:numPr>
              <w:spacing w:after="60" w:line="280"/>
            </w:pPr>
            <w:r>
              <w:t xml:space="preserve">Usa a terceros para apostar por él.</w:t>
            </w:r>
          </w:p>
          <w:p>
            <w:pPr>
              <w:pStyle w:val="ListParagraph"/>
              <w:numPr>
                <w:ilvl w:val="0"/>
                <w:numId w:val="2"/>
              </w:numPr>
              <w:spacing w:after="60" w:line="280"/>
            </w:pPr>
            <w:r>
              <w:t xml:space="preserve">Entra y sale efectivo sin lógica de juego.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8860B" w:sz="24"/>
              <w:bottom w:val="none"/>
              <w:right w:val="none"/>
            </w:tcBorders>
            <w:shd w:fill="FBF3DD" w:val="clear"/>
            <w:tcMar>
              <w:top w:type="dxa" w:w="120"/>
              <w:left w:type="dxa" w:w="200"/>
              <w:bottom w:type="dxa" w:w="120"/>
              <w:right w:type="dxa" w:w="160"/>
            </w:tcMar>
          </w:tcPr>
          <w:p>
            <w:pPr>
              <w:spacing w:after="60"/>
            </w:pPr>
            <w:r>
              <w:rPr>
                <w:b/>
                <w:bCs/>
                <w:color w:val="B8860B"/>
                <w:sz w:val="19"/>
                <w:szCs w:val="19"/>
              </w:rPr>
              <w:t xml:space="preserve">REGLA DE ORO</w:t>
            </w:r>
          </w:p>
          <w:p>
            <w:pPr>
              <w:spacing w:after="0" w:before="0" w:line="286"/>
            </w:pPr>
            <w:r>
              <w:t xml:space="preserve">El que apuesta poco pero mueve mucho efectivo no vino a jugar.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6FB2" w:sz="24"/>
              <w:bottom w:val="none"/>
              <w:right w:val="none"/>
            </w:tcBorders>
            <w:shd w:fill="E9F1FA" w:val="clear"/>
            <w:tcMar>
              <w:top w:type="dxa" w:w="120"/>
              <w:left w:type="dxa" w:w="200"/>
              <w:bottom w:type="dxa" w:w="120"/>
              <w:right w:type="dxa" w:w="160"/>
            </w:tcMar>
          </w:tcPr>
          <w:p>
            <w:pPr>
              <w:spacing w:after="60"/>
            </w:pPr>
            <w:r>
              <w:rPr>
                <w:b/>
                <w:bCs/>
                <w:color w:val="1F6FB2"/>
                <w:sz w:val="19"/>
                <w:szCs w:val="19"/>
              </w:rPr>
              <w:t xml:space="preserve">EL LUNES POR LA MAÑANA</w:t>
            </w:r>
          </w:p>
          <w:p>
            <w:pPr>
              <w:pStyle w:val="ListParagraph"/>
              <w:numPr>
                <w:ilvl w:val="0"/>
                <w:numId w:val="2"/>
              </w:numPr>
              <w:spacing w:after="60" w:line="280"/>
            </w:pPr>
            <w:r>
              <w:t xml:space="preserve">Registra los premios y las compras de fichas grandes con identificación.</w:t>
            </w:r>
          </w:p>
        </w:tc>
      </w:tr>
    </w:tbl>
    <w:p>
      <w:pPr>
        <w:spacing w:after="160"/>
      </w:pPr>
      <w:r>
        <w:t xml:space="preserve"/>
      </w:r>
    </w:p>
    <w:p>
      <w:pPr>
        <w:pStyle w:val="Heading2"/>
        <w:keepNext/>
        <w:keepLines/>
      </w:pPr>
      <w:r>
        <w:t xml:space="preserve">Servicios profesionales: contadores, abogados y asesores</w:t>
      </w:r>
    </w:p>
    <w:p>
      <w:pPr>
        <w:spacing w:after="80" w:before="0" w:line="286"/>
      </w:pPr>
      <w:r>
        <w:rPr>
          <w:b/>
          <w:bCs/>
          <w:color w:val="9E1B1B"/>
          <w:sz w:val="19"/>
          <w:szCs w:val="19"/>
        </w:rPr>
        <w:t xml:space="preserve">Artículo 17, Fracción XI</w:t>
      </w:r>
    </w:p>
    <w:p>
      <w:pPr>
        <w:spacing w:after="120" w:before="0" w:line="286"/>
      </w:pPr>
      <w:r>
        <w:rPr>
          <w:b/>
          <w:bCs/>
          <w:sz w:val="23"/>
          <w:szCs w:val="23"/>
        </w:rPr>
        <w:t xml:space="preserve">¿Eres contador, abogado o asesor y manejas dinero, empresas o bienes de tus clientes?</w:t>
      </w:r>
    </w:p>
    <w:p>
      <w:pPr>
        <w:spacing w:after="120" w:before="0" w:line="286"/>
      </w:pPr>
      <w:r>
        <w:rPr>
          <w:b/>
          <w:bCs/>
        </w:rPr>
        <w:t xml:space="preserve">Por qué te vigilan. </w:t>
      </w:r>
      <w:r>
        <w:t xml:space="preserve">Tu cliente no busca tu contabilidad ni tu litigio: busca tu firma y tu prestigio para que su operación se vea legal. Si prestas el membrete, prestas el riesgo.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Cómo te usan</w:t>
            </w:r>
          </w:p>
        </w:tc>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Por qué pueden</w:t>
            </w:r>
          </w:p>
        </w:tc>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Qué te cuesta</w:t>
            </w:r>
          </w:p>
        </w:tc>
      </w:tr>
      <w:tr>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Usan tu firma para aparentar legalidad.</w:t>
            </w:r>
          </w:p>
        </w:tc>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Pueden diseñar esquemas opacos contigo dentro.</w:t>
            </w:r>
          </w:p>
        </w:tc>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Corresponsabilidad legal.</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AA7B2" w:sz="4"/>
              <w:left w:val="single" w:color="9AA7B2" w:sz="4"/>
              <w:bottom w:val="single" w:color="9AA7B2" w:sz="4"/>
              <w:right w:val="single" w:color="9AA7B2" w:sz="4"/>
            </w:tcBorders>
            <w:shd w:fill="EEF1F4" w:val="clear"/>
            <w:tcMar>
              <w:top w:type="dxa" w:w="100"/>
              <w:left w:type="dxa" w:w="160"/>
              <w:bottom w:type="dxa" w:w="100"/>
              <w:right w:type="dxa" w:w="120"/>
            </w:tcMar>
          </w:tcPr>
          <w:p>
            <w:pPr>
              <w:spacing w:after="40"/>
            </w:pPr>
            <w:r>
              <w:rPr>
                <w:b/>
                <w:bCs/>
                <w:color w:val="555555"/>
                <w:sz w:val="17"/>
                <w:szCs w:val="17"/>
              </w:rPr>
              <w:t xml:space="preserve">Pides identificacion desde</w:t>
            </w:r>
          </w:p>
          <w:p>
            <w:r>
              <w:rPr>
                <w:b/>
                <w:bCs/>
                <w:color w:val="1A1A1A"/>
                <w:sz w:val="22"/>
                <w:szCs w:val="22"/>
              </w:rPr>
              <w:t xml:space="preserve">Siempre.</w:t>
            </w:r>
          </w:p>
        </w:tc>
        <w:tc>
          <w:tcPr>
            <w:tcW w:type="dxa" w:w="4680"/>
            <w:tcBorders>
              <w:top w:val="single" w:color="9AA7B2" w:sz="4"/>
              <w:left w:val="single" w:color="9AA7B2" w:sz="4"/>
              <w:bottom w:val="single" w:color="9AA7B2" w:sz="4"/>
              <w:right w:val="single" w:color="9AA7B2" w:sz="4"/>
            </w:tcBorders>
            <w:shd w:fill="EEF1F4" w:val="clear"/>
            <w:tcMar>
              <w:top w:type="dxa" w:w="100"/>
              <w:left w:type="dxa" w:w="160"/>
              <w:bottom w:type="dxa" w:w="100"/>
              <w:right w:type="dxa" w:w="120"/>
            </w:tcMar>
          </w:tcPr>
          <w:p>
            <w:pPr>
              <w:spacing w:after="40"/>
            </w:pPr>
            <w:r>
              <w:rPr>
                <w:b/>
                <w:bCs/>
                <w:color w:val="555555"/>
                <w:sz w:val="17"/>
                <w:szCs w:val="17"/>
              </w:rPr>
              <w:t xml:space="preserve">Reportas al SAT (Aviso) desde</w:t>
            </w:r>
          </w:p>
          <w:p>
            <w:r>
              <w:rPr>
                <w:b/>
                <w:bCs/>
                <w:color w:val="1A1A1A"/>
                <w:sz w:val="22"/>
                <w:szCs w:val="22"/>
              </w:rPr>
              <w:t xml:space="preserve">Sólo si ejecutas, en nombre y representación del cliente, una operación financiera relacionada (comprar o vender un inmueble, manejar sus cuentas o recursos, constituir o administrar sociedades). Si sólo la preparas, identificas pero no avisas.</w:t>
            </w:r>
          </w:p>
        </w:tc>
      </w:tr>
    </w:tbl>
    <w:p>
      <w:pPr>
        <w:spacing w:after="40"/>
      </w:pPr>
      <w:r>
        <w:t xml:space="preserve"/>
      </w:r>
    </w:p>
    <w:p>
      <w:pPr>
        <w:spacing w:after="120" w:before="40" w:line="286"/>
      </w:pPr>
      <w:r>
        <w:rPr>
          <w:b/>
          <w:bCs/>
        </w:rPr>
        <w:t xml:space="preserve">Qué cambió con la reforma. </w:t>
      </w:r>
      <w:r>
        <w:t xml:space="preserve">Ahora identificas de forma directa (tú, no un tercero), conservas los papeles 10 años (cuenta desde julio de 2025) y debes saber quién es el Beneficiario Controlador de tus clientes que son empresas.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777777" w:sz="24"/>
              <w:bottom w:val="none"/>
              <w:right w:val="none"/>
            </w:tcBorders>
            <w:shd w:fill="EEF1F4" w:val="clear"/>
            <w:tcMar>
              <w:top w:type="dxa" w:w="120"/>
              <w:left w:type="dxa" w:w="200"/>
              <w:bottom w:type="dxa" w:w="120"/>
              <w:right w:type="dxa" w:w="160"/>
            </w:tcMar>
          </w:tcPr>
          <w:p>
            <w:pPr>
              <w:spacing w:after="60"/>
            </w:pPr>
            <w:r>
              <w:rPr>
                <w:b/>
                <w:bCs/>
                <w:color w:val="777777"/>
                <w:sz w:val="19"/>
                <w:szCs w:val="19"/>
              </w:rPr>
              <w:t xml:space="preserve">SEMÁFORO DE RIESGO</w:t>
            </w:r>
          </w:p>
          <w:p>
            <w:pPr>
              <w:spacing w:after="40" w:before="0" w:line="286"/>
            </w:pPr>
            <w:r>
              <w:rPr>
                <w:b/>
                <w:bCs/>
                <w:color w:val="C1272D"/>
              </w:rPr>
              <w:t xml:space="preserve">Más riesgo: </w:t>
            </w:r>
            <w:r>
              <w:t xml:space="preserve">Estructurar patrimonios o esquemas fiscales complejos.</w:t>
            </w:r>
          </w:p>
          <w:p>
            <w:pPr>
              <w:spacing w:after="0" w:before="0" w:line="286"/>
            </w:pPr>
            <w:r>
              <w:rPr>
                <w:b/>
                <w:bCs/>
                <w:color w:val="2E7D32"/>
              </w:rPr>
              <w:t xml:space="preserve">Menos riesgo: </w:t>
            </w:r>
            <w:r>
              <w:t xml:space="preserve">Contabilidad básica y trámites rutinarios.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5B7C99" w:sz="24"/>
              <w:bottom w:val="none"/>
              <w:right w:val="none"/>
            </w:tcBorders>
            <w:shd w:fill="EFF3F7" w:val="clear"/>
            <w:tcMar>
              <w:top w:type="dxa" w:w="120"/>
              <w:left w:type="dxa" w:w="200"/>
              <w:bottom w:type="dxa" w:w="120"/>
              <w:right w:type="dxa" w:w="160"/>
            </w:tcMar>
          </w:tcPr>
          <w:p>
            <w:pPr>
              <w:spacing w:after="60"/>
            </w:pPr>
            <w:r>
              <w:rPr>
                <w:b/>
                <w:bCs/>
                <w:color w:val="5B7C99"/>
                <w:sz w:val="19"/>
                <w:szCs w:val="19"/>
              </w:rPr>
              <w:t xml:space="preserve">UN CASO REAL</w:t>
            </w:r>
          </w:p>
          <w:p>
            <w:pPr>
              <w:spacing w:after="0" w:before="0" w:line="286"/>
            </w:pPr>
            <w:r>
              <w:t xml:space="preserve">Te contratan para llevar la contabilidad de una importadora nueva y, además, administrar su cuenta. Llegan transferencias del extranjero sin relación con su giro y te piden dispersarlas como 'marketing' y 'consultoría'. Te están usando para mover dinero.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1272D" w:sz="24"/>
              <w:bottom w:val="none"/>
              <w:right w:val="none"/>
            </w:tcBorders>
            <w:shd w:fill="FBEAE8" w:val="clear"/>
            <w:tcMar>
              <w:top w:type="dxa" w:w="120"/>
              <w:left w:type="dxa" w:w="200"/>
              <w:bottom w:type="dxa" w:w="120"/>
              <w:right w:type="dxa" w:w="160"/>
            </w:tcMar>
          </w:tcPr>
          <w:p>
            <w:pPr>
              <w:spacing w:after="60"/>
            </w:pPr>
            <w:r>
              <w:rPr>
                <w:b/>
                <w:bCs/>
                <w:color w:val="C1272D"/>
                <w:sz w:val="19"/>
                <w:szCs w:val="19"/>
              </w:rPr>
              <w:t xml:space="preserve">FOCOS ROJOS (si ves esto, prende la antena)</w:t>
            </w:r>
          </w:p>
          <w:p>
            <w:pPr>
              <w:pStyle w:val="ListParagraph"/>
              <w:numPr>
                <w:ilvl w:val="0"/>
                <w:numId w:val="2"/>
              </w:numPr>
              <w:spacing w:after="60" w:line="280"/>
            </w:pPr>
            <w:r>
              <w:t xml:space="preserve">Facturas sin sustancia real (ventas que no existen).</w:t>
            </w:r>
          </w:p>
          <w:p>
            <w:pPr>
              <w:pStyle w:val="ListParagraph"/>
              <w:numPr>
                <w:ilvl w:val="0"/>
                <w:numId w:val="2"/>
              </w:numPr>
              <w:spacing w:after="60" w:line="280"/>
            </w:pPr>
            <w:r>
              <w:t xml:space="preserve">Presión para reclasificar partidas y esconder el origen del dinero.</w:t>
            </w:r>
          </w:p>
          <w:p>
            <w:pPr>
              <w:pStyle w:val="ListParagraph"/>
              <w:numPr>
                <w:ilvl w:val="0"/>
                <w:numId w:val="2"/>
              </w:numPr>
              <w:spacing w:after="60" w:line="280"/>
            </w:pPr>
            <w:r>
              <w:t xml:space="preserve">Te piden ser administrador o accionista 'de nombre', sin que mandes nada.</w:t>
            </w:r>
          </w:p>
          <w:p>
            <w:pPr>
              <w:pStyle w:val="ListParagraph"/>
              <w:numPr>
                <w:ilvl w:val="0"/>
                <w:numId w:val="2"/>
              </w:numPr>
              <w:spacing w:after="60" w:line="280"/>
            </w:pPr>
            <w:r>
              <w:t xml:space="preserve">Operaciones con paraísos fiscales sin explicación de negocio.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8860B" w:sz="24"/>
              <w:bottom w:val="none"/>
              <w:right w:val="none"/>
            </w:tcBorders>
            <w:shd w:fill="FBF3DD" w:val="clear"/>
            <w:tcMar>
              <w:top w:type="dxa" w:w="120"/>
              <w:left w:type="dxa" w:w="200"/>
              <w:bottom w:type="dxa" w:w="120"/>
              <w:right w:type="dxa" w:w="160"/>
            </w:tcMar>
          </w:tcPr>
          <w:p>
            <w:pPr>
              <w:spacing w:after="60"/>
            </w:pPr>
            <w:r>
              <w:rPr>
                <w:b/>
                <w:bCs/>
                <w:color w:val="B8860B"/>
                <w:sz w:val="19"/>
                <w:szCs w:val="19"/>
              </w:rPr>
              <w:t xml:space="preserve">REGLA DE ORO</w:t>
            </w:r>
          </w:p>
          <w:p>
            <w:pPr>
              <w:spacing w:after="0" w:before="0" w:line="286"/>
            </w:pPr>
            <w:r>
              <w:t xml:space="preserve">Si te piden poner tu nombre sin que tú mandes nada, te están usando.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6FB2" w:sz="24"/>
              <w:bottom w:val="none"/>
              <w:right w:val="none"/>
            </w:tcBorders>
            <w:shd w:fill="E9F1FA" w:val="clear"/>
            <w:tcMar>
              <w:top w:type="dxa" w:w="120"/>
              <w:left w:type="dxa" w:w="200"/>
              <w:bottom w:type="dxa" w:w="120"/>
              <w:right w:type="dxa" w:w="160"/>
            </w:tcMar>
          </w:tcPr>
          <w:p>
            <w:pPr>
              <w:spacing w:after="60"/>
            </w:pPr>
            <w:r>
              <w:rPr>
                <w:b/>
                <w:bCs/>
                <w:color w:val="1F6FB2"/>
                <w:sz w:val="19"/>
                <w:szCs w:val="19"/>
              </w:rPr>
              <w:t xml:space="preserve">EL LUNES POR LA MAÑANA</w:t>
            </w:r>
          </w:p>
          <w:p>
            <w:pPr>
              <w:pStyle w:val="ListParagraph"/>
              <w:numPr>
                <w:ilvl w:val="0"/>
                <w:numId w:val="2"/>
              </w:numPr>
              <w:spacing w:after="60" w:line="280"/>
            </w:pPr>
            <w:r>
              <w:t xml:space="preserve">Pon una declaración de Beneficiario Controlador en tu alta de cliente.</w:t>
            </w:r>
          </w:p>
          <w:p>
            <w:pPr>
              <w:pStyle w:val="ListParagraph"/>
              <w:numPr>
                <w:ilvl w:val="0"/>
                <w:numId w:val="2"/>
              </w:numPr>
              <w:spacing w:after="60" w:line="280"/>
            </w:pPr>
            <w:r>
              <w:t xml:space="preserve">Agrega una cláusula de origen de fondos en tu carta-convenio.</w:t>
            </w:r>
          </w:p>
          <w:p>
            <w:pPr>
              <w:pStyle w:val="ListParagraph"/>
              <w:numPr>
                <w:ilvl w:val="0"/>
                <w:numId w:val="2"/>
              </w:numPr>
              <w:spacing w:after="60" w:line="280"/>
            </w:pPr>
            <w:r>
              <w:t xml:space="preserve">Lleva una bitácora de operaciones sospechosas que no se concretaron.</w:t>
            </w:r>
          </w:p>
        </w:tc>
      </w:tr>
    </w:tbl>
    <w:p>
      <w:pPr>
        <w:spacing w:after="160"/>
      </w:pPr>
      <w:r>
        <w:t xml:space="preserve"/>
      </w:r>
    </w:p>
    <w:p>
      <w:pPr>
        <w:pStyle w:val="Heading2"/>
        <w:keepNext/>
        <w:keepLines/>
      </w:pPr>
      <w:r>
        <w:t xml:space="preserve">Facilitadores: mediadores y conciliadores</w:t>
      </w:r>
    </w:p>
    <w:p>
      <w:pPr>
        <w:spacing w:after="80" w:before="0" w:line="286"/>
      </w:pPr>
      <w:r>
        <w:rPr>
          <w:b/>
          <w:bCs/>
          <w:color w:val="9E1B1B"/>
          <w:sz w:val="19"/>
          <w:szCs w:val="19"/>
        </w:rPr>
        <w:t xml:space="preserve">Artículo 17, Fracción XII (nuevo sujeto)</w:t>
      </w:r>
    </w:p>
    <w:p>
      <w:pPr>
        <w:spacing w:after="120" w:before="0" w:line="286"/>
      </w:pPr>
      <w:r>
        <w:rPr>
          <w:b/>
          <w:bCs/>
          <w:sz w:val="23"/>
          <w:szCs w:val="23"/>
        </w:rPr>
        <w:t xml:space="preserve">¿Eres facilitador, mediador o conciliador y firmas convenios con valor económico?</w:t>
      </w:r>
    </w:p>
    <w:p>
      <w:pPr>
        <w:spacing w:after="120" w:before="0" w:line="286"/>
      </w:pPr>
      <w:r>
        <w:rPr>
          <w:b/>
          <w:bCs/>
        </w:rPr>
        <w:t xml:space="preserve">Por qué te vigilan. </w:t>
      </w:r>
      <w:r>
        <w:t xml:space="preserve">Eres nuevo en la ley. Un convenio que reparte dinero o bienes puede usarse para 'legalizar' lo que en realidad es un movimiento sucio.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Cómo te usan</w:t>
            </w:r>
          </w:p>
        </w:tc>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Por qué pueden</w:t>
            </w:r>
          </w:p>
        </w:tc>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Qué te cuesta</w:t>
            </w:r>
          </w:p>
        </w:tc>
      </w:tr>
      <w:tr>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Usan tu convenio para legitimar flujos de dinero.</w:t>
            </w:r>
          </w:p>
        </w:tc>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Los honorarios son difíciles de rastrear.</w:t>
            </w:r>
          </w:p>
        </w:tc>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Corresponsabilidad y sanciones.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AA7B2" w:sz="4"/>
              <w:left w:val="single" w:color="9AA7B2" w:sz="4"/>
              <w:bottom w:val="single" w:color="9AA7B2" w:sz="4"/>
              <w:right w:val="single" w:color="9AA7B2" w:sz="4"/>
            </w:tcBorders>
            <w:shd w:fill="EEF1F4" w:val="clear"/>
            <w:tcMar>
              <w:top w:type="dxa" w:w="100"/>
              <w:left w:type="dxa" w:w="160"/>
              <w:bottom w:type="dxa" w:w="100"/>
              <w:right w:type="dxa" w:w="120"/>
            </w:tcMar>
          </w:tcPr>
          <w:p>
            <w:pPr>
              <w:spacing w:after="40"/>
            </w:pPr>
            <w:r>
              <w:rPr>
                <w:b/>
                <w:bCs/>
                <w:color w:val="555555"/>
                <w:sz w:val="17"/>
                <w:szCs w:val="17"/>
              </w:rPr>
              <w:t xml:space="preserve">Pides identificacion desde</w:t>
            </w:r>
          </w:p>
          <w:p>
            <w:r>
              <w:rPr>
                <w:b/>
                <w:bCs/>
                <w:color w:val="1A1A1A"/>
                <w:sz w:val="22"/>
                <w:szCs w:val="22"/>
              </w:rPr>
              <w:t xml:space="preserve">Siempre.</w:t>
            </w:r>
          </w:p>
        </w:tc>
        <w:tc>
          <w:tcPr>
            <w:tcW w:type="dxa" w:w="4680"/>
            <w:tcBorders>
              <w:top w:val="single" w:color="9AA7B2" w:sz="4"/>
              <w:left w:val="single" w:color="9AA7B2" w:sz="4"/>
              <w:bottom w:val="single" w:color="9AA7B2" w:sz="4"/>
              <w:right w:val="single" w:color="9AA7B2" w:sz="4"/>
            </w:tcBorders>
            <w:shd w:fill="EEF1F4" w:val="clear"/>
            <w:tcMar>
              <w:top w:type="dxa" w:w="100"/>
              <w:left w:type="dxa" w:w="160"/>
              <w:bottom w:type="dxa" w:w="100"/>
              <w:right w:type="dxa" w:w="120"/>
            </w:tcMar>
          </w:tcPr>
          <w:p>
            <w:pPr>
              <w:spacing w:after="40"/>
            </w:pPr>
            <w:r>
              <w:rPr>
                <w:b/>
                <w:bCs/>
                <w:color w:val="555555"/>
                <w:sz w:val="17"/>
                <w:szCs w:val="17"/>
              </w:rPr>
              <w:t xml:space="preserve">Reportas al SAT (Aviso) desde</w:t>
            </w:r>
          </w:p>
          <w:p>
            <w:r>
              <w:rPr>
                <w:b/>
                <w:bCs/>
                <w:color w:val="1A1A1A"/>
                <w:sz w:val="22"/>
                <w:szCs w:val="22"/>
              </w:rPr>
              <w:t xml:space="preserve">Inmuebles: $938,480 (8,000 UMA). Fideicomisos: $469,240 (4,000 UMA). Poderes irrevocables: siempre. Igual que los notarios.</w:t>
            </w:r>
          </w:p>
        </w:tc>
      </w:tr>
    </w:tbl>
    <w:p>
      <w:pPr>
        <w:spacing w:after="40"/>
      </w:pPr>
      <w:r>
        <w:t xml:space="preserve"/>
      </w:r>
    </w:p>
    <w:p>
      <w:pPr>
        <w:spacing w:after="120" w:before="40" w:line="286"/>
      </w:pPr>
      <w:r>
        <w:rPr>
          <w:b/>
          <w:bCs/>
        </w:rPr>
        <w:t xml:space="preserve">Qué cambió con la reforma. </w:t>
      </w:r>
      <w:r>
        <w:t xml:space="preserve">NUEVO sujeto obligado: te aplican las mismas reglas que a los notarios para estos convenios. Si todavía no estás dado de alta en el padrón, hazlo.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777777" w:sz="24"/>
              <w:bottom w:val="none"/>
              <w:right w:val="none"/>
            </w:tcBorders>
            <w:shd w:fill="EEF1F4" w:val="clear"/>
            <w:tcMar>
              <w:top w:type="dxa" w:w="120"/>
              <w:left w:type="dxa" w:w="200"/>
              <w:bottom w:type="dxa" w:w="120"/>
              <w:right w:type="dxa" w:w="160"/>
            </w:tcMar>
          </w:tcPr>
          <w:p>
            <w:pPr>
              <w:spacing w:after="60"/>
            </w:pPr>
            <w:r>
              <w:rPr>
                <w:b/>
                <w:bCs/>
                <w:color w:val="777777"/>
                <w:sz w:val="19"/>
                <w:szCs w:val="19"/>
              </w:rPr>
              <w:t xml:space="preserve">SEMÁFORO DE RIESGO</w:t>
            </w:r>
          </w:p>
          <w:p>
            <w:pPr>
              <w:spacing w:after="40" w:before="0" w:line="286"/>
            </w:pPr>
            <w:r>
              <w:rPr>
                <w:b/>
                <w:bCs/>
                <w:color w:val="C1272D"/>
              </w:rPr>
              <w:t xml:space="preserve">Más riesgo: </w:t>
            </w:r>
            <w:r>
              <w:t xml:space="preserve">Controversias internacionales de alto valor económico.</w:t>
            </w:r>
          </w:p>
          <w:p>
            <w:pPr>
              <w:spacing w:after="0" w:before="0" w:line="286"/>
            </w:pPr>
            <w:r>
              <w:rPr>
                <w:b/>
                <w:bCs/>
                <w:color w:val="2E7D32"/>
              </w:rPr>
              <w:t xml:space="preserve">Menos riesgo: </w:t>
            </w:r>
            <w:r>
              <w:t xml:space="preserve">Asuntos de bajo monto, bien documentados.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5B7C99" w:sz="24"/>
              <w:bottom w:val="none"/>
              <w:right w:val="none"/>
            </w:tcBorders>
            <w:shd w:fill="EFF3F7" w:val="clear"/>
            <w:tcMar>
              <w:top w:type="dxa" w:w="120"/>
              <w:left w:type="dxa" w:w="200"/>
              <w:bottom w:type="dxa" w:w="120"/>
              <w:right w:type="dxa" w:w="160"/>
            </w:tcMar>
          </w:tcPr>
          <w:p>
            <w:pPr>
              <w:spacing w:after="60"/>
            </w:pPr>
            <w:r>
              <w:rPr>
                <w:b/>
                <w:bCs/>
                <w:color w:val="5B7C99"/>
                <w:sz w:val="19"/>
                <w:szCs w:val="19"/>
              </w:rPr>
              <w:t xml:space="preserve">UN CASO REAL</w:t>
            </w:r>
          </w:p>
          <w:p>
            <w:pPr>
              <w:spacing w:after="0" w:before="0" w:line="286"/>
            </w:pPr>
            <w:r>
              <w:t xml:space="preserve">Te piden formalizar un convenio que reparte una suma enorme por un conflicto que, en los hechos, casi no tiene sustancia. El que paga no es ninguna de las partes.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1272D" w:sz="24"/>
              <w:bottom w:val="none"/>
              <w:right w:val="none"/>
            </w:tcBorders>
            <w:shd w:fill="FBEAE8" w:val="clear"/>
            <w:tcMar>
              <w:top w:type="dxa" w:w="120"/>
              <w:left w:type="dxa" w:w="200"/>
              <w:bottom w:type="dxa" w:w="120"/>
              <w:right w:type="dxa" w:w="160"/>
            </w:tcMar>
          </w:tcPr>
          <w:p>
            <w:pPr>
              <w:spacing w:after="60"/>
            </w:pPr>
            <w:r>
              <w:rPr>
                <w:b/>
                <w:bCs/>
                <w:color w:val="C1272D"/>
                <w:sz w:val="19"/>
                <w:szCs w:val="19"/>
              </w:rPr>
              <w:t xml:space="preserve">FOCOS ROJOS (si ves esto, prende la antena)</w:t>
            </w:r>
          </w:p>
          <w:p>
            <w:pPr>
              <w:pStyle w:val="ListParagraph"/>
              <w:numPr>
                <w:ilvl w:val="0"/>
                <w:numId w:val="2"/>
              </w:numPr>
              <w:spacing w:after="60" w:line="280"/>
            </w:pPr>
            <w:r>
              <w:t xml:space="preserve">El monto del convenio no cuadra con el conflicto real.</w:t>
            </w:r>
          </w:p>
          <w:p>
            <w:pPr>
              <w:pStyle w:val="ListParagraph"/>
              <w:numPr>
                <w:ilvl w:val="0"/>
                <w:numId w:val="2"/>
              </w:numPr>
              <w:spacing w:after="60" w:line="280"/>
            </w:pPr>
            <w:r>
              <w:t xml:space="preserve">Pagan terceros sin relación con las partes.</w:t>
            </w:r>
          </w:p>
          <w:p>
            <w:pPr>
              <w:pStyle w:val="ListParagraph"/>
              <w:numPr>
                <w:ilvl w:val="0"/>
                <w:numId w:val="2"/>
              </w:numPr>
              <w:spacing w:after="60" w:line="280"/>
            </w:pPr>
            <w:r>
              <w:t xml:space="preserve">Hay prisa por formalizar.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8860B" w:sz="24"/>
              <w:bottom w:val="none"/>
              <w:right w:val="none"/>
            </w:tcBorders>
            <w:shd w:fill="FBF3DD" w:val="clear"/>
            <w:tcMar>
              <w:top w:type="dxa" w:w="120"/>
              <w:left w:type="dxa" w:w="200"/>
              <w:bottom w:type="dxa" w:w="120"/>
              <w:right w:type="dxa" w:w="160"/>
            </w:tcMar>
          </w:tcPr>
          <w:p>
            <w:pPr>
              <w:spacing w:after="60"/>
            </w:pPr>
            <w:r>
              <w:rPr>
                <w:b/>
                <w:bCs/>
                <w:color w:val="B8860B"/>
                <w:sz w:val="19"/>
                <w:szCs w:val="19"/>
              </w:rPr>
              <w:t xml:space="preserve">REGLA DE ORO</w:t>
            </w:r>
          </w:p>
          <w:p>
            <w:pPr>
              <w:spacing w:after="0" w:before="0" w:line="286"/>
            </w:pPr>
            <w:r>
              <w:t xml:space="preserve">Si el convenio mueve más dinero del que el pleito justifica, sospecha.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6FB2" w:sz="24"/>
              <w:bottom w:val="none"/>
              <w:right w:val="none"/>
            </w:tcBorders>
            <w:shd w:fill="E9F1FA" w:val="clear"/>
            <w:tcMar>
              <w:top w:type="dxa" w:w="120"/>
              <w:left w:type="dxa" w:w="200"/>
              <w:bottom w:type="dxa" w:w="120"/>
              <w:right w:type="dxa" w:w="160"/>
            </w:tcMar>
          </w:tcPr>
          <w:p>
            <w:pPr>
              <w:spacing w:after="60"/>
            </w:pPr>
            <w:r>
              <w:rPr>
                <w:b/>
                <w:bCs/>
                <w:color w:val="1F6FB2"/>
                <w:sz w:val="19"/>
                <w:szCs w:val="19"/>
              </w:rPr>
              <w:t xml:space="preserve">EL LUNES POR LA MAÑANA</w:t>
            </w:r>
          </w:p>
          <w:p>
            <w:pPr>
              <w:pStyle w:val="ListParagraph"/>
              <w:numPr>
                <w:ilvl w:val="0"/>
                <w:numId w:val="2"/>
              </w:numPr>
              <w:spacing w:after="60" w:line="280"/>
            </w:pPr>
            <w:r>
              <w:t xml:space="preserve">Date de alta en el padrón si todavía no lo estás.</w:t>
            </w:r>
          </w:p>
          <w:p>
            <w:pPr>
              <w:pStyle w:val="ListParagraph"/>
              <w:numPr>
                <w:ilvl w:val="0"/>
                <w:numId w:val="2"/>
              </w:numPr>
              <w:spacing w:after="60" w:line="280"/>
            </w:pPr>
            <w:r>
              <w:t xml:space="preserve">Identifica a las partes y guarda el convenio.</w:t>
            </w:r>
          </w:p>
        </w:tc>
      </w:tr>
    </w:tbl>
    <w:p>
      <w:pPr>
        <w:spacing w:after="160"/>
      </w:pPr>
      <w:r>
        <w:t xml:space="preserve"/>
      </w:r>
    </w:p>
    <w:p>
      <w:pPr>
        <w:pStyle w:val="Heading2"/>
        <w:keepNext/>
        <w:keepLines/>
      </w:pPr>
      <w:r>
        <w:t xml:space="preserve">Donativos: asociaciones y fundaciones</w:t>
      </w:r>
    </w:p>
    <w:p>
      <w:pPr>
        <w:spacing w:after="80" w:before="0" w:line="286"/>
      </w:pPr>
      <w:r>
        <w:rPr>
          <w:b/>
          <w:bCs/>
          <w:color w:val="9E1B1B"/>
          <w:sz w:val="19"/>
          <w:szCs w:val="19"/>
        </w:rPr>
        <w:t xml:space="preserve">Artículo 17, Fracción XIII</w:t>
      </w:r>
    </w:p>
    <w:p>
      <w:pPr>
        <w:spacing w:after="120" w:before="0" w:line="286"/>
      </w:pPr>
      <w:r>
        <w:rPr>
          <w:b/>
          <w:bCs/>
          <w:sz w:val="23"/>
          <w:szCs w:val="23"/>
        </w:rPr>
        <w:t xml:space="preserve">¿Tu asociación o fundación recibe donativos?</w:t>
      </w:r>
    </w:p>
    <w:p>
      <w:pPr>
        <w:spacing w:after="120" w:before="0" w:line="286"/>
      </w:pPr>
      <w:r>
        <w:rPr>
          <w:b/>
          <w:bCs/>
        </w:rPr>
        <w:t xml:space="preserve">Por qué te vigilan. </w:t>
      </w:r>
      <w:r>
        <w:t xml:space="preserve">Una donación grande y 'generosa' puede esconder dinero que se quiere mover sin ruido, incluso para financiar actividades ilícitas o terrorismo.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Cómo te usan</w:t>
            </w:r>
          </w:p>
        </w:tc>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Por qué pueden</w:t>
            </w:r>
          </w:p>
        </w:tc>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Qué te cuesta</w:t>
            </w:r>
          </w:p>
        </w:tc>
      </w:tr>
      <w:tr>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Canalizan fondos ilícitos disfrazados de donación.</w:t>
            </w:r>
          </w:p>
        </w:tc>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Es flexible recibir recursos.</w:t>
            </w:r>
          </w:p>
        </w:tc>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Infiltración criminal y sanciones.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AA7B2" w:sz="4"/>
              <w:left w:val="single" w:color="9AA7B2" w:sz="4"/>
              <w:bottom w:val="single" w:color="9AA7B2" w:sz="4"/>
              <w:right w:val="single" w:color="9AA7B2" w:sz="4"/>
            </w:tcBorders>
            <w:shd w:fill="EEF1F4" w:val="clear"/>
            <w:tcMar>
              <w:top w:type="dxa" w:w="100"/>
              <w:left w:type="dxa" w:w="160"/>
              <w:bottom w:type="dxa" w:w="100"/>
              <w:right w:type="dxa" w:w="120"/>
            </w:tcMar>
          </w:tcPr>
          <w:p>
            <w:pPr>
              <w:spacing w:after="40"/>
            </w:pPr>
            <w:r>
              <w:rPr>
                <w:b/>
                <w:bCs/>
                <w:color w:val="555555"/>
                <w:sz w:val="17"/>
                <w:szCs w:val="17"/>
              </w:rPr>
              <w:t xml:space="preserve">Pides identificacion desde</w:t>
            </w:r>
          </w:p>
          <w:p>
            <w:r>
              <w:rPr>
                <w:b/>
                <w:bCs/>
                <w:color w:val="1A1A1A"/>
                <w:sz w:val="22"/>
                <w:szCs w:val="22"/>
              </w:rPr>
              <w:t xml:space="preserve">$188,283 (1,605 UMA).</w:t>
            </w:r>
          </w:p>
        </w:tc>
        <w:tc>
          <w:tcPr>
            <w:tcW w:type="dxa" w:w="4680"/>
            <w:tcBorders>
              <w:top w:val="single" w:color="9AA7B2" w:sz="4"/>
              <w:left w:val="single" w:color="9AA7B2" w:sz="4"/>
              <w:bottom w:val="single" w:color="9AA7B2" w:sz="4"/>
              <w:right w:val="single" w:color="9AA7B2" w:sz="4"/>
            </w:tcBorders>
            <w:shd w:fill="EEF1F4" w:val="clear"/>
            <w:tcMar>
              <w:top w:type="dxa" w:w="100"/>
              <w:left w:type="dxa" w:w="160"/>
              <w:bottom w:type="dxa" w:w="100"/>
              <w:right w:type="dxa" w:w="120"/>
            </w:tcMar>
          </w:tcPr>
          <w:p>
            <w:pPr>
              <w:spacing w:after="40"/>
            </w:pPr>
            <w:r>
              <w:rPr>
                <w:b/>
                <w:bCs/>
                <w:color w:val="555555"/>
                <w:sz w:val="17"/>
                <w:szCs w:val="17"/>
              </w:rPr>
              <w:t xml:space="preserve">Reportas al SAT (Aviso) desde</w:t>
            </w:r>
          </w:p>
          <w:p>
            <w:r>
              <w:rPr>
                <w:b/>
                <w:bCs/>
                <w:color w:val="1A1A1A"/>
                <w:sz w:val="22"/>
                <w:szCs w:val="22"/>
              </w:rPr>
              <w:t xml:space="preserve">$376,565 (3,210 UMA).</w:t>
            </w:r>
          </w:p>
        </w:tc>
      </w:tr>
    </w:tbl>
    <w:p>
      <w:pPr>
        <w:spacing w:after="40"/>
      </w:pPr>
      <w:r>
        <w:t xml:space="preserve"/>
      </w:r>
    </w:p>
    <w:p>
      <w:pPr>
        <w:spacing w:after="120" w:before="40" w:line="286"/>
      </w:pPr>
      <w:r>
        <w:rPr>
          <w:b/>
          <w:bCs/>
        </w:rPr>
        <w:t xml:space="preserve">Qué cambió con la reforma. </w:t>
      </w:r>
      <w:r>
        <w:t xml:space="preserve">Los montos ahora se miden en UMA.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777777" w:sz="24"/>
              <w:bottom w:val="none"/>
              <w:right w:val="none"/>
            </w:tcBorders>
            <w:shd w:fill="EEF1F4" w:val="clear"/>
            <w:tcMar>
              <w:top w:type="dxa" w:w="120"/>
              <w:left w:type="dxa" w:w="200"/>
              <w:bottom w:type="dxa" w:w="120"/>
              <w:right w:type="dxa" w:w="160"/>
            </w:tcMar>
          </w:tcPr>
          <w:p>
            <w:pPr>
              <w:spacing w:after="60"/>
            </w:pPr>
            <w:r>
              <w:rPr>
                <w:b/>
                <w:bCs/>
                <w:color w:val="777777"/>
                <w:sz w:val="19"/>
                <w:szCs w:val="19"/>
              </w:rPr>
              <w:t xml:space="preserve">SEMÁFORO DE RIESGO</w:t>
            </w:r>
          </w:p>
          <w:p>
            <w:pPr>
              <w:spacing w:after="40" w:before="0" w:line="286"/>
            </w:pPr>
            <w:r>
              <w:rPr>
                <w:b/>
                <w:bCs/>
                <w:color w:val="C1272D"/>
              </w:rPr>
              <w:t xml:space="preserve">Más riesgo: </w:t>
            </w:r>
            <w:r>
              <w:t xml:space="preserve">Donativos grandes, anónimos o del extranjero sin relación con tu causa.</w:t>
            </w:r>
          </w:p>
          <w:p>
            <w:pPr>
              <w:spacing w:after="0" w:before="0" w:line="286"/>
            </w:pPr>
            <w:r>
              <w:rPr>
                <w:b/>
                <w:bCs/>
                <w:color w:val="2E7D32"/>
              </w:rPr>
              <w:t xml:space="preserve">Menos riesgo: </w:t>
            </w:r>
            <w:r>
              <w:t xml:space="preserve">Donativos pequeños y frecuentes de donantes conocidos.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5B7C99" w:sz="24"/>
              <w:bottom w:val="none"/>
              <w:right w:val="none"/>
            </w:tcBorders>
            <w:shd w:fill="EFF3F7" w:val="clear"/>
            <w:tcMar>
              <w:top w:type="dxa" w:w="120"/>
              <w:left w:type="dxa" w:w="200"/>
              <w:bottom w:type="dxa" w:w="120"/>
              <w:right w:type="dxa" w:w="160"/>
            </w:tcMar>
          </w:tcPr>
          <w:p>
            <w:pPr>
              <w:spacing w:after="60"/>
            </w:pPr>
            <w:r>
              <w:rPr>
                <w:b/>
                <w:bCs/>
                <w:color w:val="5B7C99"/>
                <w:sz w:val="19"/>
                <w:szCs w:val="19"/>
              </w:rPr>
              <w:t xml:space="preserve">UN CASO REAL</w:t>
            </w:r>
          </w:p>
          <w:p>
            <w:pPr>
              <w:spacing w:after="0" w:before="0" w:line="286"/>
            </w:pPr>
            <w:r>
              <w:t xml:space="preserve">Una fundación recién creada en el extranjero dona mucho dinero a una asociación local y luego 'recomienda' encarecidamente pagarle a cierta empresa en una zona de conflicto. Eso es un foco rojo de posible desvío de fondos.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1272D" w:sz="24"/>
              <w:bottom w:val="none"/>
              <w:right w:val="none"/>
            </w:tcBorders>
            <w:shd w:fill="FBEAE8" w:val="clear"/>
            <w:tcMar>
              <w:top w:type="dxa" w:w="120"/>
              <w:left w:type="dxa" w:w="200"/>
              <w:bottom w:type="dxa" w:w="120"/>
              <w:right w:type="dxa" w:w="160"/>
            </w:tcMar>
          </w:tcPr>
          <w:p>
            <w:pPr>
              <w:spacing w:after="60"/>
            </w:pPr>
            <w:r>
              <w:rPr>
                <w:b/>
                <w:bCs/>
                <w:color w:val="C1272D"/>
                <w:sz w:val="19"/>
                <w:szCs w:val="19"/>
              </w:rPr>
              <w:t xml:space="preserve">FOCOS ROJOS (si ves esto, prende la antena)</w:t>
            </w:r>
          </w:p>
          <w:p>
            <w:pPr>
              <w:pStyle w:val="ListParagraph"/>
              <w:numPr>
                <w:ilvl w:val="0"/>
                <w:numId w:val="2"/>
              </w:numPr>
              <w:spacing w:after="60" w:line="280"/>
            </w:pPr>
            <w:r>
              <w:t xml:space="preserve">Donaciones anónimas muy grandes, o partidas en muchas chiquitas.</w:t>
            </w:r>
          </w:p>
          <w:p>
            <w:pPr>
              <w:pStyle w:val="ListParagraph"/>
              <w:numPr>
                <w:ilvl w:val="0"/>
                <w:numId w:val="2"/>
              </w:numPr>
              <w:spacing w:after="60" w:line="280"/>
            </w:pPr>
            <w:r>
              <w:t xml:space="preserve">Donante en otro país sin relación con tu causa.</w:t>
            </w:r>
          </w:p>
          <w:p>
            <w:pPr>
              <w:pStyle w:val="ListParagraph"/>
              <w:numPr>
                <w:ilvl w:val="0"/>
                <w:numId w:val="2"/>
              </w:numPr>
              <w:spacing w:after="60" w:line="280"/>
            </w:pPr>
            <w:r>
              <w:t xml:space="preserve">El donante pone condiciones raras o exige pagarle a alguien específico.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8860B" w:sz="24"/>
              <w:bottom w:val="none"/>
              <w:right w:val="none"/>
            </w:tcBorders>
            <w:shd w:fill="FBF3DD" w:val="clear"/>
            <w:tcMar>
              <w:top w:type="dxa" w:w="120"/>
              <w:left w:type="dxa" w:w="200"/>
              <w:bottom w:type="dxa" w:w="120"/>
              <w:right w:type="dxa" w:w="160"/>
            </w:tcMar>
          </w:tcPr>
          <w:p>
            <w:pPr>
              <w:spacing w:after="60"/>
            </w:pPr>
            <w:r>
              <w:rPr>
                <w:b/>
                <w:bCs/>
                <w:color w:val="B8860B"/>
                <w:sz w:val="19"/>
                <w:szCs w:val="19"/>
              </w:rPr>
              <w:t xml:space="preserve">REGLA DE ORO</w:t>
            </w:r>
          </w:p>
          <w:p>
            <w:pPr>
              <w:spacing w:after="0" w:before="0" w:line="286"/>
            </w:pPr>
            <w:r>
              <w:t xml:space="preserve">El donativo con condiciones no es donativo, es instrucción.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6FB2" w:sz="24"/>
              <w:bottom w:val="none"/>
              <w:right w:val="none"/>
            </w:tcBorders>
            <w:shd w:fill="E9F1FA" w:val="clear"/>
            <w:tcMar>
              <w:top w:type="dxa" w:w="120"/>
              <w:left w:type="dxa" w:w="200"/>
              <w:bottom w:type="dxa" w:w="120"/>
              <w:right w:type="dxa" w:w="160"/>
            </w:tcMar>
          </w:tcPr>
          <w:p>
            <w:pPr>
              <w:spacing w:after="60"/>
            </w:pPr>
            <w:r>
              <w:rPr>
                <w:b/>
                <w:bCs/>
                <w:color w:val="1F6FB2"/>
                <w:sz w:val="19"/>
                <w:szCs w:val="19"/>
              </w:rPr>
              <w:t xml:space="preserve">EL LUNES POR LA MAÑANA</w:t>
            </w:r>
          </w:p>
          <w:p>
            <w:pPr>
              <w:pStyle w:val="ListParagraph"/>
              <w:numPr>
                <w:ilvl w:val="0"/>
                <w:numId w:val="2"/>
              </w:numPr>
              <w:spacing w:after="60" w:line="280"/>
            </w:pPr>
            <w:r>
              <w:t xml:space="preserve">Identifica a los donantes grandes y guarda de dónde vino el dinero.</w:t>
            </w:r>
          </w:p>
        </w:tc>
      </w:tr>
    </w:tbl>
    <w:p>
      <w:pPr>
        <w:spacing w:after="160"/>
      </w:pPr>
      <w:r>
        <w:t xml:space="preserve"/>
      </w:r>
    </w:p>
    <w:p>
      <w:pPr>
        <w:pStyle w:val="Heading2"/>
        <w:keepNext/>
        <w:keepLines/>
      </w:pPr>
      <w:r>
        <w:t xml:space="preserve">Traslado y custodia de dinero o valores</w:t>
      </w:r>
    </w:p>
    <w:p>
      <w:pPr>
        <w:spacing w:after="80" w:before="0" w:line="286"/>
      </w:pPr>
      <w:r>
        <w:rPr>
          <w:b/>
          <w:bCs/>
          <w:color w:val="9E1B1B"/>
          <w:sz w:val="19"/>
          <w:szCs w:val="19"/>
        </w:rPr>
        <w:t xml:space="preserve">Artículo 17, Fracción X</w:t>
      </w:r>
    </w:p>
    <w:p>
      <w:pPr>
        <w:spacing w:after="120" w:before="0" w:line="286"/>
      </w:pPr>
      <w:r>
        <w:rPr>
          <w:b/>
          <w:bCs/>
          <w:sz w:val="23"/>
          <w:szCs w:val="23"/>
        </w:rPr>
        <w:t xml:space="preserve">¿Trasladas o custodias dinero o valores (camiones de valores, bóvedas)?</w:t>
      </w:r>
    </w:p>
    <w:p>
      <w:pPr>
        <w:spacing w:after="120" w:before="0" w:line="286"/>
      </w:pPr>
      <w:r>
        <w:rPr>
          <w:b/>
          <w:bCs/>
        </w:rPr>
        <w:t xml:space="preserve">Por qué te vigilan. </w:t>
      </w:r>
      <w:r>
        <w:t xml:space="preserve">Mover efectivo físico es justo lo que necesita quien no quiere dejar rastro en el banco.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Cómo te usan</w:t>
            </w:r>
          </w:p>
        </w:tc>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Por qué pueden</w:t>
            </w:r>
          </w:p>
        </w:tc>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Qué te cuesta</w:t>
            </w:r>
          </w:p>
        </w:tc>
      </w:tr>
      <w:tr>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Mueven efectivo ilícito físicamente.</w:t>
            </w:r>
          </w:p>
        </w:tc>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El traslado físico es difícil de controlar.</w:t>
            </w:r>
          </w:p>
        </w:tc>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Decomiso y sanciones.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AA7B2" w:sz="4"/>
              <w:left w:val="single" w:color="9AA7B2" w:sz="4"/>
              <w:bottom w:val="single" w:color="9AA7B2" w:sz="4"/>
              <w:right w:val="single" w:color="9AA7B2" w:sz="4"/>
            </w:tcBorders>
            <w:shd w:fill="EEF1F4" w:val="clear"/>
            <w:tcMar>
              <w:top w:type="dxa" w:w="100"/>
              <w:left w:type="dxa" w:w="160"/>
              <w:bottom w:type="dxa" w:w="100"/>
              <w:right w:type="dxa" w:w="120"/>
            </w:tcMar>
          </w:tcPr>
          <w:p>
            <w:pPr>
              <w:spacing w:after="40"/>
            </w:pPr>
            <w:r>
              <w:rPr>
                <w:b/>
                <w:bCs/>
                <w:color w:val="555555"/>
                <w:sz w:val="17"/>
                <w:szCs w:val="17"/>
              </w:rPr>
              <w:t xml:space="preserve">Pides identificacion desde</w:t>
            </w:r>
          </w:p>
          <w:p>
            <w:r>
              <w:rPr>
                <w:b/>
                <w:bCs/>
                <w:color w:val="1A1A1A"/>
                <w:sz w:val="22"/>
                <w:szCs w:val="22"/>
              </w:rPr>
              <w:t xml:space="preserve">Siempre.</w:t>
            </w:r>
          </w:p>
        </w:tc>
        <w:tc>
          <w:tcPr>
            <w:tcW w:type="dxa" w:w="4680"/>
            <w:tcBorders>
              <w:top w:val="single" w:color="9AA7B2" w:sz="4"/>
              <w:left w:val="single" w:color="9AA7B2" w:sz="4"/>
              <w:bottom w:val="single" w:color="9AA7B2" w:sz="4"/>
              <w:right w:val="single" w:color="9AA7B2" w:sz="4"/>
            </w:tcBorders>
            <w:shd w:fill="EEF1F4" w:val="clear"/>
            <w:tcMar>
              <w:top w:type="dxa" w:w="100"/>
              <w:left w:type="dxa" w:w="160"/>
              <w:bottom w:type="dxa" w:w="100"/>
              <w:right w:type="dxa" w:w="120"/>
            </w:tcMar>
          </w:tcPr>
          <w:p>
            <w:pPr>
              <w:spacing w:after="40"/>
            </w:pPr>
            <w:r>
              <w:rPr>
                <w:b/>
                <w:bCs/>
                <w:color w:val="555555"/>
                <w:sz w:val="17"/>
                <w:szCs w:val="17"/>
              </w:rPr>
              <w:t xml:space="preserve">Reportas al SAT (Aviso) desde</w:t>
            </w:r>
          </w:p>
          <w:p>
            <w:r>
              <w:rPr>
                <w:b/>
                <w:bCs/>
                <w:color w:val="1A1A1A"/>
                <w:sz w:val="22"/>
                <w:szCs w:val="22"/>
              </w:rPr>
              <w:t xml:space="preserve">$376,565 (3,210 UMA).</w:t>
            </w:r>
          </w:p>
        </w:tc>
      </w:tr>
    </w:tbl>
    <w:p>
      <w:pPr>
        <w:spacing w:after="40"/>
      </w:pPr>
      <w:r>
        <w:t xml:space="preserve"/>
      </w:r>
    </w:p>
    <w:p>
      <w:pPr>
        <w:spacing w:after="120" w:before="40" w:line="286"/>
      </w:pPr>
      <w:r>
        <w:rPr>
          <w:b/>
          <w:bCs/>
        </w:rPr>
        <w:t xml:space="preserve">Qué cambió con la reforma. </w:t>
      </w:r>
      <w:r>
        <w:t xml:space="preserve">Lo nuevo: si NO puedes saber cuánto vale lo que trasladas o custodias, repórtalo de todos modos. Se acabó el 'valor desconocido' para escaparse del reporte.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777777" w:sz="24"/>
              <w:bottom w:val="none"/>
              <w:right w:val="none"/>
            </w:tcBorders>
            <w:shd w:fill="EEF1F4" w:val="clear"/>
            <w:tcMar>
              <w:top w:type="dxa" w:w="120"/>
              <w:left w:type="dxa" w:w="200"/>
              <w:bottom w:type="dxa" w:w="120"/>
              <w:right w:type="dxa" w:w="160"/>
            </w:tcMar>
          </w:tcPr>
          <w:p>
            <w:pPr>
              <w:spacing w:after="60"/>
            </w:pPr>
            <w:r>
              <w:rPr>
                <w:b/>
                <w:bCs/>
                <w:color w:val="777777"/>
                <w:sz w:val="19"/>
                <w:szCs w:val="19"/>
              </w:rPr>
              <w:t xml:space="preserve">SEMÁFORO DE RIESGO</w:t>
            </w:r>
          </w:p>
          <w:p>
            <w:pPr>
              <w:spacing w:after="40" w:before="0" w:line="286"/>
            </w:pPr>
            <w:r>
              <w:rPr>
                <w:b/>
                <w:bCs/>
                <w:color w:val="C1272D"/>
              </w:rPr>
              <w:t xml:space="preserve">Más riesgo: </w:t>
            </w:r>
            <w:r>
              <w:t xml:space="preserve">Efectivo de alto volumen desde domicilios no declarados.</w:t>
            </w:r>
          </w:p>
          <w:p>
            <w:pPr>
              <w:spacing w:after="0" w:before="0" w:line="286"/>
            </w:pPr>
            <w:r>
              <w:rPr>
                <w:b/>
                <w:bCs/>
                <w:color w:val="2E7D32"/>
              </w:rPr>
              <w:t xml:space="preserve">Menos riesgo: </w:t>
            </w:r>
            <w:r>
              <w:t xml:space="preserve">Valores documentados (títulos, cheques) y rastreables.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5B7C99" w:sz="24"/>
              <w:bottom w:val="none"/>
              <w:right w:val="none"/>
            </w:tcBorders>
            <w:shd w:fill="EFF3F7" w:val="clear"/>
            <w:tcMar>
              <w:top w:type="dxa" w:w="120"/>
              <w:left w:type="dxa" w:w="200"/>
              <w:bottom w:type="dxa" w:w="120"/>
              <w:right w:type="dxa" w:w="160"/>
            </w:tcMar>
          </w:tcPr>
          <w:p>
            <w:pPr>
              <w:spacing w:after="60"/>
            </w:pPr>
            <w:r>
              <w:rPr>
                <w:b/>
                <w:bCs/>
                <w:color w:val="5B7C99"/>
                <w:sz w:val="19"/>
                <w:szCs w:val="19"/>
              </w:rPr>
              <w:t xml:space="preserve">UN CASO REAL</w:t>
            </w:r>
          </w:p>
          <w:p>
            <w:pPr>
              <w:spacing w:after="0" w:before="0" w:line="286"/>
            </w:pPr>
            <w:r>
              <w:t xml:space="preserve">Una empresa que normalmente opera por banco te contrata para trasladar mucho efectivo desde un domicilio no declarado hasta una casa de cambio en la frontera.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1272D" w:sz="24"/>
              <w:bottom w:val="none"/>
              <w:right w:val="none"/>
            </w:tcBorders>
            <w:shd w:fill="FBEAE8" w:val="clear"/>
            <w:tcMar>
              <w:top w:type="dxa" w:w="120"/>
              <w:left w:type="dxa" w:w="200"/>
              <w:bottom w:type="dxa" w:w="120"/>
              <w:right w:type="dxa" w:w="160"/>
            </w:tcMar>
          </w:tcPr>
          <w:p>
            <w:pPr>
              <w:spacing w:after="60"/>
            </w:pPr>
            <w:r>
              <w:rPr>
                <w:b/>
                <w:bCs/>
                <w:color w:val="C1272D"/>
                <w:sz w:val="19"/>
                <w:szCs w:val="19"/>
              </w:rPr>
              <w:t xml:space="preserve">FOCOS ROJOS (si ves esto, prende la antena)</w:t>
            </w:r>
          </w:p>
          <w:p>
            <w:pPr>
              <w:pStyle w:val="ListParagraph"/>
              <w:numPr>
                <w:ilvl w:val="0"/>
                <w:numId w:val="2"/>
              </w:numPr>
              <w:spacing w:after="60" w:line="280"/>
            </w:pPr>
            <w:r>
              <w:t xml:space="preserve">Traslados frecuentes desde casas o domicilios no declarados.</w:t>
            </w:r>
          </w:p>
          <w:p>
            <w:pPr>
              <w:pStyle w:val="ListParagraph"/>
              <w:numPr>
                <w:ilvl w:val="0"/>
                <w:numId w:val="2"/>
              </w:numPr>
              <w:spacing w:after="60" w:line="280"/>
            </w:pPr>
            <w:r>
              <w:t xml:space="preserve">El valor declarado no cuadra con lo que mueves.</w:t>
            </w:r>
          </w:p>
          <w:p>
            <w:pPr>
              <w:pStyle w:val="ListParagraph"/>
              <w:numPr>
                <w:ilvl w:val="0"/>
                <w:numId w:val="2"/>
              </w:numPr>
              <w:spacing w:after="60" w:line="280"/>
            </w:pPr>
            <w:r>
              <w:t xml:space="preserve">El cliente es vago sobre el origen y el destino.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8860B" w:sz="24"/>
              <w:bottom w:val="none"/>
              <w:right w:val="none"/>
            </w:tcBorders>
            <w:shd w:fill="FBF3DD" w:val="clear"/>
            <w:tcMar>
              <w:top w:type="dxa" w:w="120"/>
              <w:left w:type="dxa" w:w="200"/>
              <w:bottom w:type="dxa" w:w="120"/>
              <w:right w:type="dxa" w:w="160"/>
            </w:tcMar>
          </w:tcPr>
          <w:p>
            <w:pPr>
              <w:spacing w:after="60"/>
            </w:pPr>
            <w:r>
              <w:rPr>
                <w:b/>
                <w:bCs/>
                <w:color w:val="B8860B"/>
                <w:sz w:val="19"/>
                <w:szCs w:val="19"/>
              </w:rPr>
              <w:t xml:space="preserve">REGLA DE ORO</w:t>
            </w:r>
          </w:p>
          <w:p>
            <w:pPr>
              <w:spacing w:after="0" w:before="0" w:line="286"/>
            </w:pPr>
            <w:r>
              <w:t xml:space="preserve">Si no te dejan saber qué cargas, esa ya es la respuesta.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6FB2" w:sz="24"/>
              <w:bottom w:val="none"/>
              <w:right w:val="none"/>
            </w:tcBorders>
            <w:shd w:fill="E9F1FA" w:val="clear"/>
            <w:tcMar>
              <w:top w:type="dxa" w:w="120"/>
              <w:left w:type="dxa" w:w="200"/>
              <w:bottom w:type="dxa" w:w="120"/>
              <w:right w:type="dxa" w:w="160"/>
            </w:tcMar>
          </w:tcPr>
          <w:p>
            <w:pPr>
              <w:spacing w:after="60"/>
            </w:pPr>
            <w:r>
              <w:rPr>
                <w:b/>
                <w:bCs/>
                <w:color w:val="1F6FB2"/>
                <w:sz w:val="19"/>
                <w:szCs w:val="19"/>
              </w:rPr>
              <w:t xml:space="preserve">EL LUNES POR LA MAÑANA</w:t>
            </w:r>
          </w:p>
          <w:p>
            <w:pPr>
              <w:pStyle w:val="ListParagraph"/>
              <w:numPr>
                <w:ilvl w:val="0"/>
                <w:numId w:val="2"/>
              </w:numPr>
              <w:spacing w:after="60" w:line="280"/>
            </w:pPr>
            <w:r>
              <w:t xml:space="preserve">Anota origen, destino y valor de cada traslado.</w:t>
            </w:r>
          </w:p>
          <w:p>
            <w:pPr>
              <w:pStyle w:val="ListParagraph"/>
              <w:numPr>
                <w:ilvl w:val="0"/>
                <w:numId w:val="2"/>
              </w:numPr>
              <w:spacing w:after="60" w:line="280"/>
            </w:pPr>
            <w:r>
              <w:t xml:space="preserve">Reporta cuando el valor no se pueda cuantificar.</w:t>
            </w:r>
          </w:p>
        </w:tc>
      </w:tr>
    </w:tbl>
    <w:p>
      <w:pPr>
        <w:spacing w:after="160"/>
      </w:pPr>
      <w:r>
        <w:t xml:space="preserve"/>
      </w:r>
    </w:p>
    <w:p>
      <w:pPr>
        <w:pStyle w:val="Heading2"/>
        <w:keepNext/>
        <w:keepLines/>
      </w:pPr>
      <w:r>
        <w:t xml:space="preserve">Comercio exterior (importar y exportar)</w:t>
      </w:r>
    </w:p>
    <w:p>
      <w:pPr>
        <w:spacing w:after="80" w:before="0" w:line="286"/>
      </w:pPr>
      <w:r>
        <w:rPr>
          <w:b/>
          <w:bCs/>
          <w:color w:val="9E1B1B"/>
          <w:sz w:val="19"/>
          <w:szCs w:val="19"/>
        </w:rPr>
        <w:t xml:space="preserve">Artículo 17, Fracción XIV</w:t>
      </w:r>
    </w:p>
    <w:p>
      <w:pPr>
        <w:spacing w:after="120" w:before="0" w:line="286"/>
      </w:pPr>
      <w:r>
        <w:rPr>
          <w:b/>
          <w:bCs/>
          <w:sz w:val="23"/>
          <w:szCs w:val="23"/>
        </w:rPr>
        <w:t xml:space="preserve">¿Importas o exportas joyas, metales, arte, vehículos o maquinaria? ¿Promueves el despacho de mercancías sin agente aduanal?</w:t>
      </w:r>
    </w:p>
    <w:p>
      <w:pPr>
        <w:spacing w:after="120" w:before="0" w:line="286"/>
      </w:pPr>
      <w:r>
        <w:rPr>
          <w:b/>
          <w:bCs/>
        </w:rPr>
        <w:t xml:space="preserve">Por qué te vigilan. </w:t>
      </w:r>
      <w:r>
        <w:t xml:space="preserve">El comercio exterior mueve bienes de alto valor entre países. Sirve para sacar o meter valor disfrazado de mercancía.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Cómo te usan</w:t>
            </w:r>
          </w:p>
        </w:tc>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Por qué pueden</w:t>
            </w:r>
          </w:p>
        </w:tc>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Qué te cuesta</w:t>
            </w:r>
          </w:p>
        </w:tc>
      </w:tr>
      <w:tr>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Mueven valor disfrazado de mercancía.</w:t>
            </w:r>
          </w:p>
        </w:tc>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Bienes portátiles y líquidos.</w:t>
            </w:r>
          </w:p>
        </w:tc>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Contrabando, decomiso y sanciones.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AA7B2" w:sz="4"/>
              <w:left w:val="single" w:color="9AA7B2" w:sz="4"/>
              <w:bottom w:val="single" w:color="9AA7B2" w:sz="4"/>
              <w:right w:val="single" w:color="9AA7B2" w:sz="4"/>
            </w:tcBorders>
            <w:shd w:fill="EEF1F4" w:val="clear"/>
            <w:tcMar>
              <w:top w:type="dxa" w:w="100"/>
              <w:left w:type="dxa" w:w="160"/>
              <w:bottom w:type="dxa" w:w="100"/>
              <w:right w:type="dxa" w:w="120"/>
            </w:tcMar>
          </w:tcPr>
          <w:p>
            <w:pPr>
              <w:spacing w:after="40"/>
            </w:pPr>
            <w:r>
              <w:rPr>
                <w:b/>
                <w:bCs/>
                <w:color w:val="555555"/>
                <w:sz w:val="17"/>
                <w:szCs w:val="17"/>
              </w:rPr>
              <w:t xml:space="preserve">Pides identificacion desde</w:t>
            </w:r>
          </w:p>
          <w:p>
            <w:r>
              <w:rPr>
                <w:b/>
                <w:bCs/>
                <w:color w:val="1A1A1A"/>
                <w:sz w:val="22"/>
                <w:szCs w:val="22"/>
              </w:rPr>
              <w:t xml:space="preserve">$56,895 (485 UMA) joyas y metales. $564,848 (4,815 UMA) obras de arte. Siempre para vehículos, maquinaria y blindaje.</w:t>
            </w:r>
          </w:p>
        </w:tc>
        <w:tc>
          <w:tcPr>
            <w:tcW w:type="dxa" w:w="4680"/>
            <w:tcBorders>
              <w:top w:val="single" w:color="9AA7B2" w:sz="4"/>
              <w:left w:val="single" w:color="9AA7B2" w:sz="4"/>
              <w:bottom w:val="single" w:color="9AA7B2" w:sz="4"/>
              <w:right w:val="single" w:color="9AA7B2" w:sz="4"/>
            </w:tcBorders>
            <w:shd w:fill="EEF1F4" w:val="clear"/>
            <w:tcMar>
              <w:top w:type="dxa" w:w="100"/>
              <w:left w:type="dxa" w:w="160"/>
              <w:bottom w:type="dxa" w:w="100"/>
              <w:right w:type="dxa" w:w="120"/>
            </w:tcMar>
          </w:tcPr>
          <w:p>
            <w:pPr>
              <w:spacing w:after="40"/>
            </w:pPr>
            <w:r>
              <w:rPr>
                <w:b/>
                <w:bCs/>
                <w:color w:val="555555"/>
                <w:sz w:val="17"/>
                <w:szCs w:val="17"/>
              </w:rPr>
              <w:t xml:space="preserve">Reportas al SAT (Aviso) desde</w:t>
            </w:r>
          </w:p>
          <w:p>
            <w:r>
              <w:rPr>
                <w:b/>
                <w:bCs/>
                <w:color w:val="1A1A1A"/>
                <w:sz w:val="22"/>
                <w:szCs w:val="22"/>
              </w:rPr>
              <w:t xml:space="preserve">Mismos montos que la identificación en cada caso.</w:t>
            </w:r>
          </w:p>
        </w:tc>
      </w:tr>
    </w:tbl>
    <w:p>
      <w:pPr>
        <w:spacing w:after="40"/>
      </w:pPr>
      <w:r>
        <w:t xml:space="preserve"/>
      </w:r>
    </w:p>
    <w:p>
      <w:pPr>
        <w:spacing w:after="120" w:before="40" w:line="286"/>
      </w:pPr>
      <w:r>
        <w:rPr>
          <w:b/>
          <w:bCs/>
        </w:rPr>
        <w:t xml:space="preserve">Qué cambió con la reforma. </w:t>
      </w:r>
      <w:r>
        <w:t xml:space="preserve">Lo nuevo: ahora también aplica al que promueve el despacho de mercancías SIN agente o agencia aduanal. Cierra esa puerta de escape.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777777" w:sz="24"/>
              <w:bottom w:val="none"/>
              <w:right w:val="none"/>
            </w:tcBorders>
            <w:shd w:fill="EEF1F4" w:val="clear"/>
            <w:tcMar>
              <w:top w:type="dxa" w:w="120"/>
              <w:left w:type="dxa" w:w="200"/>
              <w:bottom w:type="dxa" w:w="120"/>
              <w:right w:type="dxa" w:w="160"/>
            </w:tcMar>
          </w:tcPr>
          <w:p>
            <w:pPr>
              <w:spacing w:after="60"/>
            </w:pPr>
            <w:r>
              <w:rPr>
                <w:b/>
                <w:bCs/>
                <w:color w:val="777777"/>
                <w:sz w:val="19"/>
                <w:szCs w:val="19"/>
              </w:rPr>
              <w:t xml:space="preserve">SEMÁFORO DE RIESGO</w:t>
            </w:r>
          </w:p>
          <w:p>
            <w:pPr>
              <w:spacing w:after="40" w:before="0" w:line="286"/>
            </w:pPr>
            <w:r>
              <w:rPr>
                <w:b/>
                <w:bCs/>
                <w:color w:val="C1272D"/>
              </w:rPr>
              <w:t xml:space="preserve">Más riesgo: </w:t>
            </w:r>
            <w:r>
              <w:t xml:space="preserve">Bienes de lujo, países de alto riesgo, valor declarado que no cuadra.</w:t>
            </w:r>
          </w:p>
          <w:p>
            <w:pPr>
              <w:spacing w:after="0" w:before="0" w:line="286"/>
            </w:pPr>
            <w:r>
              <w:rPr>
                <w:b/>
                <w:bCs/>
                <w:color w:val="2E7D32"/>
              </w:rPr>
              <w:t xml:space="preserve">Menos riesgo: </w:t>
            </w:r>
            <w:r>
              <w:t xml:space="preserve">Bienes de uso común con documentación completa.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5B7C99" w:sz="24"/>
              <w:bottom w:val="none"/>
              <w:right w:val="none"/>
            </w:tcBorders>
            <w:shd w:fill="EFF3F7" w:val="clear"/>
            <w:tcMar>
              <w:top w:type="dxa" w:w="120"/>
              <w:left w:type="dxa" w:w="200"/>
              <w:bottom w:type="dxa" w:w="120"/>
              <w:right w:type="dxa" w:w="160"/>
            </w:tcMar>
          </w:tcPr>
          <w:p>
            <w:pPr>
              <w:spacing w:after="60"/>
            </w:pPr>
            <w:r>
              <w:rPr>
                <w:b/>
                <w:bCs/>
                <w:color w:val="5B7C99"/>
                <w:sz w:val="19"/>
                <w:szCs w:val="19"/>
              </w:rPr>
              <w:t xml:space="preserve">UN CASO REAL</w:t>
            </w:r>
          </w:p>
          <w:p>
            <w:pPr>
              <w:spacing w:after="0" w:before="0" w:line="286"/>
            </w:pPr>
            <w:r>
              <w:t xml:space="preserve">Importas un lote de maquinaria cuyo valor declarado es muy distinto al real, y el pago llega de un tercero en un país de alto riesgo.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1272D" w:sz="24"/>
              <w:bottom w:val="none"/>
              <w:right w:val="none"/>
            </w:tcBorders>
            <w:shd w:fill="FBEAE8" w:val="clear"/>
            <w:tcMar>
              <w:top w:type="dxa" w:w="120"/>
              <w:left w:type="dxa" w:w="200"/>
              <w:bottom w:type="dxa" w:w="120"/>
              <w:right w:type="dxa" w:w="160"/>
            </w:tcMar>
          </w:tcPr>
          <w:p>
            <w:pPr>
              <w:spacing w:after="60"/>
            </w:pPr>
            <w:r>
              <w:rPr>
                <w:b/>
                <w:bCs/>
                <w:color w:val="C1272D"/>
                <w:sz w:val="19"/>
                <w:szCs w:val="19"/>
              </w:rPr>
              <w:t xml:space="preserve">FOCOS ROJOS (si ves esto, prende la antena)</w:t>
            </w:r>
          </w:p>
          <w:p>
            <w:pPr>
              <w:pStyle w:val="ListParagraph"/>
              <w:numPr>
                <w:ilvl w:val="0"/>
                <w:numId w:val="2"/>
              </w:numPr>
              <w:spacing w:after="60" w:line="280"/>
            </w:pPr>
            <w:r>
              <w:t xml:space="preserve">El valor declarado no cuadra con la mercancía.</w:t>
            </w:r>
          </w:p>
          <w:p>
            <w:pPr>
              <w:pStyle w:val="ListParagraph"/>
              <w:numPr>
                <w:ilvl w:val="0"/>
                <w:numId w:val="2"/>
              </w:numPr>
              <w:spacing w:after="60" w:line="280"/>
            </w:pPr>
            <w:r>
              <w:t xml:space="preserve">Operaciones con países de alto riesgo sin razón comercial.</w:t>
            </w:r>
          </w:p>
          <w:p>
            <w:pPr>
              <w:pStyle w:val="ListParagraph"/>
              <w:numPr>
                <w:ilvl w:val="0"/>
                <w:numId w:val="2"/>
              </w:numPr>
              <w:spacing w:after="60" w:line="280"/>
            </w:pPr>
            <w:r>
              <w:t xml:space="preserve">Pagan terceros sin relación con la operación.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8860B" w:sz="24"/>
              <w:bottom w:val="none"/>
              <w:right w:val="none"/>
            </w:tcBorders>
            <w:shd w:fill="FBF3DD" w:val="clear"/>
            <w:tcMar>
              <w:top w:type="dxa" w:w="120"/>
              <w:left w:type="dxa" w:w="200"/>
              <w:bottom w:type="dxa" w:w="120"/>
              <w:right w:type="dxa" w:w="160"/>
            </w:tcMar>
          </w:tcPr>
          <w:p>
            <w:pPr>
              <w:spacing w:after="60"/>
            </w:pPr>
            <w:r>
              <w:rPr>
                <w:b/>
                <w:bCs/>
                <w:color w:val="B8860B"/>
                <w:sz w:val="19"/>
                <w:szCs w:val="19"/>
              </w:rPr>
              <w:t xml:space="preserve">REGLA DE ORO</w:t>
            </w:r>
          </w:p>
          <w:p>
            <w:pPr>
              <w:spacing w:after="0" w:before="0" w:line="286"/>
            </w:pPr>
            <w:r>
              <w:t xml:space="preserve">Si el papel dice un valor y la mercancía vale otro, ahí está el problema.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6FB2" w:sz="24"/>
              <w:bottom w:val="none"/>
              <w:right w:val="none"/>
            </w:tcBorders>
            <w:shd w:fill="E9F1FA" w:val="clear"/>
            <w:tcMar>
              <w:top w:type="dxa" w:w="120"/>
              <w:left w:type="dxa" w:w="200"/>
              <w:bottom w:type="dxa" w:w="120"/>
              <w:right w:type="dxa" w:w="160"/>
            </w:tcMar>
          </w:tcPr>
          <w:p>
            <w:pPr>
              <w:spacing w:after="60"/>
            </w:pPr>
            <w:r>
              <w:rPr>
                <w:b/>
                <w:bCs/>
                <w:color w:val="1F6FB2"/>
                <w:sz w:val="19"/>
                <w:szCs w:val="19"/>
              </w:rPr>
              <w:t xml:space="preserve">EL LUNES POR LA MAÑANA</w:t>
            </w:r>
          </w:p>
          <w:p>
            <w:pPr>
              <w:pStyle w:val="ListParagraph"/>
              <w:numPr>
                <w:ilvl w:val="0"/>
                <w:numId w:val="2"/>
              </w:numPr>
              <w:spacing w:after="60" w:line="280"/>
            </w:pPr>
            <w:r>
              <w:t xml:space="preserve">Guarda el valor en aduana y la identificación de tus clientes.</w:t>
            </w:r>
          </w:p>
        </w:tc>
      </w:tr>
    </w:tbl>
    <w:p>
      <w:pPr>
        <w:spacing w:after="160"/>
      </w:pPr>
      <w:r>
        <w:t xml:space="preserve"/>
      </w:r>
    </w:p>
    <w:p>
      <w:pPr>
        <w:pStyle w:val="Heading2"/>
        <w:keepNext/>
        <w:keepLines/>
      </w:pPr>
      <w:r>
        <w:t xml:space="preserve">Renta (arrendamiento) de inmuebles</w:t>
      </w:r>
    </w:p>
    <w:p>
      <w:pPr>
        <w:spacing w:after="80" w:before="0" w:line="286"/>
      </w:pPr>
      <w:r>
        <w:rPr>
          <w:b/>
          <w:bCs/>
          <w:color w:val="9E1B1B"/>
          <w:sz w:val="19"/>
          <w:szCs w:val="19"/>
        </w:rPr>
        <w:t xml:space="preserve">Artículo 17, Fracción XV</w:t>
      </w:r>
    </w:p>
    <w:p>
      <w:pPr>
        <w:spacing w:after="120" w:before="0" w:line="286"/>
      </w:pPr>
      <w:r>
        <w:rPr>
          <w:b/>
          <w:bCs/>
          <w:sz w:val="23"/>
          <w:szCs w:val="23"/>
        </w:rPr>
        <w:t xml:space="preserve">¿Rentas inmuebles (casas, locales, bodegas)?</w:t>
      </w:r>
    </w:p>
    <w:p>
      <w:pPr>
        <w:spacing w:after="120" w:before="0" w:line="286"/>
      </w:pPr>
      <w:r>
        <w:rPr>
          <w:b/>
          <w:bCs/>
        </w:rPr>
        <w:t xml:space="preserve">Por qué te vigilan. </w:t>
      </w:r>
      <w:r>
        <w:t xml:space="preserve">La renta sirve para justificar ingresos que en realidad vienen de otro lado: 'cobro renta' cuando en realidad estás metiendo dinero sucio.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Cómo te usan</w:t>
            </w:r>
          </w:p>
        </w:tc>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Por qué pueden</w:t>
            </w:r>
          </w:p>
        </w:tc>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Qué te cuesta</w:t>
            </w:r>
          </w:p>
        </w:tc>
      </w:tr>
      <w:tr>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Justifican ingresos sucios como si fueran renta.</w:t>
            </w:r>
          </w:p>
        </w:tc>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Se puede pagar en efectivo.</w:t>
            </w:r>
          </w:p>
        </w:tc>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Simulación detectada y sanciones.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AA7B2" w:sz="4"/>
              <w:left w:val="single" w:color="9AA7B2" w:sz="4"/>
              <w:bottom w:val="single" w:color="9AA7B2" w:sz="4"/>
              <w:right w:val="single" w:color="9AA7B2" w:sz="4"/>
            </w:tcBorders>
            <w:shd w:fill="EEF1F4" w:val="clear"/>
            <w:tcMar>
              <w:top w:type="dxa" w:w="100"/>
              <w:left w:type="dxa" w:w="160"/>
              <w:bottom w:type="dxa" w:w="100"/>
              <w:right w:type="dxa" w:w="120"/>
            </w:tcMar>
          </w:tcPr>
          <w:p>
            <w:pPr>
              <w:spacing w:after="40"/>
            </w:pPr>
            <w:r>
              <w:rPr>
                <w:b/>
                <w:bCs/>
                <w:color w:val="555555"/>
                <w:sz w:val="17"/>
                <w:szCs w:val="17"/>
              </w:rPr>
              <w:t xml:space="preserve">Pides identificacion desde</w:t>
            </w:r>
          </w:p>
          <w:p>
            <w:r>
              <w:rPr>
                <w:b/>
                <w:bCs/>
                <w:color w:val="1A1A1A"/>
                <w:sz w:val="22"/>
                <w:szCs w:val="22"/>
              </w:rPr>
              <w:t xml:space="preserve">$188,283 (1,605 UMA) de renta mensual.</w:t>
            </w:r>
          </w:p>
        </w:tc>
        <w:tc>
          <w:tcPr>
            <w:tcW w:type="dxa" w:w="4680"/>
            <w:tcBorders>
              <w:top w:val="single" w:color="9AA7B2" w:sz="4"/>
              <w:left w:val="single" w:color="9AA7B2" w:sz="4"/>
              <w:bottom w:val="single" w:color="9AA7B2" w:sz="4"/>
              <w:right w:val="single" w:color="9AA7B2" w:sz="4"/>
            </w:tcBorders>
            <w:shd w:fill="EEF1F4" w:val="clear"/>
            <w:tcMar>
              <w:top w:type="dxa" w:w="100"/>
              <w:left w:type="dxa" w:w="160"/>
              <w:bottom w:type="dxa" w:w="100"/>
              <w:right w:type="dxa" w:w="120"/>
            </w:tcMar>
          </w:tcPr>
          <w:p>
            <w:pPr>
              <w:spacing w:after="40"/>
            </w:pPr>
            <w:r>
              <w:rPr>
                <w:b/>
                <w:bCs/>
                <w:color w:val="555555"/>
                <w:sz w:val="17"/>
                <w:szCs w:val="17"/>
              </w:rPr>
              <w:t xml:space="preserve">Reportas al SAT (Aviso) desde</w:t>
            </w:r>
          </w:p>
          <w:p>
            <w:r>
              <w:rPr>
                <w:b/>
                <w:bCs/>
                <w:color w:val="1A1A1A"/>
                <w:sz w:val="22"/>
                <w:szCs w:val="22"/>
              </w:rPr>
              <w:t xml:space="preserve">$376,565 (3,210 UMA) de renta mensual.</w:t>
            </w:r>
          </w:p>
        </w:tc>
      </w:tr>
    </w:tbl>
    <w:p>
      <w:pPr>
        <w:spacing w:after="40"/>
      </w:pPr>
      <w:r>
        <w:t xml:space="preserve"/>
      </w:r>
    </w:p>
    <w:p>
      <w:pPr>
        <w:spacing w:after="120" w:before="40" w:line="286"/>
      </w:pPr>
      <w:r>
        <w:rPr>
          <w:b/>
          <w:bCs/>
        </w:rPr>
        <w:t xml:space="preserve">Qué cambió con la reforma. </w:t>
      </w:r>
      <w:r>
        <w:t xml:space="preserve">Los montos se miden en UMA y se calculan por el valor mensual de la renta.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777777" w:sz="24"/>
              <w:bottom w:val="none"/>
              <w:right w:val="none"/>
            </w:tcBorders>
            <w:shd w:fill="EEF1F4" w:val="clear"/>
            <w:tcMar>
              <w:top w:type="dxa" w:w="120"/>
              <w:left w:type="dxa" w:w="200"/>
              <w:bottom w:type="dxa" w:w="120"/>
              <w:right w:type="dxa" w:w="160"/>
            </w:tcMar>
          </w:tcPr>
          <w:p>
            <w:pPr>
              <w:spacing w:after="60"/>
            </w:pPr>
            <w:r>
              <w:rPr>
                <w:b/>
                <w:bCs/>
                <w:color w:val="777777"/>
                <w:sz w:val="19"/>
                <w:szCs w:val="19"/>
              </w:rPr>
              <w:t xml:space="preserve">SEMÁFORO DE RIESGO</w:t>
            </w:r>
          </w:p>
          <w:p>
            <w:pPr>
              <w:spacing w:after="40" w:before="0" w:line="286"/>
            </w:pPr>
            <w:r>
              <w:rPr>
                <w:b/>
                <w:bCs/>
                <w:color w:val="C1272D"/>
              </w:rPr>
              <w:t xml:space="preserve">Más riesgo: </w:t>
            </w:r>
            <w:r>
              <w:t xml:space="preserve">Renta en efectivo pagada por adelantado, montos altos.</w:t>
            </w:r>
          </w:p>
          <w:p>
            <w:pPr>
              <w:spacing w:after="0" w:before="0" w:line="286"/>
            </w:pPr>
            <w:r>
              <w:rPr>
                <w:b/>
                <w:bCs/>
                <w:color w:val="2E7D32"/>
              </w:rPr>
              <w:t xml:space="preserve">Menos riesgo: </w:t>
            </w:r>
            <w:r>
              <w:t xml:space="preserve">Renta de bajo valor con contrato y pagos por banco.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5B7C99" w:sz="24"/>
              <w:bottom w:val="none"/>
              <w:right w:val="none"/>
            </w:tcBorders>
            <w:shd w:fill="EFF3F7" w:val="clear"/>
            <w:tcMar>
              <w:top w:type="dxa" w:w="120"/>
              <w:left w:type="dxa" w:w="200"/>
              <w:bottom w:type="dxa" w:w="120"/>
              <w:right w:type="dxa" w:w="160"/>
            </w:tcMar>
          </w:tcPr>
          <w:p>
            <w:pPr>
              <w:spacing w:after="60"/>
            </w:pPr>
            <w:r>
              <w:rPr>
                <w:b/>
                <w:bCs/>
                <w:color w:val="5B7C99"/>
                <w:sz w:val="19"/>
                <w:szCs w:val="19"/>
              </w:rPr>
              <w:t xml:space="preserve">UN CASO REAL</w:t>
            </w:r>
          </w:p>
          <w:p>
            <w:pPr>
              <w:spacing w:after="0" w:before="0" w:line="286"/>
            </w:pPr>
            <w:r>
              <w:t xml:space="preserve">Un inquilino te paga doce meses de renta por adelantado y en efectivo, por un local que vale mucho menos de lo que está pagando.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1272D" w:sz="24"/>
              <w:bottom w:val="none"/>
              <w:right w:val="none"/>
            </w:tcBorders>
            <w:shd w:fill="FBEAE8" w:val="clear"/>
            <w:tcMar>
              <w:top w:type="dxa" w:w="120"/>
              <w:left w:type="dxa" w:w="200"/>
              <w:bottom w:type="dxa" w:w="120"/>
              <w:right w:type="dxa" w:w="160"/>
            </w:tcMar>
          </w:tcPr>
          <w:p>
            <w:pPr>
              <w:spacing w:after="60"/>
            </w:pPr>
            <w:r>
              <w:rPr>
                <w:b/>
                <w:bCs/>
                <w:color w:val="C1272D"/>
                <w:sz w:val="19"/>
                <w:szCs w:val="19"/>
              </w:rPr>
              <w:t xml:space="preserve">FOCOS ROJOS (si ves esto, prende la antena)</w:t>
            </w:r>
          </w:p>
          <w:p>
            <w:pPr>
              <w:pStyle w:val="ListParagraph"/>
              <w:numPr>
                <w:ilvl w:val="0"/>
                <w:numId w:val="2"/>
              </w:numPr>
              <w:spacing w:after="60" w:line="280"/>
            </w:pPr>
            <w:r>
              <w:t xml:space="preserve">Pagan la renta en efectivo y por adelantado por mucho tiempo.</w:t>
            </w:r>
          </w:p>
          <w:p>
            <w:pPr>
              <w:pStyle w:val="ListParagraph"/>
              <w:numPr>
                <w:ilvl w:val="0"/>
                <w:numId w:val="2"/>
              </w:numPr>
              <w:spacing w:after="60" w:line="280"/>
            </w:pPr>
            <w:r>
              <w:t xml:space="preserve">El que paga no es el inquilino.</w:t>
            </w:r>
          </w:p>
          <w:p>
            <w:pPr>
              <w:pStyle w:val="ListParagraph"/>
              <w:numPr>
                <w:ilvl w:val="0"/>
                <w:numId w:val="2"/>
              </w:numPr>
              <w:spacing w:after="60" w:line="280"/>
            </w:pPr>
            <w:r>
              <w:t xml:space="preserve">La renta está muy por arriba del precio de mercado.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8860B" w:sz="24"/>
              <w:bottom w:val="none"/>
              <w:right w:val="none"/>
            </w:tcBorders>
            <w:shd w:fill="FBF3DD" w:val="clear"/>
            <w:tcMar>
              <w:top w:type="dxa" w:w="120"/>
              <w:left w:type="dxa" w:w="200"/>
              <w:bottom w:type="dxa" w:w="120"/>
              <w:right w:type="dxa" w:w="160"/>
            </w:tcMar>
          </w:tcPr>
          <w:p>
            <w:pPr>
              <w:spacing w:after="60"/>
            </w:pPr>
            <w:r>
              <w:rPr>
                <w:b/>
                <w:bCs/>
                <w:color w:val="B8860B"/>
                <w:sz w:val="19"/>
                <w:szCs w:val="19"/>
              </w:rPr>
              <w:t xml:space="preserve">REGLA DE ORO</w:t>
            </w:r>
          </w:p>
          <w:p>
            <w:pPr>
              <w:spacing w:after="0" w:before="0" w:line="286"/>
            </w:pPr>
            <w:r>
              <w:t xml:space="preserve">Si te pagan más renta de la que vale el lugar, no es generosidad.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6FB2" w:sz="24"/>
              <w:bottom w:val="none"/>
              <w:right w:val="none"/>
            </w:tcBorders>
            <w:shd w:fill="E9F1FA" w:val="clear"/>
            <w:tcMar>
              <w:top w:type="dxa" w:w="120"/>
              <w:left w:type="dxa" w:w="200"/>
              <w:bottom w:type="dxa" w:w="120"/>
              <w:right w:type="dxa" w:w="160"/>
            </w:tcMar>
          </w:tcPr>
          <w:p>
            <w:pPr>
              <w:spacing w:after="60"/>
            </w:pPr>
            <w:r>
              <w:rPr>
                <w:b/>
                <w:bCs/>
                <w:color w:val="1F6FB2"/>
                <w:sz w:val="19"/>
                <w:szCs w:val="19"/>
              </w:rPr>
              <w:t xml:space="preserve">EL LUNES POR LA MAÑANA</w:t>
            </w:r>
          </w:p>
          <w:p>
            <w:pPr>
              <w:pStyle w:val="ListParagraph"/>
              <w:numPr>
                <w:ilvl w:val="0"/>
                <w:numId w:val="2"/>
              </w:numPr>
              <w:spacing w:after="60" w:line="280"/>
            </w:pPr>
            <w:r>
              <w:t xml:space="preserve">Identifica al inquilino y a quien paga.</w:t>
            </w:r>
          </w:p>
          <w:p>
            <w:pPr>
              <w:pStyle w:val="ListParagraph"/>
              <w:numPr>
                <w:ilvl w:val="0"/>
                <w:numId w:val="2"/>
              </w:numPr>
              <w:spacing w:after="60" w:line="280"/>
            </w:pPr>
            <w:r>
              <w:t xml:space="preserve">Guarda contrato y comprobantes.</w:t>
            </w:r>
          </w:p>
        </w:tc>
      </w:tr>
    </w:tbl>
    <w:p>
      <w:pPr>
        <w:spacing w:after="160"/>
      </w:pPr>
      <w:r>
        <w:t xml:space="preserve"/>
      </w:r>
    </w:p>
    <w:p>
      <w:pPr>
        <w:pStyle w:val="Heading2"/>
        <w:keepNext/>
        <w:keepLines/>
      </w:pPr>
      <w:r>
        <w:t xml:space="preserve">Activos virtuales (criptomonedas)</w:t>
      </w:r>
    </w:p>
    <w:p>
      <w:pPr>
        <w:spacing w:after="80" w:before="0" w:line="286"/>
      </w:pPr>
      <w:r>
        <w:rPr>
          <w:b/>
          <w:bCs/>
          <w:color w:val="9E1B1B"/>
          <w:sz w:val="19"/>
          <w:szCs w:val="19"/>
        </w:rPr>
        <w:t xml:space="preserve">Artículo 17, Fracción XVI</w:t>
      </w:r>
    </w:p>
    <w:p>
      <w:pPr>
        <w:spacing w:after="120" w:before="0" w:line="286"/>
      </w:pPr>
      <w:r>
        <w:rPr>
          <w:b/>
          <w:bCs/>
          <w:sz w:val="23"/>
          <w:szCs w:val="23"/>
        </w:rPr>
        <w:t xml:space="preserve">¿Compras, vendes o intercambias criptomonedas, o cobras comisión por operarlas?</w:t>
      </w:r>
    </w:p>
    <w:p>
      <w:pPr>
        <w:spacing w:after="120" w:before="0" w:line="286"/>
      </w:pPr>
      <w:r>
        <w:rPr>
          <w:b/>
          <w:bCs/>
        </w:rPr>
        <w:t xml:space="preserve">Por qué te vigilan. </w:t>
      </w:r>
      <w:r>
        <w:t xml:space="preserve">El cripto se mueve rápido, cruza fronteras y a veces es difícil de rastrear. Es la frontera nueva del lavado, y por eso la autoridad la vigila con la lupa más fina.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Cómo te usan</w:t>
            </w:r>
          </w:p>
        </w:tc>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Por qué pueden</w:t>
            </w:r>
          </w:p>
        </w:tc>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Qué te cuesta</w:t>
            </w:r>
          </w:p>
        </w:tc>
      </w:tr>
      <w:tr>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Mueven fondos rápido y entre países.</w:t>
            </w:r>
          </w:p>
        </w:tc>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Volátil y poco transparente.</w:t>
            </w:r>
          </w:p>
        </w:tc>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Sanciones internacionales y fiscales.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AA7B2" w:sz="4"/>
              <w:left w:val="single" w:color="9AA7B2" w:sz="4"/>
              <w:bottom w:val="single" w:color="9AA7B2" w:sz="4"/>
              <w:right w:val="single" w:color="9AA7B2" w:sz="4"/>
            </w:tcBorders>
            <w:shd w:fill="EEF1F4" w:val="clear"/>
            <w:tcMar>
              <w:top w:type="dxa" w:w="100"/>
              <w:left w:type="dxa" w:w="160"/>
              <w:bottom w:type="dxa" w:w="100"/>
              <w:right w:type="dxa" w:w="120"/>
            </w:tcMar>
          </w:tcPr>
          <w:p>
            <w:pPr>
              <w:spacing w:after="40"/>
            </w:pPr>
            <w:r>
              <w:rPr>
                <w:b/>
                <w:bCs/>
                <w:color w:val="555555"/>
                <w:sz w:val="17"/>
                <w:szCs w:val="17"/>
              </w:rPr>
              <w:t xml:space="preserve">Pides identificacion desde</w:t>
            </w:r>
          </w:p>
          <w:p>
            <w:r>
              <w:rPr>
                <w:b/>
                <w:bCs/>
                <w:color w:val="1A1A1A"/>
                <w:sz w:val="22"/>
                <w:szCs w:val="22"/>
              </w:rPr>
              <w:t xml:space="preserve">SIEMPRE, desde el primer peso. Aquí no hay piso para identificar.</w:t>
            </w:r>
          </w:p>
        </w:tc>
        <w:tc>
          <w:tcPr>
            <w:tcW w:type="dxa" w:w="4680"/>
            <w:tcBorders>
              <w:top w:val="single" w:color="9AA7B2" w:sz="4"/>
              <w:left w:val="single" w:color="9AA7B2" w:sz="4"/>
              <w:bottom w:val="single" w:color="9AA7B2" w:sz="4"/>
              <w:right w:val="single" w:color="9AA7B2" w:sz="4"/>
            </w:tcBorders>
            <w:shd w:fill="EEF1F4" w:val="clear"/>
            <w:tcMar>
              <w:top w:type="dxa" w:w="100"/>
              <w:left w:type="dxa" w:w="160"/>
              <w:bottom w:type="dxa" w:w="100"/>
              <w:right w:type="dxa" w:w="120"/>
            </w:tcMar>
          </w:tcPr>
          <w:p>
            <w:pPr>
              <w:spacing w:after="40"/>
            </w:pPr>
            <w:r>
              <w:rPr>
                <w:b/>
                <w:bCs/>
                <w:color w:val="555555"/>
                <w:sz w:val="17"/>
                <w:szCs w:val="17"/>
              </w:rPr>
              <w:t xml:space="preserve">Reportas al SAT (Aviso) desde</w:t>
            </w:r>
          </w:p>
          <w:p>
            <w:r>
              <w:rPr>
                <w:b/>
                <w:bCs/>
                <w:color w:val="1A1A1A"/>
                <w:sz w:val="22"/>
                <w:szCs w:val="22"/>
              </w:rPr>
              <w:t xml:space="preserve">$24,635 (210 UMA) por operación. O $469 (4 UMA) si cobras una comisión.</w:t>
            </w:r>
          </w:p>
        </w:tc>
      </w:tr>
    </w:tbl>
    <w:p>
      <w:pPr>
        <w:spacing w:after="40"/>
      </w:pPr>
      <w:r>
        <w:t xml:space="preserve"/>
      </w:r>
    </w:p>
    <w:p>
      <w:pPr>
        <w:spacing w:after="120" w:before="40" w:line="286"/>
      </w:pPr>
      <w:r>
        <w:rPr>
          <w:b/>
          <w:bCs/>
        </w:rPr>
        <w:t xml:space="preserve">Qué cambió con la reforma. </w:t>
      </w:r>
      <w:r>
        <w:t xml:space="preserve">La obligación de identificar aplica desde la primera operación, sin importar el monto. Debes guardar los datos de quién manda, quién recibe y, si aplica, el dueño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777777" w:sz="24"/>
              <w:bottom w:val="none"/>
              <w:right w:val="none"/>
            </w:tcBorders>
            <w:shd w:fill="EEF1F4" w:val="clear"/>
            <w:tcMar>
              <w:top w:type="dxa" w:w="120"/>
              <w:left w:type="dxa" w:w="200"/>
              <w:bottom w:type="dxa" w:w="120"/>
              <w:right w:type="dxa" w:w="160"/>
            </w:tcMar>
          </w:tcPr>
          <w:p>
            <w:pPr>
              <w:spacing w:after="60"/>
            </w:pPr>
            <w:r>
              <w:rPr>
                <w:b/>
                <w:bCs/>
                <w:color w:val="777777"/>
                <w:sz w:val="19"/>
                <w:szCs w:val="19"/>
              </w:rPr>
              <w:t xml:space="preserve">SEMÁFORO DE RIESGO</w:t>
            </w:r>
          </w:p>
          <w:p>
            <w:pPr>
              <w:spacing w:after="40" w:before="0" w:line="286"/>
            </w:pPr>
            <w:r>
              <w:rPr>
                <w:b/>
                <w:bCs/>
                <w:color w:val="C1272D"/>
              </w:rPr>
              <w:t xml:space="preserve">Más riesgo: </w:t>
            </w:r>
            <w:r>
              <w:t xml:space="preserve">Operaciones grandes en plataformas sin reglas.</w:t>
            </w:r>
          </w:p>
          <w:p>
            <w:pPr>
              <w:spacing w:after="0" w:before="0" w:line="286"/>
            </w:pPr>
            <w:r>
              <w:rPr>
                <w:b/>
                <w:bCs/>
                <w:color w:val="2E7D32"/>
              </w:rPr>
              <w:t xml:space="preserve">Menos riesgo: </w:t>
            </w:r>
            <w:r>
              <w:t xml:space="preserve">Plataformas reguladas con identificación completa.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5B7C99" w:sz="24"/>
              <w:bottom w:val="none"/>
              <w:right w:val="none"/>
            </w:tcBorders>
            <w:shd w:fill="EFF3F7" w:val="clear"/>
            <w:tcMar>
              <w:top w:type="dxa" w:w="120"/>
              <w:left w:type="dxa" w:w="200"/>
              <w:bottom w:type="dxa" w:w="120"/>
              <w:right w:type="dxa" w:w="160"/>
            </w:tcMar>
          </w:tcPr>
          <w:p>
            <w:pPr>
              <w:spacing w:after="60"/>
            </w:pPr>
            <w:r>
              <w:rPr>
                <w:b/>
                <w:bCs/>
                <w:color w:val="5B7C99"/>
                <w:sz w:val="19"/>
                <w:szCs w:val="19"/>
              </w:rPr>
              <w:t xml:space="preserve">UN CASO REAL</w:t>
            </w:r>
          </w:p>
          <w:p>
            <w:pPr>
              <w:spacing w:after="0" w:before="0" w:line="286"/>
            </w:pPr>
            <w:r>
              <w:t xml:space="preserve">Un cliente parte sus operaciones en varias chiquitas para no llegar al monto del Aviso y usa plataformas que no piden identificación.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1272D" w:sz="24"/>
              <w:bottom w:val="none"/>
              <w:right w:val="none"/>
            </w:tcBorders>
            <w:shd w:fill="FBEAE8" w:val="clear"/>
            <w:tcMar>
              <w:top w:type="dxa" w:w="120"/>
              <w:left w:type="dxa" w:w="200"/>
              <w:bottom w:type="dxa" w:w="120"/>
              <w:right w:type="dxa" w:w="160"/>
            </w:tcMar>
          </w:tcPr>
          <w:p>
            <w:pPr>
              <w:spacing w:after="60"/>
            </w:pPr>
            <w:r>
              <w:rPr>
                <w:b/>
                <w:bCs/>
                <w:color w:val="C1272D"/>
                <w:sz w:val="19"/>
                <w:szCs w:val="19"/>
              </w:rPr>
              <w:t xml:space="preserve">FOCOS ROJOS (si ves esto, prende la antena)</w:t>
            </w:r>
          </w:p>
          <w:p>
            <w:pPr>
              <w:pStyle w:val="ListParagraph"/>
              <w:numPr>
                <w:ilvl w:val="0"/>
                <w:numId w:val="2"/>
              </w:numPr>
              <w:spacing w:after="60" w:line="280"/>
            </w:pPr>
            <w:r>
              <w:t xml:space="preserve">Operaciones partidas para no llegar al monto del Aviso.</w:t>
            </w:r>
          </w:p>
          <w:p>
            <w:pPr>
              <w:pStyle w:val="ListParagraph"/>
              <w:numPr>
                <w:ilvl w:val="0"/>
                <w:numId w:val="2"/>
              </w:numPr>
              <w:spacing w:after="60" w:line="280"/>
            </w:pPr>
            <w:r>
              <w:t xml:space="preserve">Uso de plataformas sin reglas (sin identificación de usuarios).</w:t>
            </w:r>
          </w:p>
          <w:p>
            <w:pPr>
              <w:pStyle w:val="ListParagraph"/>
              <w:numPr>
                <w:ilvl w:val="0"/>
                <w:numId w:val="2"/>
              </w:numPr>
              <w:spacing w:after="60" w:line="280"/>
            </w:pPr>
            <w:r>
              <w:t xml:space="preserve">El cliente no explica de dónde salió el cripto.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8860B" w:sz="24"/>
              <w:bottom w:val="none"/>
              <w:right w:val="none"/>
            </w:tcBorders>
            <w:shd w:fill="FBF3DD" w:val="clear"/>
            <w:tcMar>
              <w:top w:type="dxa" w:w="120"/>
              <w:left w:type="dxa" w:w="200"/>
              <w:bottom w:type="dxa" w:w="120"/>
              <w:right w:type="dxa" w:w="160"/>
            </w:tcMar>
          </w:tcPr>
          <w:p>
            <w:pPr>
              <w:spacing w:after="60"/>
            </w:pPr>
            <w:r>
              <w:rPr>
                <w:b/>
                <w:bCs/>
                <w:color w:val="B8860B"/>
                <w:sz w:val="19"/>
                <w:szCs w:val="19"/>
              </w:rPr>
              <w:t xml:space="preserve">REGLA DE ORO</w:t>
            </w:r>
          </w:p>
          <w:p>
            <w:pPr>
              <w:spacing w:after="0" w:before="0" w:line="286"/>
            </w:pPr>
            <w:r>
              <w:t xml:space="preserve">En cripto, identificar no espera al monto: es desde el primer movimiento.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6FB2" w:sz="24"/>
              <w:bottom w:val="none"/>
              <w:right w:val="none"/>
            </w:tcBorders>
            <w:shd w:fill="E9F1FA" w:val="clear"/>
            <w:tcMar>
              <w:top w:type="dxa" w:w="120"/>
              <w:left w:type="dxa" w:w="200"/>
              <w:bottom w:type="dxa" w:w="120"/>
              <w:right w:type="dxa" w:w="160"/>
            </w:tcMar>
          </w:tcPr>
          <w:p>
            <w:pPr>
              <w:spacing w:after="60"/>
            </w:pPr>
            <w:r>
              <w:rPr>
                <w:b/>
                <w:bCs/>
                <w:color w:val="1F6FB2"/>
                <w:sz w:val="19"/>
                <w:szCs w:val="19"/>
              </w:rPr>
              <w:t xml:space="preserve">EL LUNES POR LA MAÑANA</w:t>
            </w:r>
          </w:p>
          <w:p>
            <w:pPr>
              <w:pStyle w:val="ListParagraph"/>
              <w:numPr>
                <w:ilvl w:val="0"/>
                <w:numId w:val="2"/>
              </w:numPr>
              <w:spacing w:after="60" w:line="280"/>
            </w:pPr>
            <w:r>
              <w:t xml:space="preserve">Guarda el registro de cada operación con datos del que envía y del que recibe.</w:t>
            </w:r>
          </w:p>
        </w:tc>
      </w:tr>
    </w:tbl>
    <w:p>
      <w:r>
        <w:br w:type="page"/>
      </w:r>
    </w:p>
    <w:p>
      <w:pPr>
        <w:pStyle w:val="Heading1"/>
      </w:pPr>
      <w:r>
        <w:t xml:space="preserve">Parte 3. De la alerta a la defensa: qué hacer y qué te puede pasar</w:t>
      </w:r>
    </w:p>
    <w:p>
      <w:pPr>
        <w:spacing w:after="120" w:before="0" w:line="286"/>
      </w:pPr>
      <w:r>
        <w:rPr>
          <w:i/>
          <w:iCs/>
          <w:color w:val="555555"/>
        </w:rPr>
        <w:t xml:space="preserve">Aquí está lo que pasa cuando la autoridad toca tu puerta, y cómo te proteges desde antes.</w:t>
      </w:r>
    </w:p>
    <w:p>
      <w:pPr>
        <w:pStyle w:val="Heading2"/>
      </w:pPr>
      <w:r>
        <w:t xml:space="preserve">El expediente que te salva</w:t>
      </w:r>
    </w:p>
    <w:p>
      <w:pPr>
        <w:spacing w:after="120" w:before="0" w:line="286"/>
      </w:pPr>
      <w:r>
        <w:t xml:space="preserve">Hoy el SAT ya tiene tus facturas electrónicas (los CFDI) y muchas bases de datos. Si lo que tú guardas no cuadra con lo que ellos ya saben, pierdes. Hay una regla nueva (Artículo 10 Bis del Reglamento) que dice que tus CFDI valen como prueba en tu contra.</w:t>
      </w:r>
    </w:p>
    <w:p>
      <w:pPr>
        <w:spacing w:after="120" w:before="0" w:line="286"/>
      </w:pPr>
      <w:r>
        <w:t xml:space="preserve">Por eso, cada operación debe tener una línea completa que se pueda seguir de principio a fin:</w:t>
      </w:r>
    </w:p>
    <w:p>
      <w:pPr>
        <w:spacing w:after="120" w:before="0" w:line="286"/>
      </w:pPr>
      <w:r>
        <w:rPr>
          <w:b/>
          <w:bCs/>
          <w:color w:val="9E1B1B"/>
        </w:rPr>
        <w:t xml:space="preserve">Contrato  →  Factura (CFDI)  →  Comprobante de pago  →  Conciliación con el banco  →  Aviso  →  Acuse.</w:t>
      </w:r>
    </w:p>
    <w:p>
      <w:pPr>
        <w:spacing w:after="120" w:before="0" w:line="286"/>
      </w:pPr>
      <w:r>
        <w:t xml:space="preserve">Y todo eso se guarda 10 años (antes eran 5), contando desde julio de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1272D" w:sz="24"/>
              <w:bottom w:val="none"/>
              <w:right w:val="none"/>
            </w:tcBorders>
            <w:shd w:fill="FBEAE8" w:val="clear"/>
            <w:tcMar>
              <w:top w:type="dxa" w:w="120"/>
              <w:left w:type="dxa" w:w="200"/>
              <w:bottom w:type="dxa" w:w="120"/>
              <w:right w:type="dxa" w:w="160"/>
            </w:tcMar>
          </w:tcPr>
          <w:p>
            <w:pPr>
              <w:spacing w:after="60"/>
            </w:pPr>
            <w:r>
              <w:rPr>
                <w:b/>
                <w:bCs/>
                <w:color w:val="C1272D"/>
                <w:sz w:val="19"/>
                <w:szCs w:val="19"/>
              </w:rPr>
              <w:t xml:space="preserve">ACCIÓN URGENTE</w:t>
            </w:r>
          </w:p>
          <w:p>
            <w:pPr>
              <w:spacing w:after="0" w:before="0" w:line="286"/>
            </w:pPr>
            <w:r>
              <w:t xml:space="preserve">Si guardabas tus papeles solo 5 años, ya te quedaste corto. Revisa hoy tus expedientes desde julio de 2025 y asegúrate de tenerlos completos.</w:t>
            </w:r>
          </w:p>
        </w:tc>
      </w:tr>
    </w:tbl>
    <w:p>
      <w:pPr>
        <w:pStyle w:val="Heading2"/>
      </w:pPr>
      <w:r>
        <w:t xml:space="preserve">Cuando te llega un requerimiento del SAT</w:t>
      </w:r>
    </w:p>
    <w:p>
      <w:pPr>
        <w:spacing w:after="120" w:before="0" w:line="286"/>
      </w:pPr>
      <w:r>
        <w:t xml:space="preserve">Si el SAT te pide información, tienes 10 días hábiles para contestar (puedes pedir 5 más, pero solo si los pides a tiempo). A partir de ahí hay dos caminos muy distintos: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Qué hiciste</w:t>
            </w:r>
          </w:p>
        </w:tc>
        <w:tc>
          <w:tcPr>
            <w:tcW w:type="dxa" w:w="606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Qué pasa</w:t>
            </w:r>
          </w:p>
        </w:tc>
      </w:tr>
      <w:tr>
        <w:tc>
          <w:tcPr>
            <w:tcW w:type="dxa" w:w="33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No contestaste (Artículo 8)</w:t>
            </w:r>
          </w:p>
        </w:tc>
        <w:tc>
          <w:tcPr>
            <w:tcW w:type="dxa" w:w="60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Te multan directo, sin darte oportunidad de alegar. Cero ventana.</w:t>
            </w:r>
          </w:p>
        </w:tc>
      </w:tr>
      <w:tr>
        <w:tc>
          <w:tcPr>
            <w:tcW w:type="dxa" w:w="33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Contestaste, pero mal o incompleto (Artículo 9)</w:t>
            </w:r>
          </w:p>
        </w:tc>
        <w:tc>
          <w:tcPr>
            <w:tcW w:type="dxa" w:w="60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Te mandan un oficio diciendo qué falta y te dan 5 días hábiles para corregir. Si los dejas pasar, se da por bueno lo que dijeron y te multan.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8860B" w:sz="24"/>
              <w:bottom w:val="none"/>
              <w:right w:val="none"/>
            </w:tcBorders>
            <w:shd w:fill="FBF3DD" w:val="clear"/>
            <w:tcMar>
              <w:top w:type="dxa" w:w="120"/>
              <w:left w:type="dxa" w:w="200"/>
              <w:bottom w:type="dxa" w:w="120"/>
              <w:right w:type="dxa" w:w="160"/>
            </w:tcMar>
          </w:tcPr>
          <w:p>
            <w:pPr>
              <w:spacing w:after="60"/>
            </w:pPr>
            <w:r>
              <w:rPr>
                <w:b/>
                <w:bCs/>
                <w:color w:val="B8860B"/>
                <w:sz w:val="19"/>
                <w:szCs w:val="19"/>
              </w:rPr>
              <w:t xml:space="preserve">LO RARO PERO CIERTO</w:t>
            </w:r>
          </w:p>
          <w:p>
            <w:pPr>
              <w:spacing w:after="0" w:before="0" w:line="286"/>
            </w:pPr>
            <w:r>
              <w:t xml:space="preserve">Al que contesta mal le dan una segunda oportunidad; al que no contesta, ninguna. Por eso, nunca ignores un requerimiento: contestar aunque sea incompleto es mejor que callar.</w:t>
            </w:r>
          </w:p>
        </w:tc>
      </w:tr>
    </w:tbl>
    <w:p>
      <w:pPr>
        <w:pStyle w:val="Heading2"/>
      </w:pPr>
      <w:r>
        <w:t xml:space="preserve">Si la regaste, levanta la mano a tiempo (autocorrección)</w:t>
      </w:r>
    </w:p>
    <w:p>
      <w:pPr>
        <w:spacing w:after="120" w:before="0" w:line="286"/>
      </w:pPr>
      <w:r>
        <w:t xml:space="preserve">Si tú mismo descubres que cometiste una falta, puedes corregirla antes de que te visiten y te va mejor:</w:t>
      </w:r>
    </w:p>
    <w:p>
      <w:pPr>
        <w:pStyle w:val="ListParagraph"/>
        <w:numPr>
          <w:ilvl w:val="0"/>
          <w:numId w:val="2"/>
        </w:numPr>
        <w:spacing w:after="60" w:line="280"/>
      </w:pPr>
      <w:r>
        <w:rPr>
          <w:b/>
          <w:bCs/>
        </w:rPr>
        <w:t xml:space="preserve">La primera vez: </w:t>
      </w:r>
      <w:r>
        <w:t xml:space="preserve">sin multa.</w:t>
      </w:r>
    </w:p>
    <w:p>
      <w:pPr>
        <w:pStyle w:val="ListParagraph"/>
        <w:numPr>
          <w:ilvl w:val="0"/>
          <w:numId w:val="2"/>
        </w:numPr>
        <w:spacing w:after="60" w:line="280"/>
      </w:pPr>
      <w:r>
        <w:rPr>
          <w:b/>
          <w:bCs/>
        </w:rPr>
        <w:t xml:space="preserve">La segunda vez: </w:t>
      </w:r>
      <w:r>
        <w:t xml:space="preserve">con la mitad de la multa.</w:t>
      </w:r>
    </w:p>
    <w:p>
      <w:pPr>
        <w:spacing w:after="120" w:before="0" w:line="286"/>
      </w:pPr>
      <w:r>
        <w:t xml:space="preserve">Pero es una espada de dos filos. Para que funcione tienes que:</w:t>
      </w:r>
    </w:p>
    <w:p>
      <w:pPr>
        <w:pStyle w:val="ListParagraph"/>
        <w:numPr>
          <w:ilvl w:val="0"/>
          <w:numId w:val="2"/>
        </w:numPr>
        <w:spacing w:after="60" w:line="280"/>
      </w:pPr>
      <w:r>
        <w:t xml:space="preserve">Confesar TODAS las fallas, no unas cuantas. Si dejas una fuera, pierdes el beneficio.</w:t>
      </w:r>
    </w:p>
    <w:p>
      <w:pPr>
        <w:pStyle w:val="ListParagraph"/>
        <w:numPr>
          <w:ilvl w:val="0"/>
          <w:numId w:val="2"/>
        </w:numPr>
        <w:spacing w:after="60" w:line="280"/>
      </w:pPr>
      <w:r>
        <w:t xml:space="preserve">Hacerlo ANTES de que te notifiquen una visita o un requerimiento. Después ya no sirve.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1272D" w:sz="24"/>
              <w:bottom w:val="none"/>
              <w:right w:val="none"/>
            </w:tcBorders>
            <w:shd w:fill="FBEAE8" w:val="clear"/>
            <w:tcMar>
              <w:top w:type="dxa" w:w="120"/>
              <w:left w:type="dxa" w:w="200"/>
              <w:bottom w:type="dxa" w:w="120"/>
              <w:right w:type="dxa" w:w="160"/>
            </w:tcMar>
          </w:tcPr>
          <w:p>
            <w:pPr>
              <w:spacing w:after="60"/>
            </w:pPr>
            <w:r>
              <w:rPr>
                <w:b/>
                <w:bCs/>
                <w:color w:val="C1272D"/>
                <w:sz w:val="19"/>
                <w:szCs w:val="19"/>
              </w:rPr>
              <w:t xml:space="preserve">CUIDADO</w:t>
            </w:r>
          </w:p>
          <w:p>
            <w:pPr>
              <w:spacing w:after="0" w:before="0" w:line="286"/>
            </w:pPr>
            <w:r>
              <w:t xml:space="preserve">Mal usada, la autocorrección solo sirve para confesar sin obtener nada a cambio. Revisa bien tu situación (de preferencia con un experto) antes de presentar el escrito.</w:t>
            </w:r>
          </w:p>
        </w:tc>
      </w:tr>
    </w:tbl>
    <w:p>
      <w:pPr>
        <w:pStyle w:val="Heading2"/>
      </w:pPr>
      <w:r>
        <w:t xml:space="preserve">Las multas, en pesos</w:t>
      </w:r>
    </w:p>
    <w:p>
      <w:pPr>
        <w:spacing w:after="120" w:before="0" w:line="286"/>
      </w:pPr>
      <w:r>
        <w:t xml:space="preserve">Las multas se miden en UMA. Estas son las principales, ya convertidas a pesos: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Si...</w:t>
            </w:r>
          </w:p>
        </w:tc>
        <w:tc>
          <w:tcPr>
            <w:tcW w:type="dxa" w:w="416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La multa va de...</w:t>
            </w:r>
          </w:p>
        </w:tc>
      </w:tr>
      <w:tr>
        <w:tc>
          <w:tcPr>
            <w:tcW w:type="dxa" w:w="52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No contestas un requerimiento o incumples tus obligaciones</w:t>
            </w:r>
          </w:p>
        </w:tc>
        <w:tc>
          <w:tcPr>
            <w:tcW w:type="dxa" w:w="41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$23,462 a $234,620</w:t>
            </w:r>
          </w:p>
        </w:tc>
      </w:tr>
      <w:tr>
        <w:tc>
          <w:tcPr>
            <w:tcW w:type="dxa" w:w="52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Reportas tarde, pero dentro de 30 días</w:t>
            </w:r>
          </w:p>
        </w:tc>
        <w:tc>
          <w:tcPr>
            <w:tcW w:type="dxa" w:w="41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$23,462 a $234,620</w:t>
            </w:r>
          </w:p>
        </w:tc>
      </w:tr>
      <w:tr>
        <w:tc>
          <w:tcPr>
            <w:tcW w:type="dxa" w:w="52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Reportas con más de 30 días de retraso</w:t>
            </w:r>
          </w:p>
        </w:tc>
        <w:tc>
          <w:tcPr>
            <w:tcW w:type="dxa" w:w="41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$234,620 a $1,173,100</w:t>
            </w:r>
          </w:p>
        </w:tc>
      </w:tr>
      <w:tr>
        <w:tc>
          <w:tcPr>
            <w:tcW w:type="dxa" w:w="52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No reportas (omites el Aviso)</w:t>
            </w:r>
          </w:p>
        </w:tc>
        <w:tc>
          <w:tcPr>
            <w:tcW w:type="dxa" w:w="41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$1,173,100 a $7,625,150 (o 10% a 100% del valor)</w:t>
            </w:r>
          </w:p>
        </w:tc>
      </w:tr>
      <w:tr>
        <w:tc>
          <w:tcPr>
            <w:tcW w:type="dxa" w:w="52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Fallas con el Beneficiario Controlador</w:t>
            </w:r>
          </w:p>
        </w:tc>
        <w:tc>
          <w:tcPr>
            <w:tcW w:type="dxa" w:w="41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$234,620 a $1,173,100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1272D" w:sz="24"/>
              <w:bottom w:val="none"/>
              <w:right w:val="none"/>
            </w:tcBorders>
            <w:shd w:fill="FBEAE8" w:val="clear"/>
            <w:tcMar>
              <w:top w:type="dxa" w:w="120"/>
              <w:left w:type="dxa" w:w="200"/>
              <w:bottom w:type="dxa" w:w="120"/>
              <w:right w:type="dxa" w:w="160"/>
            </w:tcMar>
          </w:tcPr>
          <w:p>
            <w:pPr>
              <w:spacing w:after="60"/>
            </w:pPr>
            <w:r>
              <w:rPr>
                <w:b/>
                <w:bCs/>
                <w:color w:val="C1272D"/>
                <w:sz w:val="19"/>
                <w:szCs w:val="19"/>
              </w:rPr>
              <w:t xml:space="preserve">LA LÍNEA MÁS CARA DEL RÉGIMEN</w:t>
            </w:r>
          </w:p>
          <w:p>
            <w:pPr>
              <w:spacing w:after="0" w:before="0" w:line="286"/>
            </w:pPr>
            <w:r>
              <w:t xml:space="preserve">La frontera de los 30 días. Si reportas tarde pero antes de 30 días, la multa empieza en $23,462. Si te pasas un solo día de esos 30, el piso brinca a $234,620: se multiplica por 10. Reportar tarde es caro; reportar muy tarde es carísimo.</w:t>
            </w:r>
          </w:p>
        </w:tc>
      </w:tr>
    </w:tbl>
    <w:p>
      <w:pPr>
        <w:spacing w:after="120" w:before="0" w:line="286"/>
      </w:pPr>
      <w:r>
        <w:t xml:space="preserve">Además, ahora el SAT puede suspenderte temporalmente las operaciones con un cliente mientras se resuelve el caso. Y hay un Aviso de 24 horas: si algo te huele a lavado —por lo que ves en el cliente o por algo que te enteraste por otras fuentes—, lo reportas dentro de las 24 horas siguientes, aunque la operación no llegue al monto e incluso si no se concretó, siempre que tengas datos para identificar a quien lo intentó. Las RCG ya dicen cuándo va; lo que falta es el formato oficial, y podrás mandarlo seis meses después de que se publique. Mientras, documéntalo desde ya.</w:t>
      </w:r>
    </w:p>
    <w:p>
      <w:pPr>
        <w:spacing w:after="120" w:before="0" w:line="286"/>
      </w:pPr>
      <w:r>
        <w:rPr>
          <w:b/>
          <w:bCs/>
        </w:rPr>
        <w:t xml:space="preserve">Y hay algo más caro que la multa: perder el permiso.</w:t>
      </w:r>
      <w:r>
        <w:t xml:space="preserve"> Si reincides en no atender requerimientos, incumplir tus obligaciones o avisar tarde o mal, o si omites un Aviso u operas en efectivo prohibido, la Ley manda avisar a la autoridad que te autorizó para que te quite el permiso:</w:t>
      </w:r>
    </w:p>
    <w:p>
      <w:pPr>
        <w:pStyle w:val="ListParagraph"/>
        <w:numPr>
          <w:ilvl w:val="0"/>
          <w:numId w:val="2"/>
        </w:numPr>
        <w:spacing w:after="60" w:line="280"/>
      </w:pPr>
      <w:r>
        <w:rPr>
          <w:b/>
          <w:bCs/>
        </w:rPr>
        <w:t xml:space="preserve">Casinos y sorteos, blindaje y traslado de valores:</w:t>
      </w:r>
      <w:r>
        <w:t xml:space="preserve"> revocación del permiso o autorización (art. 56).</w:t>
      </w:r>
    </w:p>
    <w:p>
      <w:pPr>
        <w:pStyle w:val="ListParagraph"/>
        <w:numPr>
          <w:ilvl w:val="0"/>
          <w:numId w:val="2"/>
        </w:numPr>
        <w:spacing w:after="60" w:line="280"/>
      </w:pPr>
      <w:r>
        <w:rPr>
          <w:b/>
          <w:bCs/>
        </w:rPr>
        <w:t xml:space="preserve">Corredores públicos:</w:t>
      </w:r>
      <w:r>
        <w:t xml:space="preserve"> cancelación definitiva de la habilitación por reincidencia (art. 57).</w:t>
      </w:r>
    </w:p>
    <w:p>
      <w:pPr>
        <w:pStyle w:val="ListParagraph"/>
        <w:numPr>
          <w:ilvl w:val="0"/>
          <w:numId w:val="2"/>
        </w:numPr>
        <w:spacing w:after="60" w:line="280"/>
      </w:pPr>
      <w:r>
        <w:rPr>
          <w:b/>
          <w:bCs/>
        </w:rPr>
        <w:t xml:space="preserve">Notarios:</w:t>
      </w:r>
      <w:r>
        <w:t xml:space="preserve"> la Secretaría informa a quien supervisa la fe pública para que inicie el procedimiento sancionador por notorias deficiencias (art. 58).</w:t>
      </w:r>
    </w:p>
    <w:p>
      <w:pPr>
        <w:pStyle w:val="ListParagraph"/>
        <w:numPr>
          <w:ilvl w:val="0"/>
          <w:numId w:val="2"/>
        </w:numPr>
        <w:spacing w:after="60" w:line="280"/>
      </w:pPr>
      <w:r>
        <w:rPr>
          <w:b/>
          <w:bCs/>
        </w:rPr>
        <w:t xml:space="preserve">Agentes y agencias aduanales, y quien despacha mercancía sin agente:</w:t>
      </w:r>
      <w:r>
        <w:t xml:space="preserve"> cancelación de la autorización o patente (art. 59).</w:t>
      </w:r>
    </w:p>
    <w:p>
      <w:pPr>
        <w:pStyle w:val="Heading2"/>
      </w:pPr>
      <w:r>
        <w:t xml:space="preserve">Dos cosas que se te escapan</w:t>
      </w:r>
    </w:p>
    <w:p>
      <w:pPr>
        <w:spacing w:after="120" w:before="0" w:line="286"/>
      </w:pPr>
      <w:r>
        <w:rPr>
          <w:b/>
          <w:bCs/>
        </w:rPr>
        <w:t xml:space="preserve">1) El dueño real (Beneficiario Controlador).</w:t>
      </w:r>
      <w:r>
        <w:t xml:space="preserve"> Es la persona que de verdad manda detrás de una empresa. Antes contaba como dueño quien tuviera más del 50%; ahora basta con más del 25%. Y aplica a toda sociedad, opere o no con Actividades Vulnerables. Las RCG ya te dicen en qué orden buscarlo: primero, quien tenga el 25% o más del capital; si no hay, quien controle por otros medios (quien decide la estrategia); y si tampoco, el directivo de más alto nivel. En un fideicomiso, quien de verdad controla los bienes, subiendo por la cadena hasta llegar a una persona. Y hay que identificarlo antes de la operación o al empezar la relación. Tu pregunta clave siempre es: ¿quién manda de verdad aquí?</w:t>
      </w:r>
    </w:p>
    <w:p>
      <w:pPr>
        <w:spacing w:after="120" w:before="0" w:line="286"/>
      </w:pPr>
      <w:r>
        <w:rPr>
          <w:b/>
          <w:bCs/>
        </w:rPr>
        <w:t xml:space="preserve">2) Los clientes con poder político (PEP).</w:t>
      </w:r>
      <w:r>
        <w:t xml:space="preserve"> Son personas que tienen o tuvieron un cargo público, más su cónyuge o pareja, sus parientes hasta segundo grado y sus socios; y siguen siéndolo un año después de dejar el cargo. Aunque no aparezcan en la lista oficial (que no se actualiza desde 2020), si la persona tiene o tuvo el cargo, trátala como PEP. Si es PEP de otro país, es cliente de riesgo alto sí o sí. Si es PEP mexicano, revisa si su dinero cuadra con su sueldo y su puesto. Y si además de PEP es de riesgo alto, un directivo tiene que autorizar la operación.</w:t>
      </w:r>
    </w:p>
    <w:p>
      <w:r>
        <w:br w:type="page"/>
      </w:r>
    </w:p>
    <w:p>
      <w:pPr>
        <w:pStyle w:val="Heading1"/>
      </w:pPr>
      <w:r>
        <w:t xml:space="preserve">Parte 4. Tu plan y tus herramientas</w:t>
      </w:r>
    </w:p>
    <w:p>
      <w:pPr>
        <w:spacing w:after="120" w:before="0" w:line="286"/>
      </w:pPr>
      <w:r>
        <w:rPr>
          <w:i/>
          <w:iCs/>
          <w:color w:val="555555"/>
        </w:rPr>
        <w:t xml:space="preserve">Lo que puedes empezar a hacer desde ya, sin esperar a nadie.</w:t>
      </w:r>
    </w:p>
    <w:p>
      <w:pPr>
        <w:pStyle w:val="Heading2"/>
      </w:pPr>
      <w:r>
        <w:t xml:space="preserve">7 cosas para hacer el lunes</w:t>
      </w:r>
    </w:p>
    <w:p>
      <w:pPr>
        <w:pStyle w:val="ListParagraph"/>
        <w:numPr>
          <w:ilvl w:val="0"/>
          <w:numId w:val="3"/>
        </w:numPr>
        <w:spacing w:after="80" w:line="280"/>
      </w:pPr>
      <w:r>
        <w:t xml:space="preserve">Revisa tus expedientes desde julio de 2025 y guárdalos 10 años.</w:t>
      </w:r>
    </w:p>
    <w:p>
      <w:pPr>
        <w:pStyle w:val="ListParagraph"/>
        <w:numPr>
          <w:ilvl w:val="0"/>
          <w:numId w:val="3"/>
        </w:numPr>
        <w:spacing w:after="80" w:line="280"/>
      </w:pPr>
      <w:r>
        <w:t xml:space="preserve">Cruza tus facturas (CFDI) contra lo que reportaste: que los montos cuadren.</w:t>
      </w:r>
    </w:p>
    <w:p>
      <w:pPr>
        <w:pStyle w:val="ListParagraph"/>
        <w:numPr>
          <w:ilvl w:val="0"/>
          <w:numId w:val="3"/>
        </w:numPr>
        <w:spacing w:after="80" w:line="280"/>
      </w:pPr>
      <w:r>
        <w:t xml:space="preserve">Mete en tu alta de cliente preguntas para detectar al dueño real y a los PEP, y para clasificarlo en riesgo bajo, medio o alto.</w:t>
      </w:r>
    </w:p>
    <w:p>
      <w:pPr>
        <w:pStyle w:val="ListParagraph"/>
        <w:numPr>
          <w:ilvl w:val="0"/>
          <w:numId w:val="3"/>
        </w:numPr>
        <w:spacing w:after="80" w:line="280"/>
      </w:pPr>
      <w:r>
        <w:t xml:space="preserve">Lleva un control de cuánto te ha pagado cada cliente en periodos de hasta 6 meses (por si se acumula y pasa el monto).</w:t>
      </w:r>
    </w:p>
    <w:p>
      <w:pPr>
        <w:pStyle w:val="ListParagraph"/>
        <w:numPr>
          <w:ilvl w:val="0"/>
          <w:numId w:val="3"/>
        </w:numPr>
        <w:spacing w:after="80" w:line="280"/>
      </w:pPr>
      <w:r>
        <w:t xml:space="preserve">Arma tu evaluación de riesgo con los datos de 2026: la necesitas lista para el 1 de marzo de 2027.</w:t>
      </w:r>
    </w:p>
    <w:p>
      <w:pPr>
        <w:pStyle w:val="ListParagraph"/>
        <w:numPr>
          <w:ilvl w:val="0"/>
          <w:numId w:val="3"/>
        </w:numPr>
        <w:spacing w:after="80" w:line="280"/>
      </w:pPr>
      <w:r>
        <w:t xml:space="preserve">Si tienes fallas viejas, evalúa corregirlas antes de que te visiten.</w:t>
      </w:r>
    </w:p>
    <w:p>
      <w:pPr>
        <w:pStyle w:val="ListParagraph"/>
        <w:numPr>
          <w:ilvl w:val="0"/>
          <w:numId w:val="3"/>
        </w:numPr>
        <w:spacing w:after="80" w:line="280"/>
      </w:pPr>
      <w:r>
        <w:t xml:space="preserve">Nombra a un responsable de contestar requerimientos en menos de 10 días.</w:t>
      </w:r>
    </w:p>
    <w:p>
      <w:pPr>
        <w:pStyle w:val="Heading2"/>
      </w:pPr>
      <w:r>
        <w:t xml:space="preserve">Checklist de una página</w:t>
      </w:r>
    </w:p>
    <w:p>
      <w:pPr>
        <w:spacing w:after="120" w:before="0" w:line="286"/>
      </w:pPr>
      <w:r>
        <w:t xml:space="preserve">Si puedes marcar todas, vas bien. Si te falta alguna, ya sabes por dónde empezar.</w:t>
      </w:r>
    </w:p>
    <w:p>
      <w:pPr>
        <w:spacing w:after="70" w:line="268"/>
        <w:ind w:left="360"/>
      </w:pPr>
      <w:r>
        <w:t xml:space="preserve">[  ]  Estoy dado de alta en el padrón del SPPLD.</w:t>
      </w:r>
    </w:p>
    <w:p>
      <w:pPr>
        <w:spacing w:after="70" w:line="268"/>
        <w:ind w:left="360"/>
      </w:pPr>
      <w:r>
        <w:t xml:space="preserve">[  ]  Mi domicilio en el SPPLD es igual al del RFC.</w:t>
      </w:r>
    </w:p>
    <w:p>
      <w:pPr>
        <w:spacing w:after="70" w:line="268"/>
        <w:ind w:left="360"/>
      </w:pPr>
      <w:r>
        <w:t xml:space="preserve">[  ]  Identifico a mis clientes y guardo copia de su identificación.</w:t>
      </w:r>
    </w:p>
    <w:p>
      <w:pPr>
        <w:spacing w:after="70" w:line="268"/>
        <w:ind w:left="360"/>
      </w:pPr>
      <w:r>
        <w:t xml:space="preserve">[  ]  Sé quién es el dueño real (Beneficiario Controlador) de mis clientes empresa.</w:t>
      </w:r>
    </w:p>
    <w:p>
      <w:pPr>
        <w:spacing w:after="70" w:line="268"/>
        <w:ind w:left="360"/>
      </w:pPr>
      <w:r>
        <w:t xml:space="preserve">[  ]  Reporto mis Avisos a tiempo (a más tardar el día 17 del mes siguiente).</w:t>
      </w:r>
    </w:p>
    <w:p>
      <w:pPr>
        <w:spacing w:after="70" w:line="268"/>
        <w:ind w:left="360"/>
      </w:pPr>
      <w:r>
        <w:t xml:space="preserve">[  ]  Guardo todos mis papeles 10 años.</w:t>
      </w:r>
    </w:p>
    <w:p>
      <w:pPr>
        <w:spacing w:after="70" w:line="268"/>
        <w:ind w:left="360"/>
      </w:pPr>
      <w:r>
        <w:t xml:space="preserve">[ ] Tengo mi evaluación de riesgo por escrito, con los datos de 2026.</w:t>
      </w:r>
    </w:p>
    <w:p>
      <w:pPr>
        <w:spacing w:after="70" w:line="268"/>
        <w:ind w:left="360"/>
      </w:pPr>
      <w:r>
        <w:t xml:space="preserve">[ ] Clasifico a mis clientes en riesgo bajo, medio o alto.</w:t>
      </w:r>
    </w:p>
    <w:p>
      <w:pPr>
        <w:spacing w:after="70" w:line="268"/>
        <w:ind w:left="360"/>
      </w:pPr>
      <w:r>
        <w:t xml:space="preserve">[ ] Tengo mi Manual de Políticas Internas.</w:t>
      </w:r>
    </w:p>
    <w:p>
      <w:pPr>
        <w:spacing w:after="70" w:line="268"/>
        <w:ind w:left="360"/>
      </w:pPr>
      <w:r>
        <w:t xml:space="preserve">[  ]  Tengo una libreta o archivo de operaciones sospechosas que no se concretaron.</w:t>
      </w:r>
    </w:p>
    <w:p>
      <w:pPr>
        <w:spacing w:after="70" w:line="268"/>
        <w:ind w:left="360"/>
      </w:pPr>
      <w:r>
        <w:t xml:space="preserve">[  ]  Sé qué hacer y a quién avisar si llega un requerimiento del SAT.</w:t>
      </w:r>
    </w:p>
    <w:p>
      <w:pPr>
        <w:pStyle w:val="Heading2"/>
      </w:pPr>
      <w:r>
        <w:t xml:space="preserve">Hoja de control por operación (fotocópiala y úsala)</w:t>
      </w:r>
    </w:p>
    <w:p>
      <w:pPr>
        <w:spacing w:after="120" w:before="0" w:line="286"/>
      </w:pPr>
      <w:r>
        <w:t xml:space="preserve">Llena una de estas por cada operación grande. Si la guardas, ya tienes media defensa hecha.</w:t>
      </w:r>
    </w:p>
    <w:p>
      <w:pPr>
        <w:spacing w:after="120" w:before="0" w:line="286"/>
      </w:pPr>
      <w:r>
        <w:t xml:space="preserve">Fecha: ______________     Cliente: ________________________________________</w:t>
      </w:r>
    </w:p>
    <w:p>
      <w:pPr>
        <w:spacing w:after="120" w:before="0" w:line="286"/>
      </w:pPr>
      <w:r>
        <w:t xml:space="preserve">¿Persona o empresa? __________   Si es empresa, ¿quién es el dueño real (BC)? ________________</w:t>
      </w:r>
    </w:p>
    <w:p>
      <w:pPr>
        <w:spacing w:after="120" w:before="0" w:line="286"/>
      </w:pPr>
      <w:r>
        <w:t xml:space="preserve">¿El cliente es PEP o familiar / socio de uno?    Sí [  ]     No [  ]</w:t>
      </w:r>
    </w:p>
    <w:p>
      <w:pPr>
        <w:spacing w:after="120" w:before="0" w:line="286"/>
      </w:pPr>
      <w:r>
        <w:t xml:space="preserve">Monto de la operación: ____________    ¿Pasa el monto para identificar? Sí [  ] No [  ]    ¿Para Aviso? Sí [  ] No [  ]</w:t>
      </w:r>
    </w:p>
    <w:p>
      <w:pPr>
        <w:spacing w:after="120" w:before="0" w:line="286"/>
      </w:pPr>
      <w:r>
        <w:t xml:space="preserve">Forma de pago:    Efectivo [  ]     Transferencia [  ]     Mixto [  ]</w:t>
      </w:r>
    </w:p>
    <w:p>
      <w:pPr>
        <w:spacing w:after="120" w:before="0" w:line="286"/>
      </w:pPr>
      <w:r>
        <w:t xml:space="preserve">¿De dónde salió el dinero? ____________________________________________________</w:t>
      </w:r>
    </w:p>
    <w:p>
      <w:pPr>
        <w:spacing w:after="120" w:before="0" w:line="286"/>
      </w:pPr>
      <w:r>
        <w:t xml:space="preserve">Focos rojos detectados: _______________________________________________________</w:t>
      </w:r>
    </w:p>
    <w:p>
      <w:pPr>
        <w:spacing w:after="120" w:before="0" w:line="286"/>
      </w:pPr>
      <w:r>
        <w:t xml:space="preserve">¿Se presentó Aviso?   Sí [  ]   No [  ]     Fecha y acuse: ________________________</w:t>
      </w:r>
    </w:p>
    <w:p>
      <w:pPr>
        <w:spacing w:after="120" w:before="80" w:line="286"/>
      </w:pPr>
      <w:r>
        <w:rPr>
          <w:b/>
          <w:bCs/>
        </w:rPr>
        <w:t xml:space="preserve">Documentos que debo tener en el expediente:</w:t>
      </w:r>
    </w:p>
    <w:p>
      <w:pPr>
        <w:spacing w:after="70" w:line="268"/>
        <w:ind w:left="360"/>
      </w:pPr>
      <w:r>
        <w:t xml:space="preserve">[  ]  Contrato firmado</w:t>
      </w:r>
    </w:p>
    <w:p>
      <w:pPr>
        <w:spacing w:after="70" w:line="268"/>
        <w:ind w:left="360"/>
      </w:pPr>
      <w:r>
        <w:t xml:space="preserve">[  ]  Factura (CFDI)</w:t>
      </w:r>
    </w:p>
    <w:p>
      <w:pPr>
        <w:spacing w:after="70" w:line="268"/>
        <w:ind w:left="360"/>
      </w:pPr>
      <w:r>
        <w:t xml:space="preserve">[  ]  Comprobante de pago o estado de cuenta</w:t>
      </w:r>
    </w:p>
    <w:p>
      <w:pPr>
        <w:spacing w:after="70" w:line="268"/>
        <w:ind w:left="360"/>
      </w:pPr>
      <w:r>
        <w:t xml:space="preserve">[  ]  Identificación del cliente</w:t>
      </w:r>
    </w:p>
    <w:p>
      <w:pPr>
        <w:spacing w:after="70" w:line="268"/>
        <w:ind w:left="360"/>
      </w:pPr>
      <w:r>
        <w:t xml:space="preserve">[  ]  Acuse del Aviso (si aplica)</w:t>
      </w:r>
    </w:p>
    <w:p>
      <w:pPr>
        <w:pStyle w:val="Heading2"/>
      </w:pPr>
      <w:r>
        <w:t xml:space="preserve">Lo que ya trajeron las RCG (y cuándo te toca)</w:t>
      </w:r>
    </w:p>
    <w:p>
      <w:pPr>
        <w:spacing w:after="120" w:before="0" w:line="286"/>
      </w:pPr>
      <w:r>
        <w:t xml:space="preserve">Las reglas con el detalle fino ya salieron (Acuerdo 115/2026, publicado el 7 de agosto de 2026). Esto es lo que te piden, en cristiano, y desde cuándo: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360"/>
        <w:gridCol w:w="3100"/>
      </w:tblGrid>
      <w:tr>
        <w:trPr>
          <w:tblHeader/>
        </w:trPr>
        <w:tc>
          <w:tcPr>
            <w:tcW w:type="dxa" w:w="190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Qué te piden</w:t>
            </w:r>
          </w:p>
        </w:tc>
        <w:tc>
          <w:tcPr>
            <w:tcW w:type="dxa" w:w="436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En cristiano</w:t>
            </w:r>
          </w:p>
        </w:tc>
        <w:tc>
          <w:tcPr>
            <w:tcW w:type="dxa" w:w="310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Desde cuándo</w:t>
            </w:r>
          </w:p>
        </w:tc>
      </w:tr>
      <w:tr>
        <w:tc>
          <w:tcPr>
            <w:tcW w:type="dxa" w:w="19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Evaluar el riesgo de tu negocio</w:t>
            </w:r>
          </w:p>
        </w:tc>
        <w:tc>
          <w:tcPr>
            <w:tcW w:type="dxa" w:w="43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Una metodología por escrito con los datos de al menos 12 meses: tus operaciones, tus clientes, los lugares y los canales, y cuánto te ayudan tus controles.</w:t>
            </w:r>
          </w:p>
        </w:tc>
        <w:tc>
          <w:tcPr>
            <w:tcW w:type="dxa" w:w="31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Lista para enseñarla el 1 mar 2027, con datos de 2026</w:t>
            </w:r>
          </w:p>
        </w:tc>
      </w:tr>
      <w:tr>
        <w:tc>
          <w:tcPr>
            <w:tcW w:type="dxa" w:w="19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Clasificar a cada cliente</w:t>
            </w:r>
          </w:p>
        </w:tc>
        <w:tc>
          <w:tcPr>
            <w:tcW w:type="dxa" w:w="43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Bajo, medio o alto. Revisas cada 6 meses; más seguido si es alto.</w:t>
            </w:r>
          </w:p>
        </w:tc>
        <w:tc>
          <w:tcPr>
            <w:tcW w:type="dxa" w:w="31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Operaciones desde el 1 mar 2027</w:t>
            </w:r>
          </w:p>
        </w:tc>
      </w:tr>
      <w:tr>
        <w:tc>
          <w:tcPr>
            <w:tcW w:type="dxa" w:w="19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Conocer a tu cliente</w:t>
            </w:r>
          </w:p>
        </w:tc>
        <w:tc>
          <w:tcPr>
            <w:tcW w:type="dxa" w:w="43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Su perfil: cuánto, cada cuándo y de dónde viene el dinero. Alertas si se sale del perfil.</w:t>
            </w:r>
          </w:p>
        </w:tc>
        <w:tc>
          <w:tcPr>
            <w:tcW w:type="dxa" w:w="31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Operaciones desde el 1 mar 2027</w:t>
            </w:r>
          </w:p>
        </w:tc>
      </w:tr>
      <w:tr>
        <w:tc>
          <w:tcPr>
            <w:tcW w:type="dxa" w:w="19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Lupa total (riesgo alto)</w:t>
            </w:r>
          </w:p>
        </w:tc>
        <w:tc>
          <w:tcPr>
            <w:tcW w:type="dxa" w:w="43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Más información, cuestionario sobre el origen y destino del dinero, datos de cónyuge y dependientes o de los socios. Si además es PEP, autoriza un directivo.</w:t>
            </w:r>
          </w:p>
        </w:tc>
        <w:tc>
          <w:tcPr>
            <w:tcW w:type="dxa" w:w="31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Operaciones desde el 1 mar 2027</w:t>
            </w:r>
          </w:p>
        </w:tc>
      </w:tr>
      <w:tr>
        <w:tc>
          <w:tcPr>
            <w:tcW w:type="dxa" w:w="19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Dueño real</w:t>
            </w:r>
          </w:p>
        </w:tc>
        <w:tc>
          <w:tcPr>
            <w:tcW w:type="dxa" w:w="43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Buscarlo en orden: 25% o más del capital, control por otros medios, alta dirección. Antes de operar.</w:t>
            </w:r>
          </w:p>
        </w:tc>
        <w:tc>
          <w:tcPr>
            <w:tcW w:type="dxa" w:w="31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Expediente: 30 nov 2026. Reglas de búsqueda: 1 mar 2027</w:t>
            </w:r>
          </w:p>
        </w:tc>
      </w:tr>
      <w:tr>
        <w:tc>
          <w:tcPr>
            <w:tcW w:type="dxa" w:w="19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Manual</w:t>
            </w:r>
          </w:p>
        </w:tc>
        <w:tc>
          <w:tcPr>
            <w:tcW w:type="dxa" w:w="43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Con 14 contenidos mínimos, incluida tu evaluación de riesgo.</w:t>
            </w:r>
          </w:p>
        </w:tc>
        <w:tc>
          <w:tcPr>
            <w:tcW w:type="dxa" w:w="31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A los 90 días de tu alta; con la evaluación, 1 mar 2027</w:t>
            </w:r>
          </w:p>
        </w:tc>
      </w:tr>
      <w:tr>
        <w:tc>
          <w:tcPr>
            <w:tcW w:type="dxa" w:w="19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Capacitación</w:t>
            </w:r>
          </w:p>
        </w:tc>
        <w:tc>
          <w:tcPr>
            <w:tcW w:type="dxa" w:w="43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Una vez al año, con examen y constancia. Quien la imparte debe tener 5 años de experiencia.</w:t>
            </w:r>
          </w:p>
        </w:tc>
        <w:tc>
          <w:tcPr>
            <w:tcW w:type="dxa" w:w="31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Primer año: 2027</w:t>
            </w:r>
          </w:p>
        </w:tc>
      </w:tr>
      <w:tr>
        <w:tc>
          <w:tcPr>
            <w:tcW w:type="dxa" w:w="19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Selección de personal</w:t>
            </w:r>
          </w:p>
        </w:tc>
        <w:tc>
          <w:tcPr>
            <w:tcW w:type="dxa" w:w="43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Declaración firmada de cada empleado nuevo.</w:t>
            </w:r>
          </w:p>
        </w:tc>
        <w:tc>
          <w:tcPr>
            <w:tcW w:type="dxa" w:w="31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Contrataciones desde el 1 mar 2027</w:t>
            </w:r>
          </w:p>
        </w:tc>
      </w:tr>
      <w:tr>
        <w:tc>
          <w:tcPr>
            <w:tcW w:type="dxa" w:w="19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Sistema automatizado</w:t>
            </w:r>
          </w:p>
        </w:tc>
        <w:tc>
          <w:tcPr>
            <w:tcW w:type="dxa" w:w="43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Guarda expedientes, suma operaciones, calcula el riesgo del cliente y lanza alertas.</w:t>
            </w:r>
          </w:p>
        </w:tc>
        <w:tc>
          <w:tcPr>
            <w:tcW w:type="dxa" w:w="31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1 jun 2027</w:t>
            </w:r>
          </w:p>
        </w:tc>
      </w:tr>
      <w:tr>
        <w:tc>
          <w:tcPr>
            <w:tcW w:type="dxa" w:w="19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Auditoría</w:t>
            </w:r>
          </w:p>
        </w:tc>
        <w:tc>
          <w:tcPr>
            <w:tcW w:type="dxa" w:w="43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Interna si tu negocio es de riesgo bajo o medio. Externa, con auditor certificado por la UIF, si es alto (o si tú quieres).</w:t>
            </w:r>
          </w:p>
        </w:tc>
        <w:tc>
          <w:tcPr>
            <w:tcW w:type="dxa" w:w="31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Primer año auditado: 2028. Dictamen a más tardar en marzo de 2029</w:t>
            </w:r>
          </w:p>
        </w:tc>
      </w:tr>
      <w:tr>
        <w:tc>
          <w:tcPr>
            <w:tcW w:type="dxa" w:w="19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Aviso de 24 horas</w:t>
            </w:r>
          </w:p>
        </w:tc>
        <w:tc>
          <w:tcPr>
            <w:tcW w:type="dxa" w:w="43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Por sospecha o por hechos que conozcas, aunque no llegue al monto o no se concrete.</w:t>
            </w:r>
          </w:p>
        </w:tc>
        <w:tc>
          <w:tcPr>
            <w:tcW w:type="dxa" w:w="31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Seis meses después de que salga el formato oficial</w:t>
            </w:r>
          </w:p>
        </w:tc>
      </w:tr>
      <w:tr>
        <w:tc>
          <w:tcPr>
            <w:tcW w:type="dxa" w:w="19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Consulta de PEP en línea</w:t>
            </w:r>
          </w:p>
        </w:tc>
        <w:tc>
          <w:tcPr>
            <w:tcW w:type="dxa" w:w="43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La aplicación Consulta PEP 2.0 de la UIF, con tu e.firma.</w:t>
            </w:r>
          </w:p>
        </w:tc>
        <w:tc>
          <w:tcPr>
            <w:tcW w:type="dxa" w:w="31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Nueve meses después del 30 nov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8860B" w:sz="24"/>
              <w:bottom w:val="none"/>
              <w:right w:val="none"/>
            </w:tcBorders>
            <w:shd w:fill="FBF3DD" w:val="clear"/>
            <w:tcMar>
              <w:top w:type="dxa" w:w="120"/>
              <w:left w:type="dxa" w:w="200"/>
              <w:bottom w:type="dxa" w:w="120"/>
              <w:right w:type="dxa" w:w="160"/>
            </w:tcMar>
          </w:tcPr>
          <w:p>
            <w:pPr>
              <w:spacing w:after="60"/>
            </w:pPr>
            <w:r>
              <w:rPr>
                <w:b/>
                <w:bCs/>
                <w:color w:val="B8860B"/>
                <w:sz w:val="19"/>
                <w:szCs w:val="19"/>
              </w:rPr>
              <w:t xml:space="preserve">NO TE CONFÍES</w:t>
            </w:r>
          </w:p>
          <w:p>
            <w:pPr>
              <w:spacing w:after="0" w:before="0" w:line="286"/>
            </w:pPr>
            <w:r>
              <w:t xml:space="preserve">Que las fechas caigan en 2027 no significa que puedas esperar. Tu evaluación de riesgo se arma con los datos de 2026, y los primeros meses de 2027 se te van a ir en ponerla a funcionar. El que llegue a marzo de 2027 sin haber hecho nada, llega tarde.</w:t>
            </w:r>
          </w:p>
        </w:tc>
      </w:tr>
    </w:tbl>
    <w:p>
      <w:r>
        <w:br w:type="page"/>
      </w:r>
    </w:p>
    <w:p>
      <w:pPr>
        <w:pStyle w:val="Heading1"/>
      </w:pPr>
      <w:r>
        <w:t xml:space="preserve">Parte 5. Preguntas frecuentes</w:t>
      </w:r>
    </w:p>
    <w:p>
      <w:pPr>
        <w:spacing w:after="40" w:before="140" w:line="286"/>
      </w:pPr>
      <w:r>
        <w:rPr>
          <w:b/>
          <w:bCs/>
          <w:color w:val="9E1B1B"/>
        </w:rPr>
        <w:t xml:space="preserve">¿El IVA cuenta para el monto?</w:t>
      </w:r>
    </w:p>
    <w:p>
      <w:pPr>
        <w:spacing w:after="120" w:before="0" w:line="286"/>
      </w:pPr>
      <w:r>
        <w:t xml:space="preserve">Depende de para qué (Reglamento, art. 6). Para saber si llegas al umbral de identificación o de Aviso, NO cuentas el IVA ni los accesorios. Pero en el Aviso reportas el total que recibiste, con impuestos y sin desglosarlos. Y para la prohibición de pagar en efectivo (Art. 32), SÍ cuentas el IVA y los accesorios.</w:t>
      </w:r>
    </w:p>
    <w:p>
      <w:pPr>
        <w:spacing w:after="40" w:before="140" w:line="286"/>
      </w:pPr>
      <w:r>
        <w:rPr>
          <w:b/>
          <w:bCs/>
          <w:color w:val="9E1B1B"/>
        </w:rPr>
        <w:t xml:space="preserve">El formato del Aviso de 24 horas todavía no sale. ¿Qué hago?</w:t>
      </w:r>
    </w:p>
    <w:p>
      <w:pPr>
        <w:spacing w:after="120" w:before="0" w:line="286"/>
      </w:pPr>
      <w:r>
        <w:t xml:space="preserve">Documenta el intento por dentro desde ya: fecha, qué pasó, por qué no se concretó y los datos que alcanzaste a recabar del cliente. Las RCG ya dicen cuándo procede este Aviso; el envío arranca seis meses después de que el SAT publique el formato oficial. Cuando salga, presentas lo que corresponda.</w:t>
      </w:r>
    </w:p>
    <w:p>
      <w:pPr>
        <w:spacing w:after="40" w:before="140" w:line="286"/>
      </w:pPr>
      <w:r>
        <w:rPr>
          <w:b/>
          <w:bCs/>
          <w:color w:val="9E1B1B"/>
        </w:rPr>
        <w:t xml:space="preserve">¿Y si me visitan sin avisar?</w:t>
      </w:r>
    </w:p>
    <w:p>
      <w:pPr>
        <w:spacing w:after="120" w:before="0" w:line="286"/>
      </w:pPr>
      <w:r>
        <w:t xml:space="preserve">Las visitas pueden ser sin previo aviso. Ten siempre quien atienda en horario hábil y el domicilio actualizado tanto en el SPPLD como en el RFC. Si no te encuentran en el domicilio del padrón, pueden buscarte en el de tu RFC; y, por el Código Fiscal, no ser localizable en tu domicilio fiscal puede llevar a que te restrinjan los sellos digitales.</w:t>
      </w:r>
    </w:p>
    <w:p>
      <w:pPr>
        <w:spacing w:after="40" w:before="140" w:line="286"/>
      </w:pPr>
      <w:r>
        <w:rPr>
          <w:b/>
          <w:bCs/>
          <w:color w:val="9E1B1B"/>
        </w:rPr>
        <w:t xml:space="preserve">¿Cómo cuento los 6 meses para ver si se junta el monto?</w:t>
      </w:r>
    </w:p>
    <w:p>
      <w:pPr>
        <w:spacing w:after="120" w:before="0" w:line="286"/>
      </w:pPr>
      <w:r>
        <w:t xml:space="preserve">Sumas lo que hace cada cliente, por tipo de operación, en periodos de hasta 6 meses que arrancan con su primera operación. Ojo: solo se suman las operaciones que por sí solas ya obligan a identificar; si en tu giro se identifica siempre, se suman todas. El Aviso va en cuanto se alcanza el monto, no al cierre del periodo. Lleva un control para no enterarte tarde.</w:t>
      </w:r>
    </w:p>
    <w:p>
      <w:pPr>
        <w:spacing w:after="40" w:before="140" w:line="286"/>
      </w:pPr>
      <w:r>
        <w:rPr>
          <w:b/>
          <w:bCs/>
          <w:color w:val="9E1B1B"/>
        </w:rPr>
        <w:t xml:space="preserve">¿Tengo que reportar aunque me paguen por transferencia?</w:t>
      </w:r>
    </w:p>
    <w:p>
      <w:pPr>
        <w:spacing w:after="120" w:before="0" w:line="286"/>
      </w:pPr>
      <w:r>
        <w:t xml:space="preserve">Sí. El Aviso depende del monto, no del medio de pago. Antes algunos giros solo reportaban efectivo; eso ya cambió.</w:t>
      </w:r>
    </w:p>
    <w:p>
      <w:pPr>
        <w:spacing w:after="40" w:before="140" w:line="286"/>
      </w:pPr>
      <w:r>
        <w:rPr>
          <w:b/>
          <w:bCs/>
          <w:color w:val="9E1B1B"/>
        </w:rPr>
        <w:t xml:space="preserve">¿Qué es eso del 'primer peso' en cripto?</w:t>
      </w:r>
    </w:p>
    <w:p>
      <w:pPr>
        <w:spacing w:after="120" w:before="0" w:line="286"/>
      </w:pPr>
      <w:r>
        <w:t xml:space="preserve">Que en activos virtuales identificas desde la primera operación, sin esperar a ningún monto. El monto solo sirve para el Aviso, no para identificar.</w:t>
      </w:r>
    </w:p>
    <w:p>
      <w:pPr>
        <w:spacing w:after="40" w:before="140" w:line="286"/>
      </w:pPr>
      <w:r>
        <w:rPr>
          <w:b/>
          <w:bCs/>
          <w:color w:val="9E1B1B"/>
        </w:rPr>
        <w:t xml:space="preserve">¿Soy sujeto obligado si solo lo hago una vez?</w:t>
      </w:r>
    </w:p>
    <w:p>
      <w:pPr>
        <w:spacing w:after="120" w:before="0" w:line="286"/>
      </w:pPr>
      <w:r>
        <w:t xml:space="preserve">Depende del giro. Varios exigen que sea 'habitual o profesional' (por ejemplo, vender vehículos más de dos veces al año). Otros aplican siempre. Revisa tu ficha en la Parte 2.</w:t>
      </w:r>
    </w:p>
    <w:p>
      <w:pPr>
        <w:spacing w:after="40" w:before="140" w:line="286"/>
      </w:pPr>
      <w:r>
        <w:rPr>
          <w:b/>
          <w:bCs/>
          <w:color w:val="9E1B1B"/>
        </w:rPr>
        <w:t xml:space="preserve">¿Cuánto tiempo guardo los papeles?</w:t>
      </w:r>
    </w:p>
    <w:p>
      <w:pPr>
        <w:spacing w:after="120" w:before="0" w:line="286"/>
      </w:pPr>
      <w:r>
        <w:t xml:space="preserve">10 años, contando desde julio de 2025. Antes eran 5, así que revisa que no te hayas quedado corto.</w:t>
      </w:r>
    </w:p>
    <w:p>
      <w:pPr>
        <w:spacing w:after="40" w:before="140" w:line="286"/>
      </w:pPr>
      <w:r>
        <w:rPr>
          <w:b/>
          <w:bCs/>
          <w:color w:val="9E1B1B"/>
        </w:rPr>
        <w:t xml:space="preserve">¿Puedo hacer expedientes más sencillos para mis clientes de bajo riesgo?</w:t>
      </w:r>
    </w:p>
    <w:p>
      <w:pPr>
        <w:spacing w:after="120" w:before="0" w:line="286"/>
      </w:pPr>
      <w:r>
        <w:t xml:space="preserve">Sí, pero la lectura segura es que necesitas dos condiciones: que tu negocio salga de bajo riesgo en tu propia evaluación (lo pide el Reglamento) y que ese cliente también sea de bajo riesgo (lo piden las RCG). Si el cliente es de riesgo medio o alto, expediente completo.</w:t>
      </w:r>
    </w:p>
    <w:p>
      <w:pPr>
        <w:spacing w:after="40" w:before="140" w:line="286"/>
      </w:pPr>
      <w:r>
        <w:rPr>
          <w:b/>
          <w:bCs/>
          <w:color w:val="9E1B1B"/>
        </w:rPr>
        <w:t xml:space="preserve">¿Quién puede hacer mi auditoría?</w:t>
      </w:r>
    </w:p>
    <w:p>
      <w:pPr>
        <w:spacing w:after="120" w:before="0" w:line="286"/>
      </w:pPr>
      <w:r>
        <w:t xml:space="preserve">Si tu evaluación dice que tu negocio es de riesgo bajo o medio, puede hacerla tu área de auditoría o control interno, siempre que sea independiente de tu encargado de cumplimiento. Si es de riesgo alto, tiene que ser un auditor externo independiente con certificación vigente de la UIF. Y cualquiera puede elegir auditor externo aunque su riesgo sea bajo. El primer año que se audita es 2028.</w:t>
      </w:r>
    </w:p>
    <w:p>
      <w:r>
        <w:br w:type="page"/>
      </w:r>
    </w:p>
    <w:p>
      <w:pPr>
        <w:pStyle w:val="Heading1"/>
      </w:pPr>
      <w:r>
        <w:t xml:space="preserve">Apéndices</w:t>
      </w:r>
    </w:p>
    <w:p>
      <w:pPr>
        <w:spacing w:after="120" w:before="0" w:line="286"/>
      </w:pPr>
      <w:r>
        <w:rPr>
          <w:i/>
          <w:iCs/>
          <w:color w:val="555555"/>
        </w:rPr>
        <w:t xml:space="preserve">Material de consulta rápida: la tabla de umbrales, el semáforo de riesgo por forma de pago, el glosario y, al final, la reforma a detalle para que se la pases a tu contador.</w:t>
      </w:r>
    </w:p>
    <w:p>
      <w:pPr>
        <w:pStyle w:val="Heading2"/>
      </w:pPr>
      <w:r>
        <w:t xml:space="preserve">Apéndice A. Tabla de umbrales por actividad (UMA 2026)</w:t>
      </w:r>
    </w:p>
    <w:p>
      <w:pPr>
        <w:spacing w:after="120" w:before="0" w:line="286"/>
      </w:pPr>
      <w:r>
        <w:rPr>
          <w:color w:val="555555"/>
          <w:sz w:val="17"/>
          <w:szCs w:val="17"/>
        </w:rPr>
        <w:t xml:space="preserve">Los pesos están calculados con la UMA 2026 = $117.31 diarios (publicada por INEGI, vigente desde febrero de 2026). La UMA se actualiza cada año; vuelve a revisar el cálculo cuando cambie el ejercicio.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60"/>
        <w:gridCol w:w="1800"/>
        <w:gridCol w:w="1800"/>
      </w:tblGrid>
      <w:tr>
        <w:trPr>
          <w:tblHeader/>
        </w:trPr>
        <w:tc>
          <w:tcPr>
            <w:tcW w:type="dxa" w:w="90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Fr.</w:t>
            </w:r>
          </w:p>
        </w:tc>
        <w:tc>
          <w:tcPr>
            <w:tcW w:type="dxa" w:w="486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Actividad</w:t>
            </w:r>
          </w:p>
        </w:tc>
        <w:tc>
          <w:tcPr>
            <w:tcW w:type="dxa" w:w="180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Identificas desde</w:t>
            </w:r>
          </w:p>
        </w:tc>
        <w:tc>
          <w:tcPr>
            <w:tcW w:type="dxa" w:w="180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Avisas desde</w:t>
            </w:r>
          </w:p>
        </w:tc>
      </w:tr>
      <w:tr>
        <w:tc>
          <w:tcPr>
            <w:tcW w:type="dxa" w:w="9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I</w:t>
            </w:r>
          </w:p>
        </w:tc>
        <w:tc>
          <w:tcPr>
            <w:tcW w:type="dxa" w:w="48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Juegos con apuesta, sorteos</w:t>
            </w:r>
          </w:p>
        </w:tc>
        <w:tc>
          <w:tcPr>
            <w:tcW w:type="dxa" w:w="18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$38,126</w:t>
            </w:r>
          </w:p>
        </w:tc>
        <w:tc>
          <w:tcPr>
            <w:tcW w:type="dxa" w:w="18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$75,665</w:t>
            </w:r>
          </w:p>
        </w:tc>
      </w:tr>
      <w:tr>
        <w:tc>
          <w:tcPr>
            <w:tcW w:type="dxa" w:w="9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II</w:t>
            </w:r>
          </w:p>
        </w:tc>
        <w:tc>
          <w:tcPr>
            <w:tcW w:type="dxa" w:w="48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Tarjetas de crédito o servicios</w:t>
            </w:r>
          </w:p>
        </w:tc>
        <w:tc>
          <w:tcPr>
            <w:tcW w:type="dxa" w:w="18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$94,435</w:t>
            </w:r>
          </w:p>
        </w:tc>
        <w:tc>
          <w:tcPr>
            <w:tcW w:type="dxa" w:w="18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$150,743</w:t>
            </w:r>
          </w:p>
        </w:tc>
      </w:tr>
      <w:tr>
        <w:tc>
          <w:tcPr>
            <w:tcW w:type="dxa" w:w="9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II</w:t>
            </w:r>
          </w:p>
        </w:tc>
        <w:tc>
          <w:tcPr>
            <w:tcW w:type="dxa" w:w="48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Prepagadas y monederos electrónicos</w:t>
            </w:r>
          </w:p>
        </w:tc>
        <w:tc>
          <w:tcPr>
            <w:tcW w:type="dxa" w:w="18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$75,665</w:t>
            </w:r>
          </w:p>
        </w:tc>
        <w:tc>
          <w:tcPr>
            <w:tcW w:type="dxa" w:w="18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$75,665</w:t>
            </w:r>
          </w:p>
        </w:tc>
      </w:tr>
      <w:tr>
        <w:tc>
          <w:tcPr>
            <w:tcW w:type="dxa" w:w="9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III</w:t>
            </w:r>
          </w:p>
        </w:tc>
        <w:tc>
          <w:tcPr>
            <w:tcW w:type="dxa" w:w="48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Cheques de viajero</w:t>
            </w:r>
          </w:p>
        </w:tc>
        <w:tc>
          <w:tcPr>
            <w:tcW w:type="dxa" w:w="18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Siempre</w:t>
            </w:r>
          </w:p>
        </w:tc>
        <w:tc>
          <w:tcPr>
            <w:tcW w:type="dxa" w:w="18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$75,665</w:t>
            </w:r>
          </w:p>
        </w:tc>
      </w:tr>
      <w:tr>
        <w:tc>
          <w:tcPr>
            <w:tcW w:type="dxa" w:w="9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IV</w:t>
            </w:r>
          </w:p>
        </w:tc>
        <w:tc>
          <w:tcPr>
            <w:tcW w:type="dxa" w:w="48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Préstamos o créditos no bancarios</w:t>
            </w:r>
          </w:p>
        </w:tc>
        <w:tc>
          <w:tcPr>
            <w:tcW w:type="dxa" w:w="18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Siempre</w:t>
            </w:r>
          </w:p>
        </w:tc>
        <w:tc>
          <w:tcPr>
            <w:tcW w:type="dxa" w:w="18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$188,283</w:t>
            </w:r>
          </w:p>
        </w:tc>
      </w:tr>
      <w:tr>
        <w:tc>
          <w:tcPr>
            <w:tcW w:type="dxa" w:w="9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V</w:t>
            </w:r>
          </w:p>
        </w:tc>
        <w:tc>
          <w:tcPr>
            <w:tcW w:type="dxa" w:w="48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Construcción / venta de inmuebles</w:t>
            </w:r>
          </w:p>
        </w:tc>
        <w:tc>
          <w:tcPr>
            <w:tcW w:type="dxa" w:w="18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Siempre</w:t>
            </w:r>
          </w:p>
        </w:tc>
        <w:tc>
          <w:tcPr>
            <w:tcW w:type="dxa" w:w="18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$941,413</w:t>
            </w:r>
          </w:p>
        </w:tc>
      </w:tr>
      <w:tr>
        <w:tc>
          <w:tcPr>
            <w:tcW w:type="dxa" w:w="9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V Bis</w:t>
            </w:r>
          </w:p>
        </w:tc>
        <w:tc>
          <w:tcPr>
            <w:tcW w:type="dxa" w:w="48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Recepción de recursos para desarrollo</w:t>
            </w:r>
          </w:p>
        </w:tc>
        <w:tc>
          <w:tcPr>
            <w:tcW w:type="dxa" w:w="18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Siempre</w:t>
            </w:r>
          </w:p>
        </w:tc>
        <w:tc>
          <w:tcPr>
            <w:tcW w:type="dxa" w:w="18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$941,413</w:t>
            </w:r>
          </w:p>
        </w:tc>
      </w:tr>
      <w:tr>
        <w:tc>
          <w:tcPr>
            <w:tcW w:type="dxa" w:w="9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VI</w:t>
            </w:r>
          </w:p>
        </w:tc>
        <w:tc>
          <w:tcPr>
            <w:tcW w:type="dxa" w:w="48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Joyas, metales y piedras preciosas, relojes</w:t>
            </w:r>
          </w:p>
        </w:tc>
        <w:tc>
          <w:tcPr>
            <w:tcW w:type="dxa" w:w="18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$94,435</w:t>
            </w:r>
          </w:p>
        </w:tc>
        <w:tc>
          <w:tcPr>
            <w:tcW w:type="dxa" w:w="18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$188,283</w:t>
            </w:r>
          </w:p>
        </w:tc>
      </w:tr>
      <w:tr>
        <w:tc>
          <w:tcPr>
            <w:tcW w:type="dxa" w:w="9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VII</w:t>
            </w:r>
          </w:p>
        </w:tc>
        <w:tc>
          <w:tcPr>
            <w:tcW w:type="dxa" w:w="48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Obras de arte</w:t>
            </w:r>
          </w:p>
        </w:tc>
        <w:tc>
          <w:tcPr>
            <w:tcW w:type="dxa" w:w="18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$282,717</w:t>
            </w:r>
          </w:p>
        </w:tc>
        <w:tc>
          <w:tcPr>
            <w:tcW w:type="dxa" w:w="18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$564,848</w:t>
            </w:r>
          </w:p>
        </w:tc>
      </w:tr>
      <w:tr>
        <w:tc>
          <w:tcPr>
            <w:tcW w:type="dxa" w:w="9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VIII</w:t>
            </w:r>
          </w:p>
        </w:tc>
        <w:tc>
          <w:tcPr>
            <w:tcW w:type="dxa" w:w="48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Venta de vehículos</w:t>
            </w:r>
          </w:p>
        </w:tc>
        <w:tc>
          <w:tcPr>
            <w:tcW w:type="dxa" w:w="18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$376,565</w:t>
            </w:r>
          </w:p>
        </w:tc>
        <w:tc>
          <w:tcPr>
            <w:tcW w:type="dxa" w:w="18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$753,130</w:t>
            </w:r>
          </w:p>
        </w:tc>
      </w:tr>
      <w:tr>
        <w:tc>
          <w:tcPr>
            <w:tcW w:type="dxa" w:w="9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IX</w:t>
            </w:r>
          </w:p>
        </w:tc>
        <w:tc>
          <w:tcPr>
            <w:tcW w:type="dxa" w:w="48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Servicios de blindaje</w:t>
            </w:r>
          </w:p>
        </w:tc>
        <w:tc>
          <w:tcPr>
            <w:tcW w:type="dxa" w:w="18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$282,717</w:t>
            </w:r>
          </w:p>
        </w:tc>
        <w:tc>
          <w:tcPr>
            <w:tcW w:type="dxa" w:w="18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$564,848</w:t>
            </w:r>
          </w:p>
        </w:tc>
      </w:tr>
      <w:tr>
        <w:tc>
          <w:tcPr>
            <w:tcW w:type="dxa" w:w="9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X</w:t>
            </w:r>
          </w:p>
        </w:tc>
        <w:tc>
          <w:tcPr>
            <w:tcW w:type="dxa" w:w="48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Traslado o custodia de valores</w:t>
            </w:r>
          </w:p>
        </w:tc>
        <w:tc>
          <w:tcPr>
            <w:tcW w:type="dxa" w:w="18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Siempre</w:t>
            </w:r>
          </w:p>
        </w:tc>
        <w:tc>
          <w:tcPr>
            <w:tcW w:type="dxa" w:w="18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$376,565</w:t>
            </w:r>
          </w:p>
        </w:tc>
      </w:tr>
      <w:tr>
        <w:tc>
          <w:tcPr>
            <w:tcW w:type="dxa" w:w="9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XI</w:t>
            </w:r>
          </w:p>
        </w:tc>
        <w:tc>
          <w:tcPr>
            <w:tcW w:type="dxa" w:w="48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Servicios profesionales</w:t>
            </w:r>
          </w:p>
        </w:tc>
        <w:tc>
          <w:tcPr>
            <w:tcW w:type="dxa" w:w="18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Siempre</w:t>
            </w:r>
          </w:p>
        </w:tc>
        <w:tc>
          <w:tcPr>
            <w:tcW w:type="dxa" w:w="18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Si actúas en su nombre</w:t>
            </w:r>
          </w:p>
        </w:tc>
      </w:tr>
      <w:tr>
        <w:tc>
          <w:tcPr>
            <w:tcW w:type="dxa" w:w="9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XII</w:t>
            </w:r>
          </w:p>
        </w:tc>
        <w:tc>
          <w:tcPr>
            <w:tcW w:type="dxa" w:w="48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Notarios: transmisión de inmuebles</w:t>
            </w:r>
          </w:p>
        </w:tc>
        <w:tc>
          <w:tcPr>
            <w:tcW w:type="dxa" w:w="18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Siempre</w:t>
            </w:r>
          </w:p>
        </w:tc>
        <w:tc>
          <w:tcPr>
            <w:tcW w:type="dxa" w:w="18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$938,480</w:t>
            </w:r>
          </w:p>
        </w:tc>
      </w:tr>
      <w:tr>
        <w:tc>
          <w:tcPr>
            <w:tcW w:type="dxa" w:w="9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XII</w:t>
            </w:r>
          </w:p>
        </w:tc>
        <w:tc>
          <w:tcPr>
            <w:tcW w:type="dxa" w:w="48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Notarios: fideicomisos</w:t>
            </w:r>
          </w:p>
        </w:tc>
        <w:tc>
          <w:tcPr>
            <w:tcW w:type="dxa" w:w="18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Siempre</w:t>
            </w:r>
          </w:p>
        </w:tc>
        <w:tc>
          <w:tcPr>
            <w:tcW w:type="dxa" w:w="18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$469,240</w:t>
            </w:r>
          </w:p>
        </w:tc>
      </w:tr>
      <w:tr>
        <w:tc>
          <w:tcPr>
            <w:tcW w:type="dxa" w:w="9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XII</w:t>
            </w:r>
          </w:p>
        </w:tc>
        <w:tc>
          <w:tcPr>
            <w:tcW w:type="dxa" w:w="48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Facilitadores de controversias (nuevo)</w:t>
            </w:r>
          </w:p>
        </w:tc>
        <w:tc>
          <w:tcPr>
            <w:tcW w:type="dxa" w:w="18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Siempre</w:t>
            </w:r>
          </w:p>
        </w:tc>
        <w:tc>
          <w:tcPr>
            <w:tcW w:type="dxa" w:w="18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$938,480</w:t>
            </w:r>
          </w:p>
        </w:tc>
      </w:tr>
      <w:tr>
        <w:tc>
          <w:tcPr>
            <w:tcW w:type="dxa" w:w="9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XIII</w:t>
            </w:r>
          </w:p>
        </w:tc>
        <w:tc>
          <w:tcPr>
            <w:tcW w:type="dxa" w:w="48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Donativos</w:t>
            </w:r>
          </w:p>
        </w:tc>
        <w:tc>
          <w:tcPr>
            <w:tcW w:type="dxa" w:w="18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$188,283</w:t>
            </w:r>
          </w:p>
        </w:tc>
        <w:tc>
          <w:tcPr>
            <w:tcW w:type="dxa" w:w="18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$376,565</w:t>
            </w:r>
          </w:p>
        </w:tc>
      </w:tr>
      <w:tr>
        <w:tc>
          <w:tcPr>
            <w:tcW w:type="dxa" w:w="9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XIV</w:t>
            </w:r>
          </w:p>
        </w:tc>
        <w:tc>
          <w:tcPr>
            <w:tcW w:type="dxa" w:w="48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Comercio exterior: joyas y metales</w:t>
            </w:r>
          </w:p>
        </w:tc>
        <w:tc>
          <w:tcPr>
            <w:tcW w:type="dxa" w:w="18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$56,895</w:t>
            </w:r>
          </w:p>
        </w:tc>
        <w:tc>
          <w:tcPr>
            <w:tcW w:type="dxa" w:w="18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$56,895</w:t>
            </w:r>
          </w:p>
        </w:tc>
      </w:tr>
      <w:tr>
        <w:tc>
          <w:tcPr>
            <w:tcW w:type="dxa" w:w="9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XV</w:t>
            </w:r>
          </w:p>
        </w:tc>
        <w:tc>
          <w:tcPr>
            <w:tcW w:type="dxa" w:w="48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Renta de inmuebles (mensual)</w:t>
            </w:r>
          </w:p>
        </w:tc>
        <w:tc>
          <w:tcPr>
            <w:tcW w:type="dxa" w:w="18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$188,283</w:t>
            </w:r>
          </w:p>
        </w:tc>
        <w:tc>
          <w:tcPr>
            <w:tcW w:type="dxa" w:w="18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$376,565</w:t>
            </w:r>
          </w:p>
        </w:tc>
      </w:tr>
      <w:tr>
        <w:tc>
          <w:tcPr>
            <w:tcW w:type="dxa" w:w="9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XVI</w:t>
            </w:r>
          </w:p>
        </w:tc>
        <w:tc>
          <w:tcPr>
            <w:tcW w:type="dxa" w:w="48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Activos virtuales (por operación)</w:t>
            </w:r>
          </w:p>
        </w:tc>
        <w:tc>
          <w:tcPr>
            <w:tcW w:type="dxa" w:w="18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Siempre</w:t>
            </w:r>
          </w:p>
        </w:tc>
        <w:tc>
          <w:tcPr>
            <w:tcW w:type="dxa" w:w="18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$24,635</w:t>
            </w:r>
          </w:p>
        </w:tc>
      </w:tr>
      <w:tr>
        <w:tc>
          <w:tcPr>
            <w:tcW w:type="dxa" w:w="9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XVI</w:t>
            </w:r>
          </w:p>
        </w:tc>
        <w:tc>
          <w:tcPr>
            <w:tcW w:type="dxa" w:w="48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Comisión por operar activos virtuales</w:t>
            </w:r>
          </w:p>
        </w:tc>
        <w:tc>
          <w:tcPr>
            <w:tcW w:type="dxa" w:w="18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Siempre</w:t>
            </w:r>
          </w:p>
        </w:tc>
        <w:tc>
          <w:tcPr>
            <w:tcW w:type="dxa" w:w="18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$469</w:t>
            </w:r>
          </w:p>
        </w:tc>
      </w:tr>
    </w:tbl>
    <w:p>
      <w:pPr>
        <w:pStyle w:val="Heading2"/>
      </w:pPr>
      <w:r>
        <w:t xml:space="preserve">Apéndice B. Semáforo rápido de riesgo por forma de pago</w:t>
      </w:r>
    </w:p>
    <w:p>
      <w:pPr>
        <w:spacing w:after="120" w:before="0" w:line="286"/>
      </w:pPr>
      <w:r>
        <w:t xml:space="preserve">Una regla general que sirve para casi cualquier giro: mientras más efectivo y menos rastro, más riesgo.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Riesgo alto</w:t>
            </w:r>
          </w:p>
        </w:tc>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Riesgo medio</w:t>
            </w:r>
          </w:p>
        </w:tc>
        <w:tc>
          <w:tcPr>
            <w:tcW w:type="dxa" w:w="312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Riesgo bajo</w:t>
            </w:r>
          </w:p>
        </w:tc>
      </w:tr>
      <w:tr>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Pago en efectivo, montos altos, terceros que pagan, operaciones partidas, clientes o dinero de otros países sin razón clara.</w:t>
            </w:r>
          </w:p>
        </w:tc>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Pagos mixtos (parte efectivo, parte transferencia), montos intermedios, clientes nuevos pero localizables.</w:t>
            </w:r>
          </w:p>
        </w:tc>
        <w:tc>
          <w:tcPr>
            <w:tcW w:type="dxa" w:w="312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Pago por banco con cliente identificado, historial claro, montos habituales y documentación completa.</w:t>
            </w:r>
          </w:p>
        </w:tc>
      </w:tr>
    </w:tbl>
    <w:p>
      <w:pPr>
        <w:pStyle w:val="Heading2"/>
      </w:pPr>
      <w:r>
        <w:t xml:space="preserve">Apéndice C. Glosario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Palabra</w:t>
            </w:r>
          </w:p>
        </w:tc>
        <w:tc>
          <w:tcPr>
            <w:tcW w:type="dxa" w:w="646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Qué quiere decir</w:t>
            </w:r>
          </w:p>
        </w:tc>
      </w:tr>
      <w:tr>
        <w:tc>
          <w:tcPr>
            <w:tcW w:type="dxa" w:w="29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Actividad Vulnerable</w:t>
            </w:r>
          </w:p>
        </w:tc>
        <w:tc>
          <w:tcPr>
            <w:tcW w:type="dxa" w:w="64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Negocio o servicio que la ley vigila (lista en el Artículo 17). Quien la realiza es sujeto obligado.</w:t>
            </w:r>
          </w:p>
        </w:tc>
      </w:tr>
      <w:tr>
        <w:tc>
          <w:tcPr>
            <w:tcW w:type="dxa" w:w="29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Aviso</w:t>
            </w:r>
          </w:p>
        </w:tc>
        <w:tc>
          <w:tcPr>
            <w:tcW w:type="dxa" w:w="64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Reporte que mandas al SAT sobre una operación que supera el monto marcado.</w:t>
            </w:r>
          </w:p>
        </w:tc>
      </w:tr>
      <w:tr>
        <w:tc>
          <w:tcPr>
            <w:tcW w:type="dxa" w:w="29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Beneficiario Controlador</w:t>
            </w:r>
          </w:p>
        </w:tc>
        <w:tc>
          <w:tcPr>
            <w:tcW w:type="dxa" w:w="64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La persona real que manda o se beneficia detrás de una empresa o fideicomiso.</w:t>
            </w:r>
          </w:p>
        </w:tc>
      </w:tr>
      <w:tr>
        <w:tc>
          <w:tcPr>
            <w:tcW w:type="dxa" w:w="29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CFDI</w:t>
            </w:r>
          </w:p>
        </w:tc>
        <w:tc>
          <w:tcPr>
            <w:tcW w:type="dxa" w:w="64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Tu factura electrónica. Ahora vale como prueba en tu contra si no cuadra con tus reportes.</w:t>
            </w:r>
          </w:p>
        </w:tc>
      </w:tr>
      <w:tr>
        <w:tc>
          <w:tcPr>
            <w:tcW w:type="dxa" w:w="29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Debida Diligencia Reforzada</w:t>
            </w:r>
          </w:p>
        </w:tc>
        <w:tc>
          <w:tcPr>
            <w:tcW w:type="dxa" w:w="64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La 'lupa total' que aplicas a los clientes de alto riesgo: pedir más, revisar más, vigilar más.</w:t>
            </w:r>
          </w:p>
        </w:tc>
      </w:tr>
      <w:tr>
        <w:tc>
          <w:tcPr>
            <w:tcW w:type="dxa" w:w="29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Evaluación de riesgo</w:t>
            </w:r>
          </w:p>
        </w:tc>
        <w:tc>
          <w:tcPr>
            <w:tcW w:type="dxa" w:w="64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El estudio por escrito de qué tan expuesto está tu negocio a que lo usen para lavar. Se hace con los datos de al menos 12 meses.</w:t>
            </w:r>
          </w:p>
        </w:tc>
      </w:tr>
      <w:tr>
        <w:tc>
          <w:tcPr>
            <w:tcW w:type="dxa" w:w="29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Grado de Riesgo</w:t>
            </w:r>
          </w:p>
        </w:tc>
        <w:tc>
          <w:tcPr>
            <w:tcW w:type="dxa" w:w="64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La calificación de cada cliente: bajo, medio o alto, como mínimo.</w:t>
            </w:r>
          </w:p>
        </w:tc>
      </w:tr>
      <w:tr>
        <w:tc>
          <w:tcPr>
            <w:tcW w:type="dxa" w:w="29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Identificación</w:t>
            </w:r>
          </w:p>
        </w:tc>
        <w:tc>
          <w:tcPr>
            <w:tcW w:type="dxa" w:w="64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Pedir y guardar los datos del cliente. No es lo mismo que dar Aviso.</w:t>
            </w:r>
          </w:p>
        </w:tc>
      </w:tr>
      <w:tr>
        <w:tc>
          <w:tcPr>
            <w:tcW w:type="dxa" w:w="29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Manual de Políticas Internas</w:t>
            </w:r>
          </w:p>
        </w:tc>
        <w:tc>
          <w:tcPr>
            <w:tcW w:type="dxa" w:w="64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El documento donde escribes cómo cumples: identificación, riesgo, avisos, capacitación y auditoría.</w:t>
            </w:r>
          </w:p>
        </w:tc>
      </w:tr>
      <w:tr>
        <w:tc>
          <w:tcPr>
            <w:tcW w:type="dxa" w:w="29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PEP</w:t>
            </w:r>
          </w:p>
        </w:tc>
        <w:tc>
          <w:tcPr>
            <w:tcW w:type="dxa" w:w="64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Persona con poder político, y sus familiares y socios cercanos.</w:t>
            </w:r>
          </w:p>
        </w:tc>
      </w:tr>
      <w:tr>
        <w:tc>
          <w:tcPr>
            <w:tcW w:type="dxa" w:w="29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Perfil transaccional</w:t>
            </w:r>
          </w:p>
        </w:tc>
        <w:tc>
          <w:tcPr>
            <w:tcW w:type="dxa" w:w="64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Lo que esperas que haga un cliente: cuánto, cada cuándo, de dónde y a dónde va su dinero.</w:t>
            </w:r>
          </w:p>
        </w:tc>
      </w:tr>
      <w:tr>
        <w:tc>
          <w:tcPr>
            <w:tcW w:type="dxa" w:w="29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RCG</w:t>
            </w:r>
          </w:p>
        </w:tc>
        <w:tc>
          <w:tcPr>
            <w:tcW w:type="dxa" w:w="64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Reglas de Carácter General: el detalle fino. Publicadas el 7 de agosto de 2026 (Acuerdo 115/2026); en vigor el 30 de noviembre de 2026.</w:t>
            </w:r>
          </w:p>
        </w:tc>
      </w:tr>
      <w:tr>
        <w:tc>
          <w:tcPr>
            <w:tcW w:type="dxa" w:w="29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SAT</w:t>
            </w:r>
          </w:p>
        </w:tc>
        <w:tc>
          <w:tcPr>
            <w:tcW w:type="dxa" w:w="64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La autoridad que recibe tus Avisos y te puede revisar.</w:t>
            </w:r>
          </w:p>
        </w:tc>
      </w:tr>
      <w:tr>
        <w:tc>
          <w:tcPr>
            <w:tcW w:type="dxa" w:w="29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SPPLD</w:t>
            </w:r>
          </w:p>
        </w:tc>
        <w:tc>
          <w:tcPr>
            <w:tcW w:type="dxa" w:w="64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El portal del SAT para darte de alta y mandar Avisos.</w:t>
            </w:r>
          </w:p>
        </w:tc>
      </w:tr>
      <w:tr>
        <w:tc>
          <w:tcPr>
            <w:tcW w:type="dxa" w:w="29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Sujeto obligado</w:t>
            </w:r>
          </w:p>
        </w:tc>
        <w:tc>
          <w:tcPr>
            <w:tcW w:type="dxa" w:w="64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Tú, si realizas una Actividad Vulnerable.</w:t>
            </w:r>
          </w:p>
        </w:tc>
      </w:tr>
      <w:tr>
        <w:tc>
          <w:tcPr>
            <w:tcW w:type="dxa" w:w="29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UMA</w:t>
            </w:r>
          </w:p>
        </w:tc>
        <w:tc>
          <w:tcPr>
            <w:tcW w:type="dxa" w:w="64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Unidad de Medida y Actualización. En 2026 vale $117.31 diarios. Mide los montos de la ley.</w:t>
            </w:r>
          </w:p>
        </w:tc>
      </w:tr>
    </w:tbl>
    <w:p>
      <w:pPr>
        <w:pStyle w:val="Heading1"/>
      </w:pPr>
      <w:r>
        <w:t xml:space="preserve">Apéndice D. La reforma a detalle (el boletín completo, para tu contador)</w:t>
      </w:r>
    </w:p>
    <w:p>
      <w:pPr>
        <w:spacing w:after="120" w:before="0" w:line="286"/>
      </w:pPr>
      <w:r>
        <w:t xml:space="preserve">Esta sección es el boletín técnico íntegro de la reforma. Está pensada para que la leas con calma o se la pases a tu contador, abogado u oficial de cumplimiento. Reproduce, punto por punto, lo que cambió en la Ley (DOF 16 de julio de 2025) y en su Reglamento (DOF 27 de marzo de 2026, en vigor el 30). El cuerpo del libro te dio lo esencial; esto es el detalle fino. Lo que trajeron las Reglas de Carácter General está en el Apéndice E.</w:t>
      </w:r>
    </w:p>
    <w:p>
      <w:pPr>
        <w:pStyle w:val="Heading2"/>
      </w:pPr>
      <w:r>
        <w:t xml:space="preserve">D.1 Contexto de la reforma</w:t>
      </w:r>
    </w:p>
    <w:p>
      <w:pPr>
        <w:spacing w:after="120" w:before="0" w:line="286"/>
      </w:pPr>
      <w:r>
        <w:t xml:space="preserve">La reforma llega en tres piezas. La primera, en la Ley, se publicó el 16 de julio de 2025 y entró en vigor el 17. La segunda, en su Reglamento, el 27 de marzo de 2026, con entrada en vigor el 30 de marzo. La tercera, las Reglas de Carácter General (RCG), se publicó el 7 de agosto de 2026 (Acuerdo 115/2026) y entra en vigor el 30 de noviembre de 2026, con obligaciones escalonadas hasta 2028 (Apéndice E).</w:t>
      </w:r>
    </w:p>
    <w:p>
      <w:pPr>
        <w:spacing w:after="120" w:before="0" w:line="286"/>
      </w:pPr>
      <w:r>
        <w:t xml:space="preserve">Por eso hoy conviven tres tipos de obligaciones: las ya exigibles por la Ley y el Reglamento, las que arrancan con la entrada en vigor de las RCG y las que las propias RCG difieren a 2027 o 2028. Saber dónde cae cada una separa el cumplimiento real del aparente.</w:t>
      </w:r>
    </w:p>
    <w:p>
      <w:pPr>
        <w:spacing w:after="120" w:before="0" w:line="286"/>
      </w:pPr>
      <w:r>
        <w:rPr>
          <w:b/>
          <w:bCs/>
        </w:rPr>
        <w:t xml:space="preserve">Por qué hubo reforma. </w:t>
      </w:r>
      <w:r>
        <w:t xml:space="preserve">Responde a la presión de la 5ª Ronda de Evaluación Mutua del GAFI sobre México, que señaló debilidades en la efectividad del régimen de Actividades Vulnerables, en la identificación del Beneficiario Controlador y en la capacidad sancionatoria de las autoridades. A ello se suma la presión de FinCEN (EE. UU.), que ha sancionado a entidades mexicanas. La reforma busca demostrar un marco robusto y evitar restricciones financieras internacionales.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1272D" w:sz="24"/>
              <w:bottom w:val="none"/>
              <w:right w:val="none"/>
            </w:tcBorders>
            <w:shd w:fill="FBEAE8" w:val="clear"/>
            <w:tcMar>
              <w:top w:type="dxa" w:w="120"/>
              <w:left w:type="dxa" w:w="200"/>
              <w:bottom w:type="dxa" w:w="120"/>
              <w:right w:type="dxa" w:w="160"/>
            </w:tcMar>
          </w:tcPr>
          <w:p>
            <w:pPr>
              <w:spacing w:after="60"/>
            </w:pPr>
            <w:r>
              <w:rPr>
                <w:b/>
                <w:bCs/>
                <w:color w:val="C1272D"/>
                <w:sz w:val="19"/>
                <w:szCs w:val="19"/>
              </w:rPr>
              <w:t xml:space="preserve">EL CAMBIO DE PARADIGMA</w:t>
            </w:r>
          </w:p>
          <w:p>
            <w:pPr>
              <w:spacing w:after="0" w:before="0" w:line="286"/>
            </w:pPr>
            <w:r>
              <w:t xml:space="preserve">Del cumplimiento declarativo al control verificable. Antes bastaba con declarar que se cumplía; ahora hay que demostrarlo con trazabilidad y evidencia. El Estado trasladó la carga probatoria al sujeto obligado.</w:t>
            </w:r>
          </w:p>
        </w:tc>
      </w:tr>
    </w:tbl>
    <w:p>
      <w:pPr>
        <w:spacing w:after="120" w:before="0" w:line="286"/>
      </w:pPr>
      <w:r>
        <w:t xml:space="preserve">Esa tesis se manifiesta en cambios concretos: la conservación documental sube de 5 a 10 años; el procedimiento sancionador se vuelve exprés en la omisión pura; los CFDI y bases del SAT operan como prueba plena; la auditoría anual se vuelve obligatoria; el monitoreo debe ser automatizado; y el Beneficiario Controlador se vuelve registro central.</w:t>
      </w:r>
    </w:p>
    <w:p>
      <w:pPr>
        <w:spacing w:after="120" w:before="0" w:line="286"/>
      </w:pPr>
      <w:r>
        <w:rPr>
          <w:b/>
          <w:bCs/>
        </w:rPr>
        <w:t xml:space="preserve">Objeto de la Ley (Art. 2). </w:t>
      </w:r>
      <w:r>
        <w:t xml:space="preserve">Se mantiene la esencia de proteger el sistema financiero y la economía nacional; los ajustes son de redacción, sin cambio sustantivo.</w:t>
      </w:r>
    </w:p>
    <w:p>
      <w:pPr>
        <w:pStyle w:val="Heading2"/>
      </w:pPr>
      <w:r>
        <w:t xml:space="preserve">D.2 Nuevas definiciones (Art. 3 de la Ley)</w:t>
      </w:r>
    </w:p>
    <w:p>
      <w:pPr>
        <w:spacing w:after="120" w:before="0" w:line="286"/>
      </w:pPr>
      <w:r>
        <w:rPr>
          <w:b/>
          <w:bCs/>
        </w:rPr>
        <w:t xml:space="preserve">Cliente o Usuaria (Fr. III Bis, nueva). </w:t>
      </w:r>
      <w:r>
        <w:t xml:space="preserve">Cualquier persona física o moral, así como fideicomisos, que celebren operaciones con quienes realizan Actividades Vulnerables. Aclara que el fideicomiso es sujeto de identificación.</w:t>
      </w:r>
    </w:p>
    <w:p>
      <w:pPr>
        <w:spacing w:after="120" w:before="0" w:line="286"/>
      </w:pPr>
      <w:r>
        <w:rPr>
          <w:b/>
          <w:bCs/>
        </w:rPr>
        <w:t xml:space="preserve">Desarrollo Inmobiliario (Fr. IV Bis, nueva). </w:t>
      </w:r>
      <w:r>
        <w:t xml:space="preserve">Proyecto para construir inmuebles o fraccionar lotes destinados a venta o renta. Base de la nueva Actividad de la Fracción V Bis.</w:t>
      </w:r>
    </w:p>
    <w:p>
      <w:pPr>
        <w:spacing w:after="120" w:before="0" w:line="286"/>
      </w:pPr>
      <w:r>
        <w:rPr>
          <w:b/>
          <w:bCs/>
        </w:rPr>
        <w:t xml:space="preserve">Persona Políticamente Expuesta, PEP (Fr. IX Bis, nueva). </w:t>
      </w:r>
      <w:r>
        <w:t xml:space="preserve">Persona física que desempeña o desempeñó funciones públicas, en el país o en el extranjero, y sus personas relacionadas que las RCG ya definieron (art. 23 Quáter). Exige escrutinio reforzado.</w:t>
      </w:r>
    </w:p>
    <w:p>
      <w:pPr>
        <w:spacing w:after="120" w:before="0" w:line="286"/>
      </w:pPr>
      <w:r>
        <w:rPr>
          <w:b/>
          <w:bCs/>
        </w:rPr>
        <w:t xml:space="preserve">Representante Encargada de Cumplimiento (Fr. XII Bis, nueva). </w:t>
      </w:r>
      <w:r>
        <w:t xml:space="preserve">Formaliza la figura del oficial de cumplimiento y abre la protección de identidad del Art. 41 Bis.</w:t>
      </w:r>
    </w:p>
    <w:p>
      <w:pPr>
        <w:spacing w:after="120" w:before="0" w:line="286"/>
      </w:pPr>
      <w:r>
        <w:rPr>
          <w:b/>
          <w:bCs/>
        </w:rPr>
        <w:t xml:space="preserve">Riesgo (Fr. XII Ter, nueva). </w:t>
      </w:r>
      <w:r>
        <w:t xml:space="preserve">Probabilidad de que las Actividades Vulnerables se usen para los delitos de operaciones con recursos de procedencia ilícita. Piedra angular del Enfoque Basado en Riesgos.</w:t>
      </w:r>
    </w:p>
    <w:p>
      <w:pPr>
        <w:spacing w:after="120" w:before="0" w:line="286"/>
      </w:pPr>
      <w:r>
        <w:rPr>
          <w:b/>
          <w:bCs/>
        </w:rPr>
        <w:t xml:space="preserve">UMA (Fr. XIII Bis, nueva). </w:t>
      </w:r>
      <w:r>
        <w:t xml:space="preserve">Unidad de Medida y Actualización. Todos los umbrales se refieren ahora a la UMA, no al salario mínimo. En 2026 vale $117.31 diarios.</w:t>
      </w:r>
    </w:p>
    <w:p>
      <w:pPr>
        <w:spacing w:after="120" w:before="0" w:line="286"/>
      </w:pPr>
      <w:r>
        <w:rPr>
          <w:b/>
          <w:bCs/>
        </w:rPr>
        <w:t xml:space="preserve">Entidades Financieras (Fr. VI, modificada). </w:t>
      </w:r>
      <w:r>
        <w:t xml:space="preserve">Ahora incluye a las instituciones de tecnología financiera (Ley Fintech).</w:t>
      </w:r>
    </w:p>
    <w:p>
      <w:pPr>
        <w:spacing w:after="120" w:before="0" w:line="286"/>
      </w:pPr>
      <w:r>
        <w:rPr>
          <w:b/>
          <w:bCs/>
        </w:rPr>
        <w:t xml:space="preserve">Relación de Negocios (Fr. XII, modificada). </w:t>
      </w:r>
      <w:r>
        <w:t xml:space="preserve">Excluye la prestación de servicios de fe pública ocasional de notarios y corredores.</w:t>
      </w:r>
    </w:p>
    <w:p>
      <w:pPr>
        <w:pStyle w:val="Heading2"/>
      </w:pPr>
      <w:r>
        <w:t xml:space="preserve">D.3 Nuevas Actividades Vulnerables (Art. 17 de la Ley)</w:t>
      </w:r>
    </w:p>
    <w:p>
      <w:pPr>
        <w:spacing w:after="120" w:before="0" w:line="286"/>
      </w:pPr>
      <w:r>
        <w:t xml:space="preserve">Cambio general: todos los umbrales pasan de salario mínimo a UMA, lo que da estabilidad. Los cambios de fondo:</w:t>
      </w:r>
    </w:p>
    <w:p>
      <w:pPr>
        <w:pStyle w:val="ListParagraph"/>
        <w:numPr>
          <w:ilvl w:val="0"/>
          <w:numId w:val="2"/>
        </w:numPr>
        <w:spacing w:after="60" w:line="280"/>
      </w:pPr>
      <w:r>
        <w:rPr>
          <w:b/>
          <w:bCs/>
        </w:rPr>
        <w:t xml:space="preserve">Fr. V Bis (nueva): </w:t>
      </w:r>
      <w:r>
        <w:t xml:space="preserve">recepción de recursos para un Desarrollo Inmobiliario destinado a venta o renta. Umbral de Aviso: 8,025 UMA.</w:t>
      </w:r>
    </w:p>
    <w:p>
      <w:pPr>
        <w:pStyle w:val="ListParagraph"/>
        <w:numPr>
          <w:ilvl w:val="0"/>
          <w:numId w:val="2"/>
        </w:numPr>
        <w:spacing w:after="60" w:line="280"/>
      </w:pPr>
      <w:r>
        <w:rPr>
          <w:b/>
          <w:bCs/>
        </w:rPr>
        <w:t xml:space="preserve">Fr. VI (metales, joyas, relojes): </w:t>
      </w:r>
      <w:r>
        <w:t xml:space="preserve">se elimina la condición de que el Aviso fuera solo para efectivo. Ahora cualquier medio de pago que supere el umbral se reporta.</w:t>
      </w:r>
    </w:p>
    <w:p>
      <w:pPr>
        <w:pStyle w:val="ListParagraph"/>
        <w:numPr>
          <w:ilvl w:val="0"/>
          <w:numId w:val="2"/>
        </w:numPr>
        <w:spacing w:after="60" w:line="280"/>
      </w:pPr>
      <w:r>
        <w:rPr>
          <w:b/>
          <w:bCs/>
        </w:rPr>
        <w:t xml:space="preserve">Fr. X (traslado o custodia de valores): </w:t>
      </w:r>
      <w:r>
        <w:t xml:space="preserve">cuando no se pueda determinar el monto, se presenta Aviso en todos los casos.</w:t>
      </w:r>
    </w:p>
    <w:p>
      <w:pPr>
        <w:pStyle w:val="ListParagraph"/>
        <w:numPr>
          <w:ilvl w:val="0"/>
          <w:numId w:val="2"/>
        </w:numPr>
        <w:spacing w:after="60" w:line="280"/>
      </w:pPr>
      <w:r>
        <w:rPr>
          <w:b/>
          <w:bCs/>
        </w:rPr>
        <w:t xml:space="preserve">Fr. XII (fedatarios): </w:t>
      </w:r>
      <w:r>
        <w:t xml:space="preserve">para notarios, la transmisión de derechos reales sobre inmuebles baja de 16,000 SM a 8,000 UMA, y los fideicomisos de 8,025 SM a 4,000 UMA. Entran como nuevos sujetos los facilitadores de solución de controversias, con las mismas obligaciones que los notarios.</w:t>
      </w:r>
    </w:p>
    <w:p>
      <w:pPr>
        <w:pStyle w:val="ListParagraph"/>
        <w:numPr>
          <w:ilvl w:val="0"/>
          <w:numId w:val="2"/>
        </w:numPr>
        <w:spacing w:after="60" w:line="280"/>
      </w:pPr>
      <w:r>
        <w:rPr>
          <w:b/>
          <w:bCs/>
        </w:rPr>
        <w:t xml:space="preserve">Fr. XIV (comercio exterior): </w:t>
      </w:r>
      <w:r>
        <w:t xml:space="preserve">se añade el despacho de mercancías que se promueva sin agente o agencia aduanal.</w:t>
      </w:r>
    </w:p>
    <w:p>
      <w:pPr>
        <w:pStyle w:val="ListParagraph"/>
        <w:numPr>
          <w:ilvl w:val="0"/>
          <w:numId w:val="2"/>
        </w:numPr>
        <w:spacing w:after="60" w:line="280"/>
      </w:pPr>
      <w:r>
        <w:rPr>
          <w:b/>
          <w:bCs/>
        </w:rPr>
        <w:t xml:space="preserve">Fr. XVI (activos virtuales): </w:t>
      </w:r>
      <w:r>
        <w:t xml:space="preserve">la identificación aplica desde el primer peso, sin umbral. El umbral (210 UMA por operación, o 4 UMA si hay comisión) solo aplica para el Aviso. El Capítulo II Bis del Reglamento sobre activos virtuales existe desde 2020; la reforma lo actualiza, no lo crea.</w:t>
      </w:r>
    </w:p>
    <w:p>
      <w:pPr>
        <w:pStyle w:val="Heading2"/>
      </w:pPr>
      <w:r>
        <w:t xml:space="preserve">D.4 Las obligaciones del sujeto obligado pasan de 6 a 12 (Art. 18)</w:t>
      </w:r>
    </w:p>
    <w:p>
      <w:pPr>
        <w:spacing w:after="120" w:before="0" w:line="286"/>
      </w:pPr>
      <w:r>
        <w:rPr>
          <w:b/>
          <w:bCs/>
        </w:rPr>
        <w:t xml:space="preserve">Modificadas. </w:t>
      </w:r>
      <w:r>
        <w:t xml:space="preserve">I, identificación directa (admite medios electrónicos y biométricos). IV, conservación 10 años, incluyendo registros, correspondencia y análisis previos, retroactiva al 17 de julio de 2025. IV Bis, alta, modificación o baja en el padrón por el portal. VI, Aviso en 24 horas ante sospecha, aunque la operación no se concrete.</w:t>
      </w:r>
    </w:p>
    <w:p>
      <w:pPr>
        <w:spacing w:after="120" w:before="0" w:line="286"/>
      </w:pPr>
      <w:r>
        <w:rPr>
          <w:b/>
          <w:bCs/>
        </w:rPr>
        <w:t xml:space="preserve">Nuevas (VII a XI).</w:t>
      </w:r>
      <w:r>
        <w:t xml:space="preserve"> VII, Enfoque Basado en Riesgos. VIII, Manual de Políticas Internas (incluye el manejo de PEP). IX, capacitación anual y selección de personal. X, monitoreo automatizado de operaciones. XI, auditoría anual (interna o externa según el riesgo). El Transitorio Segundo de la Ley fijaba 2026 como primer año de capacitación y auditoría, pero el Tercero dejó la entrada en vigor de las fracciones VII a XI a las RCG, y éstas la escalonaron: primer año de capacitación, 2027 (Trans. Séptimo); primer periodo auditado, 2028, con dictamen a más tardar el último día hábil de marzo de 2029 (Trans. Octavo y art. 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8860B" w:sz="24"/>
              <w:bottom w:val="none"/>
              <w:right w:val="none"/>
            </w:tcBorders>
            <w:shd w:fill="FBF3DD" w:val="clear"/>
            <w:tcMar>
              <w:top w:type="dxa" w:w="120"/>
              <w:left w:type="dxa" w:w="200"/>
              <w:bottom w:type="dxa" w:w="120"/>
              <w:right w:type="dxa" w:w="160"/>
            </w:tcMar>
          </w:tcPr>
          <w:p>
            <w:pPr>
              <w:spacing w:after="60"/>
            </w:pPr>
            <w:r>
              <w:rPr>
                <w:b/>
                <w:bCs/>
                <w:color w:val="B8860B"/>
                <w:sz w:val="19"/>
                <w:szCs w:val="19"/>
              </w:rPr>
              <w:t xml:space="preserve">ESTADO OPERATIVO</w:t>
            </w:r>
          </w:p>
          <w:p>
            <w:pPr>
              <w:spacing w:after="0" w:before="0" w:line="286"/>
            </w:pPr>
            <w:r>
              <w:t xml:space="preserve">Las Fracciones VII a XI ya tienen su detalle en las RCG (Acuerdo 115/2026) y entran escalonadas: evaluación de riesgo y Manual con la metodología, 1 de marzo de 2027; sistema automatizado, 1 de junio de 2027; capacitación, año 2027; auditoría, año 2028. La obligación existe desde la Ley; lo escalonado es su exigibilidad.</w:t>
            </w:r>
          </w:p>
        </w:tc>
      </w:tr>
    </w:tbl>
    <w:p>
      <w:pPr>
        <w:pStyle w:val="Heading2"/>
      </w:pPr>
      <w:r>
        <w:t xml:space="preserve">D.5 Restricciones de efectivo (Art. 32)</w:t>
      </w:r>
    </w:p>
    <w:p>
      <w:pPr>
        <w:spacing w:after="120" w:before="0" w:line="286"/>
      </w:pPr>
      <w:r>
        <w:t xml:space="preserve">Los umbrales mantienen su valor, ahora en UMA. Lo nuevo: la Fracción VIII prohíbe consignar judicialmente el pago para esquivar la restricción. La Secretaría podrá extender la prohibición a ciertos bienes fungibles vía RCG.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6FB2" w:sz="24"/>
              <w:bottom w:val="none"/>
              <w:right w:val="none"/>
            </w:tcBorders>
            <w:shd w:fill="E9F1FA" w:val="clear"/>
            <w:tcMar>
              <w:top w:type="dxa" w:w="120"/>
              <w:left w:type="dxa" w:w="200"/>
              <w:bottom w:type="dxa" w:w="120"/>
              <w:right w:type="dxa" w:w="160"/>
            </w:tcMar>
          </w:tcPr>
          <w:p>
            <w:pPr>
              <w:spacing w:after="60"/>
            </w:pPr>
            <w:r>
              <w:rPr>
                <w:b/>
                <w:bCs/>
                <w:color w:val="1F6FB2"/>
                <w:sz w:val="19"/>
                <w:szCs w:val="19"/>
              </w:rPr>
              <w:t xml:space="preserve">TRES REGLAS DISTINTAS PARA EL IVA (Reglamento, art. 6)</w:t>
            </w:r>
          </w:p>
          <w:p>
            <w:pPr>
              <w:spacing w:after="30" w:before="0" w:line="286"/>
            </w:pPr>
            <w:r>
              <w:t xml:space="preserve">Umbrales de identificación y de Aviso: NO cuentas el IVA ni los demás accesorios. Con el monto sin impuestos decides si identificas, si acumulas y si hay Aviso (art. 6, primer párrafo).</w:t>
            </w:r>
          </w:p>
          <w:p>
            <w:pPr>
              <w:spacing w:after="30" w:before="0" w:line="286"/>
            </w:pPr>
            <w:r>
              <w:t xml:space="preserve">Cifra que reportas en el Aviso: el total recibido, CON impuestos y sin desglosarlos (art. 6, primer párrafo).</w:t>
            </w:r>
          </w:p>
          <w:p>
            <w:pPr>
              <w:spacing w:after="0" w:before="0" w:line="286"/>
            </w:pPr>
            <w:r>
              <w:t xml:space="preserve">Prohibición de efectivo (Art. 32): SÍ cuentas el IVA y los accesorios (art. 6, tercer párrafo).</w:t>
            </w:r>
          </w:p>
        </w:tc>
      </w:tr>
    </w:tbl>
    <w:p>
      <w:pPr>
        <w:pStyle w:val="Heading2"/>
      </w:pPr>
      <w:r>
        <w:t xml:space="preserve">D.6 Beneficiario Controlador (Cap. IV Bis: Arts. 33 Bis, Ter y Quáter)</w:t>
      </w:r>
    </w:p>
    <w:p>
      <w:pPr>
        <w:spacing w:after="120" w:before="0" w:line="286"/>
      </w:pPr>
      <w:r>
        <w:t xml:space="preserve">Es el cambio estructural más profundo. Toda sociedad mercantil debe identificar y conservar la información de su Beneficiario Controlador, opere o no con Actividades Vulnerables.</w:t>
      </w:r>
    </w:p>
    <w:p>
      <w:pPr>
        <w:pStyle w:val="ListParagraph"/>
        <w:numPr>
          <w:ilvl w:val="0"/>
          <w:numId w:val="2"/>
        </w:numPr>
        <w:spacing w:after="60" w:line="280"/>
      </w:pPr>
      <w:r>
        <w:t xml:space="preserve">El umbral de control baja de más del 50% a </w:t>
      </w:r>
      <w:r>
        <w:rPr>
          <w:b/>
          <w:bCs/>
        </w:rPr>
        <w:t xml:space="preserve">más del 25%</w:t>
      </w:r>
      <w:r>
        <w:t xml:space="preserve"> del capital social (Art. 3 Fr. III, inciso b, subinciso ii), más el control de hecho (imponer decisiones, nombrar a la mayoría de consejeros, dirigir la estrategia). Las RCG fijan el orden de prelación y hablan de </w:t>
      </w:r>
      <w:r>
        <w:rPr>
          <w:b/>
          <w:bCs/>
        </w:rPr>
        <w:t xml:space="preserve">25% o más</w:t>
      </w:r>
      <w:r>
        <w:t xml:space="preserve"> (ver Apéndice E.6): cuide la diferencia de redacción al citar.</w:t>
      </w:r>
    </w:p>
    <w:p>
      <w:pPr>
        <w:pStyle w:val="ListParagraph"/>
        <w:numPr>
          <w:ilvl w:val="0"/>
          <w:numId w:val="2"/>
        </w:numPr>
        <w:spacing w:after="60" w:line="280"/>
      </w:pPr>
      <w:r>
        <w:rPr>
          <w:b/>
          <w:bCs/>
        </w:rPr>
        <w:t xml:space="preserve">Art. 33 Bis: </w:t>
      </w:r>
      <w:r>
        <w:t xml:space="preserve">identificar al Beneficiario Controlador y, al transmitir acciones o partes sociales, presentar Aviso de la inscripción en el libro de la sociedad mediante el sistema de la Secretaría de Economía.</w:t>
      </w:r>
    </w:p>
    <w:p>
      <w:pPr>
        <w:pStyle w:val="ListParagraph"/>
        <w:numPr>
          <w:ilvl w:val="0"/>
          <w:numId w:val="2"/>
        </w:numPr>
        <w:spacing w:after="60" w:line="280"/>
      </w:pPr>
      <w:r>
        <w:rPr>
          <w:b/>
          <w:bCs/>
        </w:rPr>
        <w:t xml:space="preserve">Art. 33 Ter: </w:t>
      </w:r>
      <w:r>
        <w:t xml:space="preserve">registrar la información del Beneficiario Controlador en el sistema electrónico. Crea, en la práctica, un registro central.</w:t>
      </w:r>
    </w:p>
    <w:p>
      <w:pPr>
        <w:pStyle w:val="ListParagraph"/>
        <w:numPr>
          <w:ilvl w:val="0"/>
          <w:numId w:val="2"/>
        </w:numPr>
        <w:spacing w:after="60" w:line="280"/>
      </w:pPr>
      <w:r>
        <w:rPr>
          <w:b/>
          <w:bCs/>
        </w:rPr>
        <w:t xml:space="preserve">Art. 33 Quáter: </w:t>
      </w:r>
      <w:r>
        <w:t xml:space="preserve">la Secretaría promoverá que las entidades federativas extiendan la obligación a sociedades y asociaciones civiles.</w:t>
      </w:r>
    </w:p>
    <w:p>
      <w:pPr>
        <w:spacing w:after="120" w:before="0" w:line="286"/>
      </w:pPr>
      <w:r>
        <w:rPr>
          <w:b/>
          <w:bCs/>
        </w:rPr>
        <w:t xml:space="preserve">Cómo recabarlo (Art. 18 Fr. III).</w:t>
      </w:r>
      <w:r>
        <w:t xml:space="preserve"> Personas morales y fideicomisos: documentos que identifiquen al BC. Personas físicas: declaración escrita sobre si existe un BC distinto, y documentación si aplica. Desde el 30 de noviembre de 2026, en persona moral y fideicomiso ya no basta la constancia de lo que declaró el cliente: hay que identificar al BC (Anexos 4, 6 y 8 de las RCG). En persona física sigue la declaración.</w:t>
      </w:r>
    </w:p>
    <w:p>
      <w:pPr>
        <w:pStyle w:val="Heading2"/>
      </w:pPr>
      <w:r>
        <w:t xml:space="preserve">D.7 Régimen sancionatorio (Cap. VII)</w:t>
      </w:r>
    </w:p>
    <w:p>
      <w:pPr>
        <w:spacing w:after="120" w:before="0" w:line="286"/>
      </w:pPr>
      <w:r>
        <w:t xml:space="preserve">Se añade una nueva Fracción V al Art. 53, que sanciona el incumplimiento de las obligaciones de Beneficiario Controlador (Arts. 33 Bis y 33 Ter) con 2,000 a 10,000 UMA. Las multas del Art. 54 se expresan ahora en UMA.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60"/>
        <w:gridCol w:w="2200"/>
        <w:gridCol w:w="3100"/>
      </w:tblGrid>
      <w:tr>
        <w:trPr>
          <w:tblHeader/>
        </w:trPr>
        <w:tc>
          <w:tcPr>
            <w:tcW w:type="dxa" w:w="406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Conducta (Art. 53)</w:t>
            </w:r>
          </w:p>
        </w:tc>
        <w:tc>
          <w:tcPr>
            <w:tcW w:type="dxa" w:w="220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Multa (UMA)</w:t>
            </w:r>
          </w:p>
        </w:tc>
        <w:tc>
          <w:tcPr>
            <w:tcW w:type="dxa" w:w="310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En pesos</w:t>
            </w:r>
          </w:p>
        </w:tc>
      </w:tr>
      <w:tr>
        <w:tc>
          <w:tcPr>
            <w:tcW w:type="dxa" w:w="40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Fr. I. No atender requerimientos</w:t>
            </w:r>
          </w:p>
        </w:tc>
        <w:tc>
          <w:tcPr>
            <w:tcW w:type="dxa" w:w="22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200 a 2,000</w:t>
            </w:r>
          </w:p>
        </w:tc>
        <w:tc>
          <w:tcPr>
            <w:tcW w:type="dxa" w:w="31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$23,462 a $234,620</w:t>
            </w:r>
          </w:p>
        </w:tc>
      </w:tr>
      <w:tr>
        <w:tc>
          <w:tcPr>
            <w:tcW w:type="dxa" w:w="40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Fr. II. Incumplir obligaciones del Art. 18</w:t>
            </w:r>
          </w:p>
        </w:tc>
        <w:tc>
          <w:tcPr>
            <w:tcW w:type="dxa" w:w="22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200 a 2,000</w:t>
            </w:r>
          </w:p>
        </w:tc>
        <w:tc>
          <w:tcPr>
            <w:tcW w:type="dxa" w:w="31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$23,462 a $234,620</w:t>
            </w:r>
          </w:p>
        </w:tc>
      </w:tr>
      <w:tr>
        <w:tc>
          <w:tcPr>
            <w:tcW w:type="dxa" w:w="40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Fr. III. Aviso tardío dentro de 30 días</w:t>
            </w:r>
          </w:p>
        </w:tc>
        <w:tc>
          <w:tcPr>
            <w:tcW w:type="dxa" w:w="22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200 a 2,000</w:t>
            </w:r>
          </w:p>
        </w:tc>
        <w:tc>
          <w:tcPr>
            <w:tcW w:type="dxa" w:w="31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$23,462 a $234,620</w:t>
            </w:r>
          </w:p>
        </w:tc>
      </w:tr>
      <w:tr>
        <w:tc>
          <w:tcPr>
            <w:tcW w:type="dxa" w:w="40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Fr. III. Extemporaneidad mayor a 30 días</w:t>
            </w:r>
          </w:p>
        </w:tc>
        <w:tc>
          <w:tcPr>
            <w:tcW w:type="dxa" w:w="22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2,000 a 10,000</w:t>
            </w:r>
          </w:p>
        </w:tc>
        <w:tc>
          <w:tcPr>
            <w:tcW w:type="dxa" w:w="31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$234,620 a $1,173,100</w:t>
            </w:r>
          </w:p>
        </w:tc>
      </w:tr>
      <w:tr>
        <w:tc>
          <w:tcPr>
            <w:tcW w:type="dxa" w:w="40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Fr. IV. Avisos sin requisitos del Art. 24</w:t>
            </w:r>
          </w:p>
        </w:tc>
        <w:tc>
          <w:tcPr>
            <w:tcW w:type="dxa" w:w="22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200 a 2,000</w:t>
            </w:r>
          </w:p>
        </w:tc>
        <w:tc>
          <w:tcPr>
            <w:tcW w:type="dxa" w:w="31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$23,462 a $234,620</w:t>
            </w:r>
          </w:p>
        </w:tc>
      </w:tr>
      <w:tr>
        <w:tc>
          <w:tcPr>
            <w:tcW w:type="dxa" w:w="40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Fr. V. Beneficiario Controlador (33 Bis/Ter)</w:t>
            </w:r>
          </w:p>
        </w:tc>
        <w:tc>
          <w:tcPr>
            <w:tcW w:type="dxa" w:w="22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2,000 a 10,000</w:t>
            </w:r>
          </w:p>
        </w:tc>
        <w:tc>
          <w:tcPr>
            <w:tcW w:type="dxa" w:w="31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$234,620 a $1,173,100</w:t>
            </w:r>
          </w:p>
        </w:tc>
      </w:tr>
      <w:tr>
        <w:tc>
          <w:tcPr>
            <w:tcW w:type="dxa" w:w="40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Fr. VI. Omitir Avisos (Art. 17)</w:t>
            </w:r>
          </w:p>
        </w:tc>
        <w:tc>
          <w:tcPr>
            <w:tcW w:type="dxa" w:w="22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10,000 a 65,000</w:t>
            </w:r>
          </w:p>
        </w:tc>
        <w:tc>
          <w:tcPr>
            <w:tcW w:type="dxa" w:w="31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$1,173,100 a $7,625,150 (o 10%-100%)</w:t>
            </w:r>
          </w:p>
        </w:tc>
      </w:tr>
      <w:tr>
        <w:tc>
          <w:tcPr>
            <w:tcW w:type="dxa" w:w="40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Fr. VII. Operaciones prohibidas (Art. 32)</w:t>
            </w:r>
          </w:p>
        </w:tc>
        <w:tc>
          <w:tcPr>
            <w:tcW w:type="dxa" w:w="22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10,000 a 65,000</w:t>
            </w:r>
          </w:p>
        </w:tc>
        <w:tc>
          <w:tcPr>
            <w:tcW w:type="dxa" w:w="31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$1,173,100 a $7,625,150 (o 10%-100%)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1272D" w:sz="24"/>
              <w:bottom w:val="none"/>
              <w:right w:val="none"/>
            </w:tcBorders>
            <w:shd w:fill="FBEAE8" w:val="clear"/>
            <w:tcMar>
              <w:top w:type="dxa" w:w="120"/>
              <w:left w:type="dxa" w:w="200"/>
              <w:bottom w:type="dxa" w:w="120"/>
              <w:right w:type="dxa" w:w="160"/>
            </w:tcMar>
          </w:tcPr>
          <w:p>
            <w:pPr>
              <w:spacing w:after="60"/>
            </w:pPr>
            <w:r>
              <w:rPr>
                <w:b/>
                <w:bCs/>
                <w:color w:val="C1272D"/>
                <w:sz w:val="19"/>
                <w:szCs w:val="19"/>
              </w:rPr>
              <w:t xml:space="preserve">LA FRONTERA DE LOS 30 DÍAS</w:t>
            </w:r>
          </w:p>
          <w:p>
            <w:pPr>
              <w:spacing w:after="0" w:before="0" w:line="286"/>
            </w:pPr>
            <w:r>
              <w:t xml:space="preserve">Es la línea más cara del régimen. Aviso tardío dentro de 30 días: piso de $23,462. Si excede 30 días, el piso salta a $234,620: se multiplica por 10.</w:t>
            </w:r>
          </w:p>
        </w:tc>
      </w:tr>
    </w:tbl>
    <w:p>
      <w:pPr>
        <w:pStyle w:val="Heading3"/>
      </w:pPr>
      <w:r>
        <w:t xml:space="preserve">Pérdida de permisos, habilitaciones y patentes (Arts. 56 a 59)</w:t>
      </w:r>
    </w:p>
    <w:p>
      <w:pPr>
        <w:spacing w:after="120" w:before="0" w:line="286"/>
      </w:pPr>
      <w:r>
        <w:t xml:space="preserve">Además de la multa, la Ley prevé consecuencias sobre la autorización para operar. Las causales son la reincidencia en las conductas del Art. 53 fracciones I a IV (en notarios, I a V) o cualquiera de las conductas de las fracciones VI y VII (omitir Avisos y operar en efectivo prohibido):</w:t>
      </w:r>
    </w:p>
    <w:p>
      <w:pPr>
        <w:pStyle w:val="ListParagraph"/>
        <w:numPr>
          <w:ilvl w:val="0"/>
          <w:numId w:val="2"/>
        </w:numPr>
        <w:spacing w:after="60" w:line="280"/>
      </w:pPr>
      <w:r>
        <w:rPr>
          <w:b/>
          <w:bCs/>
        </w:rPr>
        <w:t xml:space="preserve">Art. 56.</w:t>
      </w:r>
      <w:r>
        <w:t xml:space="preserve"> Revocación de permisos o autorizaciones a quienes realizan las fracciones I (juegos con apuesta), IX (blindaje) y X (traslado y custodia de valores). La Secretaría informa a la autoridad competente.</w:t>
      </w:r>
    </w:p>
    <w:p>
      <w:pPr>
        <w:pStyle w:val="ListParagraph"/>
        <w:numPr>
          <w:ilvl w:val="0"/>
          <w:numId w:val="2"/>
        </w:numPr>
        <w:spacing w:after="60" w:line="280"/>
      </w:pPr>
      <w:r>
        <w:rPr>
          <w:b/>
          <w:bCs/>
        </w:rPr>
        <w:t xml:space="preserve">Art. 57.</w:t>
      </w:r>
      <w:r>
        <w:t xml:space="preserve"> Cancelación definitiva de la habilitación del corredor público, por reincidencia en el Art. 53 fracciones I a IV. La Secretaría de Economía tiene diez días hábiles para cancelarla una vez firme la sanción.</w:t>
      </w:r>
    </w:p>
    <w:p>
      <w:pPr>
        <w:pStyle w:val="ListParagraph"/>
        <w:numPr>
          <w:ilvl w:val="0"/>
          <w:numId w:val="2"/>
        </w:numPr>
        <w:spacing w:after="60" w:line="280"/>
      </w:pPr>
      <w:r>
        <w:rPr>
          <w:b/>
          <w:bCs/>
        </w:rPr>
        <w:t xml:space="preserve">Art. 58.</w:t>
      </w:r>
      <w:r>
        <w:t xml:space="preserve"> Notarios y corredores: si incurren en notorias deficiencias, la Secretaría informa a la autoridad que supervisa la fe pública para que instaure el procedimiento sancionador.</w:t>
      </w:r>
    </w:p>
    <w:p>
      <w:pPr>
        <w:pStyle w:val="ListParagraph"/>
        <w:numPr>
          <w:ilvl w:val="0"/>
          <w:numId w:val="2"/>
        </w:numPr>
        <w:spacing w:after="60" w:line="280"/>
      </w:pPr>
      <w:r>
        <w:rPr>
          <w:b/>
          <w:bCs/>
        </w:rPr>
        <w:t xml:space="preserve">Art. 59.</w:t>
      </w:r>
      <w:r>
        <w:t xml:space="preserve"> Cancelación de la autorización de agentes, apoderados y agencias aduanales, y de quien promueve el despacho sin agente, con informe a la autoridad aduanera.</w:t>
      </w:r>
    </w:p>
    <w:p>
      <w:pPr>
        <w:pStyle w:val="Heading3"/>
      </w:pPr>
      <w:r>
        <w:t xml:space="preserve">La zona gris del Art. 53 Fr. III</w:t>
      </w:r>
    </w:p>
    <w:p>
      <w:pPr>
        <w:spacing w:after="120" w:before="0" w:line="286"/>
      </w:pPr>
      <w:r>
        <w:t xml:space="preserve">El segundo párrafo de la Fracción III dice que, si la extemporaneidad excede 30 días, se aplicará la sanción 'para el caso de omisión' del Art. 54 Fr. II. El problema: la 'omisión' propiamente dicha tiene una sanción más alta (Art. 54 Fr. III: 10,000 a 65,000 UMA), pero la remisión numérica expresa apunta a la Fr. II (2,000 a 10,000 UMA). Difieren hasta 6.5 veces.</w:t>
      </w:r>
    </w:p>
    <w:p>
      <w:pPr>
        <w:pStyle w:val="ListParagraph"/>
        <w:numPr>
          <w:ilvl w:val="0"/>
          <w:numId w:val="2"/>
        </w:numPr>
        <w:spacing w:after="60" w:line="280"/>
      </w:pPr>
      <w:r>
        <w:rPr>
          <w:b/>
          <w:bCs/>
        </w:rPr>
        <w:t xml:space="preserve">Lectura A (la más sólida): </w:t>
      </w:r>
      <w:r>
        <w:t xml:space="preserve">2,000 a 10,000 UMA. Toma como vinculante la remisión numérica expresa.</w:t>
      </w:r>
    </w:p>
    <w:p>
      <w:pPr>
        <w:pStyle w:val="ListParagraph"/>
        <w:numPr>
          <w:ilvl w:val="0"/>
          <w:numId w:val="2"/>
        </w:numPr>
        <w:spacing w:after="60" w:line="280"/>
      </w:pPr>
      <w:r>
        <w:rPr>
          <w:b/>
          <w:bCs/>
        </w:rPr>
        <w:t xml:space="preserve">Lectura B: </w:t>
      </w:r>
      <w:r>
        <w:t xml:space="preserve">10,000 a 65,000 UMA. Toma la calificación conceptual 'omisión'; solo defendible si hay fe de erratas.</w:t>
      </w:r>
    </w:p>
    <w:p>
      <w:pPr>
        <w:spacing w:after="120" w:before="0" w:line="286"/>
      </w:pPr>
      <w:r>
        <w:t xml:space="preserve">Tres argumentos sostienen la Lectura A: tipicidad (lo específico prevalece), pro persona (ante duda, la más favorable) e interpretación sistemática (el legislador citó expresamente la Fr. II). El Reglamento no aclara el conflicto. Si el SAT aplica la Lectura B, hay defensa técnica vía recurso de revisión (Art. 61) o juicio ante el Tribunal Federal de Justicia Administrativa.</w:t>
      </w:r>
    </w:p>
    <w:p>
      <w:pPr>
        <w:spacing w:after="120" w:before="0" w:line="286"/>
      </w:pPr>
      <w:r>
        <w:rPr>
          <w:b/>
          <w:bCs/>
        </w:rPr>
        <w:t xml:space="preserve">Otras herramientas. </w:t>
      </w:r>
      <w:r>
        <w:t xml:space="preserve">Suspensión temporal de operaciones con un cliente (Art. 54 Bis). Los delitos por falsedad o alteración admiten comisión culposa (Art. 62), salvo corrección espontánea antes de que la autoridad lo sepa. La SHCP es víctima en los delitos de operaciones con recursos de procedencia ilícita (Art. 400 Bis del Código Penal Federal).</w:t>
      </w:r>
    </w:p>
    <w:p>
      <w:pPr>
        <w:pStyle w:val="Heading2"/>
      </w:pPr>
      <w:r>
        <w:t xml:space="preserve">D.8 Facultades de las autoridades</w:t>
      </w:r>
    </w:p>
    <w:p>
      <w:pPr>
        <w:pStyle w:val="ListParagraph"/>
        <w:numPr>
          <w:ilvl w:val="0"/>
          <w:numId w:val="2"/>
        </w:numPr>
        <w:spacing w:after="60" w:line="280"/>
      </w:pPr>
      <w:r>
        <w:rPr>
          <w:b/>
          <w:bCs/>
        </w:rPr>
        <w:t xml:space="preserve">SHCP (Arts. 5 y 6): </w:t>
      </w:r>
      <w:r>
        <w:t xml:space="preserve">facultad expresa de interpretar la Ley, su Reglamento y las RCG; fijar requisitos de alta y registro; coordinarse con seguridad (SSPC y Guardia Nacional); exigir trato reforzado para países de mayor riesgo; y fungir como enlace internacional.</w:t>
      </w:r>
    </w:p>
    <w:p>
      <w:pPr>
        <w:pStyle w:val="ListParagraph"/>
        <w:numPr>
          <w:ilvl w:val="0"/>
          <w:numId w:val="2"/>
        </w:numPr>
        <w:spacing w:after="60" w:line="280"/>
      </w:pPr>
      <w:r>
        <w:rPr>
          <w:b/>
          <w:bCs/>
        </w:rPr>
        <w:t xml:space="preserve">Unidad de Inteligencia Financiera (Art. 8): </w:t>
      </w:r>
      <w:r>
        <w:t xml:space="preserve">desarrolla herramientas de inteligencia sobre estructuras financieras del crimen organizado. Transición de la denuncia a la inteligencia financiera.</w:t>
      </w:r>
    </w:p>
    <w:p>
      <w:pPr>
        <w:pStyle w:val="ListParagraph"/>
        <w:numPr>
          <w:ilvl w:val="0"/>
          <w:numId w:val="2"/>
        </w:numPr>
        <w:spacing w:after="60" w:line="280"/>
      </w:pPr>
      <w:r>
        <w:rPr>
          <w:b/>
          <w:bCs/>
        </w:rPr>
        <w:t xml:space="preserve">Comprobación (Art. 34): </w:t>
      </w:r>
      <w:r>
        <w:t xml:space="preserve">visitas de verificación y requerimientos de información, documentación, datos e imágenes relacionados con las Actividades Vulnerables.</w:t>
      </w:r>
    </w:p>
    <w:p>
      <w:pPr>
        <w:pStyle w:val="ListParagraph"/>
        <w:numPr>
          <w:ilvl w:val="0"/>
          <w:numId w:val="2"/>
        </w:numPr>
        <w:spacing w:after="60" w:line="280"/>
      </w:pPr>
      <w:r>
        <w:rPr>
          <w:b/>
          <w:bCs/>
        </w:rPr>
        <w:t xml:space="preserve">Protección de identidad (Art. 41 Bis): </w:t>
      </w:r>
      <w:r>
        <w:t xml:space="preserve">el oficial de cumplimiento puede comparecer por medio de los representantes de la entidad.</w:t>
      </w:r>
    </w:p>
    <w:p>
      <w:pPr>
        <w:pStyle w:val="ListParagraph"/>
        <w:numPr>
          <w:ilvl w:val="0"/>
          <w:numId w:val="2"/>
        </w:numPr>
        <w:spacing w:after="60" w:line="280"/>
      </w:pPr>
      <w:r>
        <w:rPr>
          <w:b/>
          <w:bCs/>
        </w:rPr>
        <w:t xml:space="preserve">Lista PEP (Art. 51 Ter): </w:t>
      </w:r>
      <w:r>
        <w:t xml:space="preserve">la Secretaría mantendrá un listado de cargos considerados PEP. No se ha actualizado de forma pública desde 2020: la ausencia de un cargo no exime de identificar al cliente como PEP.</w:t>
      </w:r>
    </w:p>
    <w:p>
      <w:pPr>
        <w:pStyle w:val="Heading2"/>
      </w:pPr>
      <w:r>
        <w:t xml:space="preserve">D.9 La reforma al Reglamento (marzo 2026)</w:t>
      </w:r>
    </w:p>
    <w:p>
      <w:pPr>
        <w:spacing w:after="120" w:before="0" w:line="286"/>
      </w:pPr>
      <w:r>
        <w:t xml:space="preserve">El Decreto del 27 de marzo de 2026 modificó 44 artículos, adicionó 15 y derogó 5 fracciones. Tres ejes: facultades fortalecidas del SAT y la UIF; obligaciones más estrictas y mejor delimitadas; y un nuevo Capítulo Sexto Bis dedicado a PEP.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60"/>
        <w:gridCol w:w="3500"/>
      </w:tblGrid>
      <w:tr>
        <w:trPr>
          <w:tblHeader/>
        </w:trPr>
        <w:tc>
          <w:tcPr>
            <w:tcW w:type="dxa" w:w="150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Artículo</w:t>
            </w:r>
          </w:p>
        </w:tc>
        <w:tc>
          <w:tcPr>
            <w:tcW w:type="dxa" w:w="436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Cambio principal</w:t>
            </w:r>
          </w:p>
        </w:tc>
        <w:tc>
          <w:tcPr>
            <w:tcW w:type="dxa" w:w="350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Qué hacer</w:t>
            </w:r>
          </w:p>
        </w:tc>
      </w:tr>
      <w:tr>
        <w:tc>
          <w:tcPr>
            <w:tcW w:type="dxa" w:w="15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Art. 4</w:t>
            </w:r>
          </w:p>
        </w:tc>
        <w:tc>
          <w:tcPr>
            <w:tcW w:type="dxa" w:w="43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Visitas sin previo aviso; RFC y SPPLD independientes; fuerza pública.</w:t>
            </w:r>
          </w:p>
        </w:tc>
        <w:tc>
          <w:tcPr>
            <w:tcW w:type="dxa" w:w="35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Mantener domicilio actualizado en ambos sistemas y quien atienda.</w:t>
            </w:r>
          </w:p>
        </w:tc>
      </w:tr>
      <w:tr>
        <w:tc>
          <w:tcPr>
            <w:tcW w:type="dxa" w:w="15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Art. 8</w:t>
            </w:r>
          </w:p>
        </w:tc>
        <w:tc>
          <w:tcPr>
            <w:tcW w:type="dxa" w:w="43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Requerimiento: 10 días; sanción directa si se omite.</w:t>
            </w:r>
          </w:p>
        </w:tc>
        <w:tc>
          <w:tcPr>
            <w:tcW w:type="dxa" w:w="35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Tener expedientes listos; responsable de respuesta inmediata.</w:t>
            </w:r>
          </w:p>
        </w:tc>
      </w:tr>
      <w:tr>
        <w:tc>
          <w:tcPr>
            <w:tcW w:type="dxa" w:w="15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Art. 9</w:t>
            </w:r>
          </w:p>
        </w:tc>
        <w:tc>
          <w:tcPr>
            <w:tcW w:type="dxa" w:w="43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Procedimiento exprés: oficio + 5 días para desvirtuar.</w:t>
            </w:r>
          </w:p>
        </w:tc>
        <w:tc>
          <w:tcPr>
            <w:tcW w:type="dxa" w:w="35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Organización documental previa para reaccionar a tiempo.</w:t>
            </w:r>
          </w:p>
        </w:tc>
      </w:tr>
      <w:tr>
        <w:tc>
          <w:tcPr>
            <w:tcW w:type="dxa" w:w="15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Art. 7 Bis</w:t>
            </w:r>
          </w:p>
        </w:tc>
        <w:tc>
          <w:tcPr>
            <w:tcW w:type="dxa" w:w="43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Aviso de 24 h aunque no se concrete. Supuestos ya en RCG 26 Bis a 26 Bis 2.</w:t>
            </w:r>
          </w:p>
        </w:tc>
        <w:tc>
          <w:tcPr>
            <w:tcW w:type="dxa" w:w="35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Registro interno de intentos desde hoy; envío seis meses después del formato oficial (RCG Trans. Quinto).</w:t>
            </w:r>
          </w:p>
        </w:tc>
      </w:tr>
      <w:tr>
        <w:tc>
          <w:tcPr>
            <w:tcW w:type="dxa" w:w="15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Art. 10 Bis</w:t>
            </w:r>
          </w:p>
        </w:tc>
        <w:tc>
          <w:tcPr>
            <w:tcW w:type="dxa" w:w="43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CFDI y bases del SAT como prueba plena.</w:t>
            </w:r>
          </w:p>
        </w:tc>
        <w:tc>
          <w:tcPr>
            <w:tcW w:type="dxa" w:w="35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Cuadrar montos de CFDI con Avisos; trazabilidad total.</w:t>
            </w:r>
          </w:p>
        </w:tc>
      </w:tr>
      <w:tr>
        <w:tc>
          <w:tcPr>
            <w:tcW w:type="dxa" w:w="15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Art. 12 Bis</w:t>
            </w:r>
          </w:p>
        </w:tc>
        <w:tc>
          <w:tcPr>
            <w:tcW w:type="dxa" w:w="43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Obtener y conservar el dictamen de auditoría.</w:t>
            </w:r>
          </w:p>
        </w:tc>
        <w:tc>
          <w:tcPr>
            <w:tcW w:type="dxa" w:w="35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Primer periodo auditado: 2028 (RCG Trans. Octavo). Dictamen a más tardar el último día hábil de marzo de 2029 (RCG 50).</w:t>
            </w:r>
          </w:p>
        </w:tc>
      </w:tr>
      <w:tr>
        <w:tc>
          <w:tcPr>
            <w:tcW w:type="dxa" w:w="15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Art. 20</w:t>
            </w:r>
          </w:p>
        </w:tc>
        <w:tc>
          <w:tcPr>
            <w:tcW w:type="dxa" w:w="43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Conservación 10 años, retroactiva a jul 2025.</w:t>
            </w:r>
          </w:p>
        </w:tc>
        <w:tc>
          <w:tcPr>
            <w:tcW w:type="dxa" w:w="35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Inventario de expedientes desde julio de 2025.</w:t>
            </w:r>
          </w:p>
        </w:tc>
      </w:tr>
      <w:tr>
        <w:tc>
          <w:tcPr>
            <w:tcW w:type="dxa" w:w="15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Art. 55 Bis</w:t>
            </w:r>
          </w:p>
        </w:tc>
        <w:tc>
          <w:tcPr>
            <w:tcW w:type="dxa" w:w="43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Autocorrección: 1ª vez sin sanción; 2ª con hasta 50% menos.</w:t>
            </w:r>
          </w:p>
        </w:tc>
        <w:tc>
          <w:tcPr>
            <w:tcW w:type="dxa" w:w="35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Aprovechar antes de cualquier visita o requerimiento.</w:t>
            </w:r>
          </w:p>
        </w:tc>
      </w:tr>
    </w:tbl>
    <w:p>
      <w:pPr>
        <w:pStyle w:val="Heading3"/>
      </w:pPr>
      <w:r>
        <w:t xml:space="preserve">Art. 4 — La trampa de los dos sistemas</w:t>
      </w:r>
    </w:p>
    <w:p>
      <w:pPr>
        <w:spacing w:after="120" w:before="0" w:line="286"/>
      </w:pPr>
      <w:r>
        <w:t xml:space="preserve">Las visitas pueden iniciar sin previo aviso. Si no te localizan en el domicilio del SPPLD, la autoridad puede ir al que tienes en el RFC (Reglamento, art. 4 fr. III). El RFC y el SPPLD son independientes: actualizar uno no actualiza el otro. Verifica que coincidan. Aparte, no ser localizable en tu domicilio fiscal tiene consecuencias propias en el Código Fiscal de la Federación, entre ellas la restricción temporal de los sellos digitales. Las notificaciones electrónicas tienen validez plena.</w:t>
      </w:r>
    </w:p>
    <w:p>
      <w:pPr>
        <w:pStyle w:val="Heading3"/>
      </w:pPr>
      <w:r>
        <w:t xml:space="preserve">Art. 10 Bis — CFDI como prueba plena</w:t>
      </w:r>
    </w:p>
    <w:p>
      <w:pPr>
        <w:spacing w:after="120" w:before="0" w:line="286"/>
      </w:pPr>
      <w:r>
        <w:t xml:space="preserve">El SAT puede usar tus CFDI y sus bases como prueba plena en tu contra, sin corroboración adicional, y sin notificarte qué bases consultó cuando la información proviene de ti mismo. Protégete con consistencia entre CFDI y Avisos y con trazabilidad de cada operación: del contrato firmado al pago final, pasando por factura, comprobante, conciliación, Aviso y acuse.</w:t>
      </w:r>
    </w:p>
    <w:p>
      <w:pPr>
        <w:pStyle w:val="Heading2"/>
      </w:pPr>
      <w:r>
        <w:t xml:space="preserve">D.10 Distinción crítica: Art. 8 vs Art. 9 del Reglamento</w:t>
      </w:r>
    </w:p>
    <w:p>
      <w:pPr>
        <w:spacing w:after="120" w:before="0" w:line="286"/>
      </w:pPr>
      <w:r>
        <w:t xml:space="preserve">El Art. 8 (omisión pura) sanciona directo, sin procedimiento previo. El Art. 9 (respuesta deficiente) abre un oficio circunstanciado con 5 días hábiles para desvirtuar.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960"/>
      </w:tblGrid>
      <w:tr>
        <w:trPr>
          <w:tblHeader/>
        </w:trPr>
        <w:tc>
          <w:tcPr>
            <w:tcW w:type="dxa" w:w="190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Aspecto</w:t>
            </w:r>
          </w:p>
        </w:tc>
        <w:tc>
          <w:tcPr>
            <w:tcW w:type="dxa" w:w="350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Art. 8 — Omisión</w:t>
            </w:r>
          </w:p>
        </w:tc>
        <w:tc>
          <w:tcPr>
            <w:tcW w:type="dxa" w:w="396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Art. 9 — Respuesta deficiente</w:t>
            </w:r>
          </w:p>
        </w:tc>
      </w:tr>
      <w:tr>
        <w:tc>
          <w:tcPr>
            <w:tcW w:type="dxa" w:w="19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Conducta</w:t>
            </w:r>
          </w:p>
        </w:tc>
        <w:tc>
          <w:tcPr>
            <w:tcW w:type="dxa" w:w="35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No atender el requerimiento.</w:t>
            </w:r>
          </w:p>
        </w:tc>
        <w:tc>
          <w:tcPr>
            <w:tcW w:type="dxa" w:w="39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Responder, pero incompleto o erróneo.</w:t>
            </w:r>
          </w:p>
        </w:tc>
      </w:tr>
      <w:tr>
        <w:tc>
          <w:tcPr>
            <w:tcW w:type="dxa" w:w="19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Plazo de respuesta</w:t>
            </w:r>
          </w:p>
        </w:tc>
        <w:tc>
          <w:tcPr>
            <w:tcW w:type="dxa" w:w="35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10 días hábiles (prórroga de 5).</w:t>
            </w:r>
          </w:p>
        </w:tc>
        <w:tc>
          <w:tcPr>
            <w:tcW w:type="dxa" w:w="39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10 días hábiles (prórroga de 5).</w:t>
            </w:r>
          </w:p>
        </w:tc>
      </w:tr>
      <w:tr>
        <w:tc>
          <w:tcPr>
            <w:tcW w:type="dxa" w:w="19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Oficio circunstanciado</w:t>
            </w:r>
          </w:p>
        </w:tc>
        <w:tc>
          <w:tcPr>
            <w:tcW w:type="dxa" w:w="35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No procede; sanción directa.</w:t>
            </w:r>
          </w:p>
        </w:tc>
        <w:tc>
          <w:tcPr>
            <w:tcW w:type="dxa" w:w="39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Sí; el SAT lo emite en 10 días.</w:t>
            </w:r>
          </w:p>
        </w:tc>
      </w:tr>
      <w:tr>
        <w:tc>
          <w:tcPr>
            <w:tcW w:type="dxa" w:w="19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Ventana defensiva</w:t>
            </w:r>
          </w:p>
        </w:tc>
        <w:tc>
          <w:tcPr>
            <w:tcW w:type="dxa" w:w="35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Cero en sede administrativa.</w:t>
            </w:r>
          </w:p>
        </w:tc>
        <w:tc>
          <w:tcPr>
            <w:tcW w:type="dxa" w:w="39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5 días hábiles para desvirtuar.</w:t>
            </w:r>
          </w:p>
        </w:tc>
      </w:tr>
      <w:tr>
        <w:tc>
          <w:tcPr>
            <w:tcW w:type="dxa" w:w="19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Estrategia</w:t>
            </w:r>
          </w:p>
        </w:tc>
        <w:tc>
          <w:tcPr>
            <w:tcW w:type="dxa" w:w="35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Contenciosa (recurso o TFJA).</w:t>
            </w:r>
          </w:p>
        </w:tc>
        <w:tc>
          <w:tcPr>
            <w:tcW w:type="dxa" w:w="39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Administrativa: completar y desvirtuar.</w:t>
            </w:r>
          </w:p>
        </w:tc>
      </w:tr>
    </w:tbl>
    <w:p>
      <w:pPr>
        <w:spacing w:after="120" w:before="0" w:line="286"/>
      </w:pPr>
      <w:r>
        <w:t xml:space="preserve">Efecto contraintuitivo: al que contesta mal se le da ventana; al que no contesta, ninguna. Nunca ignores un requerimiento.</w:t>
      </w:r>
    </w:p>
    <w:p>
      <w:pPr>
        <w:pStyle w:val="Heading2"/>
      </w:pPr>
      <w:r>
        <w:t xml:space="preserve">D.11 Autocorrección (Arts. 55 Ley y 55 Bis Reglamento)</w:t>
      </w:r>
    </w:p>
    <w:p>
      <w:pPr>
        <w:spacing w:after="120" w:before="0" w:line="286"/>
      </w:pPr>
      <w:r>
        <w:rPr>
          <w:b/>
          <w:bCs/>
        </w:rPr>
        <w:t xml:space="preserve">Dos escenarios. </w:t>
      </w:r>
      <w:r>
        <w:t xml:space="preserve">Primero: abstención total de sanción, por única ocasión, si cumples espontáneamente antes del inicio de las facultades de verificación y reconoces la falta dentro del plazo inicial. Segundo: si ya usaste el beneficio antes, reducción de hasta 50% de la multa por lo que regularices de forma espontánea y previa.</w:t>
      </w:r>
    </w:p>
    <w:p>
      <w:pPr>
        <w:spacing w:after="120" w:before="0" w:line="286"/>
      </w:pPr>
      <w:r>
        <w:rPr>
          <w:b/>
          <w:bCs/>
        </w:rPr>
        <w:t xml:space="preserve">El escrito (Art. 55 Bis Reglamento) debe: </w:t>
      </w:r>
      <w:r>
        <w:t xml:space="preserve">ir firmado por el sujeto obligado o su representante (con documento que lo acredite); especificar la totalidad de las faltas, con operación y periodo; manifestar bajo protesta de decir verdad que se corrigieron todas; y anexar la documentación que lo acredite. Se presenta dentro del plazo inicial (Arts. 68 o 72 de la LFPA).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1272D" w:sz="24"/>
              <w:bottom w:val="none"/>
              <w:right w:val="none"/>
            </w:tcBorders>
            <w:shd w:fill="FBEAE8" w:val="clear"/>
            <w:tcMar>
              <w:top w:type="dxa" w:w="120"/>
              <w:left w:type="dxa" w:w="200"/>
              <w:bottom w:type="dxa" w:w="120"/>
              <w:right w:type="dxa" w:w="160"/>
            </w:tcMar>
          </w:tcPr>
          <w:p>
            <w:pPr>
              <w:spacing w:after="60"/>
            </w:pPr>
            <w:r>
              <w:rPr>
                <w:b/>
                <w:bCs/>
                <w:color w:val="C1272D"/>
                <w:sz w:val="19"/>
                <w:szCs w:val="19"/>
              </w:rPr>
              <w:t xml:space="preserve">ESPADA DE DOBLE FILO</w:t>
            </w:r>
          </w:p>
          <w:p>
            <w:pPr>
              <w:spacing w:after="0" w:before="0" w:line="286"/>
            </w:pPr>
            <w:r>
              <w:t xml:space="preserve">Mal invocada, solo sirve para confesar. Si omites una falta, pierdes el beneficio. Si ya hay acto de autoridad, ya no aplica la abstención. Revisa el supuesto antes de presentar el escrito.</w:t>
            </w:r>
          </w:p>
        </w:tc>
      </w:tr>
    </w:tbl>
    <w:p>
      <w:pPr>
        <w:pStyle w:val="Heading2"/>
      </w:pPr>
      <w:r>
        <w:t xml:space="preserve">D.12 Personas Políticamente Expuestas (Cap. Sexto Bis del Reglamento)</w:t>
      </w:r>
    </w:p>
    <w:p>
      <w:pPr>
        <w:spacing w:after="120" w:before="0" w:line="286"/>
      </w:pPr>
      <w:r>
        <w:t xml:space="preserve">El Decreto adiciona los Arts. 45 Bis a 45 Quinquies, que regulan por primera vez con detalle la integración, consulta y debida diligencia respecto de PEP.</w:t>
      </w:r>
    </w:p>
    <w:p>
      <w:pPr>
        <w:pStyle w:val="ListParagraph"/>
        <w:numPr>
          <w:ilvl w:val="0"/>
          <w:numId w:val="2"/>
        </w:numPr>
        <w:spacing w:after="60" w:line="280"/>
      </w:pPr>
      <w:r>
        <w:rPr>
          <w:b/>
          <w:bCs/>
        </w:rPr>
        <w:t xml:space="preserve">Art. 45 Bis: </w:t>
      </w:r>
      <w:r>
        <w:t xml:space="preserve">la UIF integra y administra la lista oficial de PEP.</w:t>
      </w:r>
    </w:p>
    <w:p>
      <w:pPr>
        <w:pStyle w:val="ListParagraph"/>
        <w:numPr>
          <w:ilvl w:val="0"/>
          <w:numId w:val="2"/>
        </w:numPr>
        <w:spacing w:after="60" w:line="280"/>
      </w:pPr>
      <w:r>
        <w:rPr>
          <w:b/>
          <w:bCs/>
        </w:rPr>
        <w:t xml:space="preserve">Art. 45 Ter: </w:t>
      </w:r>
      <w:r>
        <w:t xml:space="preserve">si tras identificar al cliente no se puede determinar si es PEP, se podrá consultar a la UIF por medio electrónico.</w:t>
      </w:r>
    </w:p>
    <w:p>
      <w:pPr>
        <w:pStyle w:val="ListParagraph"/>
        <w:numPr>
          <w:ilvl w:val="0"/>
          <w:numId w:val="2"/>
        </w:numPr>
        <w:spacing w:after="60" w:line="280"/>
      </w:pPr>
      <w:r>
        <w:rPr>
          <w:b/>
          <w:bCs/>
        </w:rPr>
        <w:t xml:space="preserve">Art. 45 Quáter:</w:t>
      </w:r>
      <w:r>
        <w:t xml:space="preserve"> el procedimiento técnico de la consulta lo fijaron las RCG: aplicación Consulta PEP 2.0 de la UIF, con e.firma (RCG 23 Quáter 1), disponible nueve meses después de su entrada en vigor (Trans. Décimo).</w:t>
      </w:r>
    </w:p>
    <w:p>
      <w:pPr>
        <w:pStyle w:val="ListParagraph"/>
        <w:numPr>
          <w:ilvl w:val="0"/>
          <w:numId w:val="2"/>
        </w:numPr>
        <w:spacing w:after="60" w:line="280"/>
      </w:pPr>
      <w:r>
        <w:rPr>
          <w:b/>
          <w:bCs/>
        </w:rPr>
        <w:t xml:space="preserve">Art. 45 Quinquies: </w:t>
      </w:r>
      <w:r>
        <w:t xml:space="preserve">las autoridades remiten y actualizan la información de cargos dentro de 5 días hábiles.</w:t>
      </w:r>
    </w:p>
    <w:p>
      <w:pPr>
        <w:spacing w:after="120" w:before="0" w:line="286"/>
      </w:pPr>
      <w:r>
        <w:rPr>
          <w:b/>
          <w:bCs/>
        </w:rPr>
        <w:t xml:space="preserve">La condición de PEP nace de la función, no del listado. </w:t>
      </w:r>
      <w:r>
        <w:t xml:space="preserve">La lista oficial no se actualiza desde 2020; un cargo ausente no exime de tratar al cliente como PEP.</w:t>
      </w:r>
    </w:p>
    <w:p>
      <w:pPr>
        <w:spacing w:after="120" w:before="0" w:line="286"/>
      </w:pPr>
      <w:r>
        <w:rPr>
          <w:b/>
          <w:bCs/>
        </w:rPr>
        <w:t xml:space="preserve">Debida Diligencia Reforzada (DDR).</w:t>
      </w:r>
      <w:r>
        <w:t xml:space="preserve"> Con las RCG queda así. A todo cliente de riesgo alto: más información sobre su actividad, monitoreo más estricto y cuestionario sobre el origen y destino de los recursos, que puede ser digital con firma electrónica (23 Ter 3); medidas reforzadas sobre el origen y destino, datos del cónyuge, dependientes y sociedades con vínculos patrimoniales o, en personas morales, de sus principales accionistas con consulta a la Secretaría de Economía (23 Ter 4). La aprobación de un directivo se exige cuando el cliente es PEP y, además, de riesgo alto (23 Ter 5). La PEP extranjera es de riesgo alto por regla (23 Bis 4); la PEP mexicana se califica con factores adicionales que revisen si su comportamiento cuadra con sus ingresos, funciones y nivel (23 Bis 3). Se asimilan a PEP el cónyuge, concubinos, parientes hasta segundo grado y socios (23 Quáter).</w:t>
      </w:r>
    </w:p>
    <w:p>
      <w:pPr>
        <w:pStyle w:val="Heading3"/>
      </w:pPr>
      <w:r>
        <w:t xml:space="preserve">Procedimiento de cuatro pasos (mientras abre la Consulta PEP 2.0)</w:t>
      </w:r>
    </w:p>
    <w:p>
      <w:pPr>
        <w:pStyle w:val="ListParagraph"/>
        <w:numPr>
          <w:ilvl w:val="0"/>
          <w:numId w:val="10"/>
        </w:numPr>
        <w:spacing w:after="80" w:line="280"/>
      </w:pPr>
      <w:r>
        <w:t xml:space="preserve">Cuestionario al alta: preguntar por escrito si ocupa o ha ocupado cargo público, o si es familiar o socio de quien lo ocupe.</w:t>
      </w:r>
    </w:p>
    <w:p>
      <w:pPr>
        <w:pStyle w:val="ListParagraph"/>
        <w:numPr>
          <w:ilvl w:val="0"/>
          <w:numId w:val="10"/>
        </w:numPr>
        <w:spacing w:after="80" w:line="280"/>
      </w:pPr>
      <w:r>
        <w:t xml:space="preserve">Búsqueda en tres fuentes: lista oficial de la UIF, proveedor comercial especializado y Plataforma Nacional de Transparencia. Documentar fecha, fuente y resultado.</w:t>
      </w:r>
    </w:p>
    <w:p>
      <w:pPr>
        <w:pStyle w:val="ListParagraph"/>
        <w:numPr>
          <w:ilvl w:val="0"/>
          <w:numId w:val="10"/>
        </w:numPr>
        <w:spacing w:after="80" w:line="280"/>
      </w:pPr>
      <w:r>
        <w:t xml:space="preserve">Resolver la duda razonable y dejar constancia.</w:t>
      </w:r>
    </w:p>
    <w:p>
      <w:pPr>
        <w:pStyle w:val="ListParagraph"/>
        <w:numPr>
          <w:ilvl w:val="0"/>
          <w:numId w:val="10"/>
        </w:numPr>
        <w:spacing w:after="80" w:line="280"/>
      </w:pPr>
      <w:r>
        <w:t xml:space="preserve">Si se confirma PEP, calificar su grado de riesgo; si resulta alto, aplicar la DDR de las RCG (incluida la aprobación de un directivo) y conservar evidencia 10 años.</w:t>
      </w:r>
    </w:p>
    <w:p>
      <w:pPr>
        <w:pStyle w:val="Heading2"/>
      </w:pPr>
      <w:r>
        <w:t xml:space="preserve">D.13 Línea de tiempo crítica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Fecha</w:t>
            </w:r>
          </w:p>
        </w:tc>
        <w:tc>
          <w:tcPr>
            <w:tcW w:type="dxa" w:w="746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Hito</w:t>
            </w:r>
          </w:p>
        </w:tc>
      </w:tr>
      <w:tr>
        <w:tc>
          <w:tcPr>
            <w:tcW w:type="dxa" w:w="19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16 jul 2025</w:t>
            </w:r>
          </w:p>
        </w:tc>
        <w:tc>
          <w:tcPr>
            <w:tcW w:type="dxa" w:w="74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Publicación de la reforma a la Ley (vigor: 17 jul). Inicia el cómputo de la conservación a 10 años.</w:t>
            </w:r>
          </w:p>
        </w:tc>
      </w:tr>
      <w:tr>
        <w:tc>
          <w:tcPr>
            <w:tcW w:type="dxa" w:w="19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27 mar 2026</w:t>
            </w:r>
          </w:p>
        </w:tc>
        <w:tc>
          <w:tcPr>
            <w:tcW w:type="dxa" w:w="74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Publicación del Decreto que reforma el Reglamento.</w:t>
            </w:r>
          </w:p>
        </w:tc>
      </w:tr>
      <w:tr>
        <w:tc>
          <w:tcPr>
            <w:tcW w:type="dxa" w:w="19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30 mar 2026</w:t>
            </w:r>
          </w:p>
        </w:tc>
        <w:tc>
          <w:tcPr>
            <w:tcW w:type="dxa" w:w="74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Entrada en vigor del nuevo Reglamento.</w:t>
            </w:r>
          </w:p>
        </w:tc>
      </w:tr>
      <w:tr>
        <w:tc>
          <w:tcPr>
            <w:tcW w:type="dxa" w:w="19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7 ago 2026</w:t>
            </w:r>
          </w:p>
        </w:tc>
        <w:tc>
          <w:tcPr>
            <w:tcW w:type="dxa" w:w="74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Publicación de las RCG (Acuerdo 115/2026).</w:t>
            </w:r>
          </w:p>
        </w:tc>
      </w:tr>
      <w:tr>
        <w:tc>
          <w:tcPr>
            <w:tcW w:type="dxa" w:w="19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30 nov 2026</w:t>
            </w:r>
          </w:p>
        </w:tc>
        <w:tc>
          <w:tcPr>
            <w:tcW w:type="dxa" w:w="74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Entrada en vigor de las RCG (Trans. Primero). Cambio en expedientes de persona moral y fideicomiso (identificar al BC).</w:t>
            </w:r>
          </w:p>
        </w:tc>
      </w:tr>
      <w:tr>
        <w:tc>
          <w:tcPr>
            <w:tcW w:type="dxa" w:w="19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1 mar 2027</w:t>
            </w:r>
          </w:p>
        </w:tc>
        <w:tc>
          <w:tcPr>
            <w:tcW w:type="dxa" w:w="74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Evaluación de riesgo a disposición, con datos del año anterior (Trans. Segundo); Manual con la metodología (Trans. Tercero); Caps. III Bis, III Ter y III Quinquies para operaciones desde esa fecha (Trans. Cuarto); selección de personal (Trans. Sexto).</w:t>
            </w:r>
          </w:p>
        </w:tc>
      </w:tr>
      <w:tr>
        <w:tc>
          <w:tcPr>
            <w:tcW w:type="dxa" w:w="19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1 jun 2027</w:t>
            </w:r>
          </w:p>
        </w:tc>
        <w:tc>
          <w:tcPr>
            <w:tcW w:type="dxa" w:w="74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Mecanismos automatizados (Trans. Noveno).</w:t>
            </w:r>
          </w:p>
        </w:tc>
      </w:tr>
      <w:tr>
        <w:tc>
          <w:tcPr>
            <w:tcW w:type="dxa" w:w="19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Ago 2027</w:t>
            </w:r>
          </w:p>
        </w:tc>
        <w:tc>
          <w:tcPr>
            <w:tcW w:type="dxa" w:w="74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Consulta PEP 2.0: nueve meses después de la entrada en vigor (Trans. Décimo).</w:t>
            </w:r>
          </w:p>
        </w:tc>
      </w:tr>
      <w:tr>
        <w:tc>
          <w:tcPr>
            <w:tcW w:type="dxa" w:w="19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2027</w:t>
            </w:r>
          </w:p>
        </w:tc>
        <w:tc>
          <w:tcPr>
            <w:tcW w:type="dxa" w:w="74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Primer periodo anual de capacitación (Trans. Séptimo).</w:t>
            </w:r>
          </w:p>
        </w:tc>
      </w:tr>
      <w:tr>
        <w:tc>
          <w:tcPr>
            <w:tcW w:type="dxa" w:w="19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2028</w:t>
            </w:r>
          </w:p>
        </w:tc>
        <w:tc>
          <w:tcPr>
            <w:tcW w:type="dxa" w:w="74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Primer periodo de revisión de auditoría (Trans. Octavo).</w:t>
            </w:r>
          </w:p>
        </w:tc>
      </w:tr>
      <w:tr>
        <w:tc>
          <w:tcPr>
            <w:tcW w:type="dxa" w:w="19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Mar 2029</w:t>
            </w:r>
          </w:p>
        </w:tc>
        <w:tc>
          <w:tcPr>
            <w:tcW w:type="dxa" w:w="74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Entrega del primer dictamen, a más tardar el último día hábil de marzo (RCG 50).</w:t>
            </w:r>
          </w:p>
        </w:tc>
      </w:tr>
    </w:tbl>
    <w:p>
      <w:pPr>
        <w:pStyle w:val="Heading2"/>
      </w:pPr>
      <w:r>
        <w:t xml:space="preserve">D.14 Siete acciones inmediatas para el lunes</w:t>
      </w:r>
    </w:p>
    <w:p>
      <w:pPr>
        <w:pStyle w:val="ListParagraph"/>
        <w:numPr>
          <w:ilvl w:val="0"/>
          <w:numId w:val="11"/>
        </w:numPr>
        <w:spacing w:after="80" w:line="280"/>
      </w:pPr>
      <w:r>
        <w:t xml:space="preserve">Inventario de expedientes desde julio de 2025, con verificación de integridad y almacenamiento a 10 años.</w:t>
      </w:r>
    </w:p>
    <w:p>
      <w:pPr>
        <w:pStyle w:val="ListParagraph"/>
        <w:numPr>
          <w:ilvl w:val="0"/>
          <w:numId w:val="11"/>
        </w:numPr>
        <w:spacing w:after="80" w:line="280"/>
      </w:pPr>
      <w:r>
        <w:t xml:space="preserve">Verificar consistencia entre los montos de CFDI y los Avisos del mismo periodo.</w:t>
      </w:r>
    </w:p>
    <w:p>
      <w:pPr>
        <w:pStyle w:val="ListParagraph"/>
        <w:numPr>
          <w:ilvl w:val="0"/>
          <w:numId w:val="11"/>
        </w:numPr>
        <w:spacing w:after="80" w:line="280"/>
      </w:pPr>
      <w:r>
        <w:t xml:space="preserve">Actualizar los formularios de alta del cliente para detectar PEP y dueños reales.</w:t>
      </w:r>
    </w:p>
    <w:p>
      <w:pPr>
        <w:pStyle w:val="ListParagraph"/>
        <w:numPr>
          <w:ilvl w:val="0"/>
          <w:numId w:val="11"/>
        </w:numPr>
        <w:spacing w:after="80" w:line="280"/>
      </w:pPr>
      <w:r>
        <w:t xml:space="preserve">Llevar un registro de pagos acumulados por cliente (acumulación en periodos de hasta 6 meses, sólo de operaciones que en lo individual obligan a identificar: Art. 7 del Reglamento y RCG 19).</w:t>
      </w:r>
    </w:p>
    <w:p>
      <w:pPr>
        <w:pStyle w:val="ListParagraph"/>
        <w:numPr>
          <w:ilvl w:val="0"/>
          <w:numId w:val="11"/>
        </w:numPr>
        <w:spacing w:after="80" w:line="280"/>
      </w:pPr>
      <w:r>
        <w:t xml:space="preserve">Armar la evaluación de riesgo con los datos de 2026 para tenerla a disposición el 1 de marzo de 2027 (RCG Trans. Segundo) e incorporarla al Manual (Trans. Tercero).</w:t>
      </w:r>
    </w:p>
    <w:p>
      <w:pPr>
        <w:pStyle w:val="ListParagraph"/>
        <w:numPr>
          <w:ilvl w:val="0"/>
          <w:numId w:val="11"/>
        </w:numPr>
        <w:spacing w:after="80" w:line="280"/>
      </w:pPr>
      <w:r>
        <w:t xml:space="preserve">Evaluar, antes de cualquier visita, si conviene invocar la autocorrección del Art. 55.</w:t>
      </w:r>
    </w:p>
    <w:p>
      <w:pPr>
        <w:pStyle w:val="ListParagraph"/>
        <w:numPr>
          <w:ilvl w:val="0"/>
          <w:numId w:val="11"/>
        </w:numPr>
        <w:spacing w:after="80" w:line="280"/>
      </w:pPr>
      <w:r>
        <w:t xml:space="preserve">Designar un responsable de respuesta a requerimientos dentro de los 10 días hábiles.</w:t>
      </w:r>
    </w:p>
    <w:p>
      <w:pPr>
        <w:pStyle w:val="Heading2"/>
      </w:pPr>
      <w:r>
        <w:t xml:space="preserve">D.15 Lo que resolvieron las RCG</w:t>
      </w:r>
    </w:p>
    <w:p>
      <w:pPr>
        <w:pStyle w:val="ListParagraph"/>
        <w:numPr>
          <w:ilvl w:val="0"/>
          <w:numId w:val="2"/>
        </w:numPr>
        <w:spacing w:after="60" w:line="280"/>
      </w:pPr>
      <w:r>
        <w:t xml:space="preserve">Consulta de PEP a la UIF (Arts. 45 Ter y Quáter): aplicación Consulta PEP 2.0 (RCG 23 Quáter 1), nueve meses después de la entrada en vigor.</w:t>
      </w:r>
    </w:p>
    <w:p>
      <w:pPr>
        <w:pStyle w:val="ListParagraph"/>
        <w:numPr>
          <w:ilvl w:val="0"/>
          <w:numId w:val="2"/>
        </w:numPr>
        <w:spacing w:after="60" w:line="280"/>
      </w:pPr>
      <w:r>
        <w:t xml:space="preserve">Excepciones para identificar al Beneficiario Controlador (Art. 14 del Reglamento): emisoras que coticen en bolsa y personas de los Anexos 4 Bis, 6 Bis, 7-A y 7 Bis A (RCG 23 Quinquies 2).</w:t>
      </w:r>
    </w:p>
    <w:p>
      <w:pPr>
        <w:pStyle w:val="ListParagraph"/>
        <w:numPr>
          <w:ilvl w:val="0"/>
          <w:numId w:val="2"/>
        </w:numPr>
        <w:spacing w:after="60" w:line="280"/>
      </w:pPr>
      <w:r>
        <w:t xml:space="preserve">Aviso de 24 horas (Art. 7 Bis): supuestos en RCG 26 Bis, 26 Bis 1 y 26 Bis 2. El formato sigue pendiente de la Resolución de formatos; el envío arranca seis meses después (Trans. Quinto).</w:t>
      </w:r>
    </w:p>
    <w:p>
      <w:pPr>
        <w:pStyle w:val="ListParagraph"/>
        <w:numPr>
          <w:ilvl w:val="0"/>
          <w:numId w:val="2"/>
        </w:numPr>
        <w:spacing w:after="60" w:line="280"/>
      </w:pPr>
      <w:r>
        <w:t xml:space="preserve">Dictamen de auditoría (Art. 12 Bis / Art. 18 XI): RCG 42 a 50. Año calendario, entrega a más tardar el último día hábil de marzo, auditor externo certificado por la UIF si el riesgo es alto.</w:t>
      </w:r>
    </w:p>
    <w:p>
      <w:pPr>
        <w:pStyle w:val="ListParagraph"/>
        <w:numPr>
          <w:ilvl w:val="0"/>
          <w:numId w:val="2"/>
        </w:numPr>
        <w:spacing w:after="60" w:line="280"/>
      </w:pPr>
      <w:r>
        <w:t xml:space="preserve">Enfoque Basado en Riesgos (Art. 18 VII): RCG Cap. II Quáter (10 Septies a 10 Septies 6). Manual (Art. 18 VIII): RCG 37 y 37 Bis, catorce contenidos mínimos.</w:t>
      </w:r>
    </w:p>
    <w:p>
      <w:pPr>
        <w:pStyle w:val="ListParagraph"/>
        <w:numPr>
          <w:ilvl w:val="0"/>
          <w:numId w:val="2"/>
        </w:numPr>
        <w:spacing w:after="60" w:line="280"/>
      </w:pPr>
      <w:r>
        <w:t xml:space="preserve">Monitoreo automatizado (Art. 18 X): RCG 41. Control efectivo del dueño real: orden de prelación del RCG 23 Quinquies.</w:t>
      </w:r>
    </w:p>
    <w:p>
      <w:pPr>
        <w:spacing w:after="120" w:before="0" w:line="286"/>
      </w:pPr>
      <w:r>
        <w:t xml:space="preserve">Lo que sigue pendiente en sentido estricto es el formato de los Avisos de 24 horas (Trans. Quinto) y las guías que la UIF anunció para la metodología de riesgo y el Beneficiario Controlador (RCG 10 Septies 5 y 23 Quinquies 3). Lo demás ya tiene regla y fecha.</w:t>
      </w:r>
    </w:p>
    <w:p>
      <w:pPr>
        <w:pStyle w:val="Heading2"/>
      </w:pPr>
      <w:r>
        <w:t xml:space="preserve">D.16 Mapa de concordancias Ley ↔ Reglamento ↔ RCG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680"/>
        <w:gridCol w:w="3280"/>
      </w:tblGrid>
      <w:tr>
        <w:trPr>
          <w:tblHeader/>
        </w:trPr>
        <w:tc>
          <w:tcPr>
            <w:tcW w:type="dxa" w:w="340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Tema</w:t>
            </w:r>
          </w:p>
        </w:tc>
        <w:tc>
          <w:tcPr>
            <w:tcW w:type="dxa" w:w="268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En la Ley</w:t>
            </w:r>
          </w:p>
        </w:tc>
        <w:tc>
          <w:tcPr>
            <w:tcW w:type="dxa" w:w="328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En el Reglamento</w:t>
            </w:r>
          </w:p>
        </w:tc>
      </w:tr>
      <w:tr>
        <w:tc>
          <w:tcPr>
            <w:tcW w:type="dxa" w:w="34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Actividades Vulnerables y umbrales</w:t>
            </w:r>
          </w:p>
        </w:tc>
        <w:tc>
          <w:tcPr>
            <w:tcW w:type="dxa" w:w="268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Art. 17</w:t>
            </w:r>
          </w:p>
        </w:tc>
        <w:tc>
          <w:tcPr>
            <w:tcW w:type="dxa" w:w="328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Arts. 17 a 19</w:t>
            </w:r>
          </w:p>
        </w:tc>
      </w:tr>
      <w:tr>
        <w:tc>
          <w:tcPr>
            <w:tcW w:type="dxa" w:w="34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Obligaciones del sujeto obligado</w:t>
            </w:r>
          </w:p>
        </w:tc>
        <w:tc>
          <w:tcPr>
            <w:tcW w:type="dxa" w:w="268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Art. 18</w:t>
            </w:r>
          </w:p>
        </w:tc>
        <w:tc>
          <w:tcPr>
            <w:tcW w:type="dxa" w:w="328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Arts. 12 a 15 y 20</w:t>
            </w:r>
          </w:p>
        </w:tc>
      </w:tr>
      <w:tr>
        <w:tc>
          <w:tcPr>
            <w:tcW w:type="dxa" w:w="34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Restricciones de efectivo</w:t>
            </w:r>
          </w:p>
        </w:tc>
        <w:tc>
          <w:tcPr>
            <w:tcW w:type="dxa" w:w="268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Arts. 32 y 33</w:t>
            </w:r>
          </w:p>
        </w:tc>
        <w:tc>
          <w:tcPr>
            <w:tcW w:type="dxa" w:w="328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Arts. 42 a 45 (y Art. 6, IVA)</w:t>
            </w:r>
          </w:p>
        </w:tc>
      </w:tr>
      <w:tr>
        <w:tc>
          <w:tcPr>
            <w:tcW w:type="dxa" w:w="34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Beneficiario Controlador</w:t>
            </w:r>
          </w:p>
        </w:tc>
        <w:tc>
          <w:tcPr>
            <w:tcW w:type="dxa" w:w="268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Arts. 33 Bis a 33 Quáter</w:t>
            </w:r>
          </w:p>
        </w:tc>
        <w:tc>
          <w:tcPr>
            <w:tcW w:type="dxa" w:w="328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Art. 14; RCG Cap. III Quinquies (23 Quinquies a 23 Quinquies 3)</w:t>
            </w:r>
          </w:p>
        </w:tc>
      </w:tr>
      <w:tr>
        <w:tc>
          <w:tcPr>
            <w:tcW w:type="dxa" w:w="34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Visitas y requerimientos</w:t>
            </w:r>
          </w:p>
        </w:tc>
        <w:tc>
          <w:tcPr>
            <w:tcW w:type="dxa" w:w="268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Arts. 34 a 37</w:t>
            </w:r>
          </w:p>
        </w:tc>
        <w:tc>
          <w:tcPr>
            <w:tcW w:type="dxa" w:w="328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Arts. 4, 8, 9 y 10 Bis</w:t>
            </w:r>
          </w:p>
        </w:tc>
      </w:tr>
      <w:tr>
        <w:tc>
          <w:tcPr>
            <w:tcW w:type="dxa" w:w="34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Sanciones y autocorrección</w:t>
            </w:r>
          </w:p>
        </w:tc>
        <w:tc>
          <w:tcPr>
            <w:tcW w:type="dxa" w:w="268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Arts. 52 a 61</w:t>
            </w:r>
          </w:p>
        </w:tc>
        <w:tc>
          <w:tcPr>
            <w:tcW w:type="dxa" w:w="328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Arts. 55 y 55 Bis</w:t>
            </w:r>
          </w:p>
        </w:tc>
      </w:tr>
      <w:tr>
        <w:tc>
          <w:tcPr>
            <w:tcW w:type="dxa" w:w="34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PEP</w:t>
            </w:r>
          </w:p>
        </w:tc>
        <w:tc>
          <w:tcPr>
            <w:tcW w:type="dxa" w:w="268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Art. 51 Ter</w:t>
            </w:r>
          </w:p>
        </w:tc>
        <w:tc>
          <w:tcPr>
            <w:tcW w:type="dxa" w:w="328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Cap. Sexto Bis (45 Bis a 45 Quinquies); RCG 23 Quáter a 23 Quáter 2</w:t>
            </w:r>
          </w:p>
        </w:tc>
      </w:tr>
      <w:tr>
        <w:tc>
          <w:tcPr>
            <w:tcW w:type="dxa" w:w="34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Aviso de 24 h por intento</w:t>
            </w:r>
          </w:p>
        </w:tc>
        <w:tc>
          <w:tcPr>
            <w:tcW w:type="dxa" w:w="268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Art. 18 Fr. VI</w:t>
            </w:r>
          </w:p>
        </w:tc>
        <w:tc>
          <w:tcPr>
            <w:tcW w:type="dxa" w:w="328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Art. 7 Bis; RCG 26 Bis a 26 Bis 2 (formato pendiente)</w:t>
            </w:r>
          </w:p>
        </w:tc>
      </w:tr>
      <w:tr>
        <w:tc>
          <w:tcPr>
            <w:tcW w:type="dxa" w:w="34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Enfoque basado en riesgos y grado de riesgo</w:t>
            </w:r>
          </w:p>
        </w:tc>
        <w:tc>
          <w:tcPr>
            <w:tcW w:type="dxa" w:w="268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Art. 18 Fr. VII y X</w:t>
            </w:r>
          </w:p>
        </w:tc>
        <w:tc>
          <w:tcPr>
            <w:tcW w:type="dxa" w:w="328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Art. 15; RCG Caps. II Quáter, III Bis y III Ter</w:t>
            </w:r>
          </w:p>
        </w:tc>
      </w:tr>
    </w:tbl>
    <w:p>
      <w:pPr>
        <w:pStyle w:val="Heading2"/>
      </w:pPr>
      <w:r>
        <w:t xml:space="preserve">D.17 Tablas de referencia</w:t>
      </w:r>
    </w:p>
    <w:p>
      <w:pPr>
        <w:spacing w:after="120" w:before="0" w:line="286"/>
      </w:pPr>
      <w:r>
        <w:rPr>
          <w:color w:val="555555"/>
          <w:sz w:val="17"/>
          <w:szCs w:val="17"/>
        </w:rPr>
        <w:t xml:space="preserve">Pesos calculados con la UMA 2026 = $117.31 diarios.</w:t>
      </w:r>
    </w:p>
    <w:p>
      <w:pPr>
        <w:pStyle w:val="Heading3"/>
      </w:pPr>
      <w:r>
        <w:t xml:space="preserve">Tabla 1. Actividades Vulnerables (Art. 17): umbrales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60"/>
        <w:gridCol w:w="2400"/>
        <w:gridCol w:w="2400"/>
      </w:tblGrid>
      <w:tr>
        <w:trPr>
          <w:tblHeader/>
        </w:trPr>
        <w:tc>
          <w:tcPr>
            <w:tcW w:type="dxa" w:w="80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Fr.</w:t>
            </w:r>
          </w:p>
        </w:tc>
        <w:tc>
          <w:tcPr>
            <w:tcW w:type="dxa" w:w="376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Actividad</w:t>
            </w:r>
          </w:p>
        </w:tc>
        <w:tc>
          <w:tcPr>
            <w:tcW w:type="dxa" w:w="240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Identificación</w:t>
            </w:r>
          </w:p>
        </w:tc>
        <w:tc>
          <w:tcPr>
            <w:tcW w:type="dxa" w:w="240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Aviso</w:t>
            </w:r>
          </w:p>
        </w:tc>
      </w:tr>
      <w:tr>
        <w:tc>
          <w:tcPr>
            <w:tcW w:type="dxa" w:w="8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I</w:t>
            </w:r>
          </w:p>
        </w:tc>
        <w:tc>
          <w:tcPr>
            <w:tcW w:type="dxa" w:w="37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Juegos con apuesta, sorteos</w:t>
            </w:r>
          </w:p>
        </w:tc>
        <w:tc>
          <w:tcPr>
            <w:tcW w:type="dxa" w:w="24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325 UMA / $38,126</w:t>
            </w:r>
          </w:p>
        </w:tc>
        <w:tc>
          <w:tcPr>
            <w:tcW w:type="dxa" w:w="24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645 UMA / $75,665</w:t>
            </w:r>
          </w:p>
        </w:tc>
      </w:tr>
      <w:tr>
        <w:tc>
          <w:tcPr>
            <w:tcW w:type="dxa" w:w="8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II</w:t>
            </w:r>
          </w:p>
        </w:tc>
        <w:tc>
          <w:tcPr>
            <w:tcW w:type="dxa" w:w="37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Tarjetas de crédito o servicios</w:t>
            </w:r>
          </w:p>
        </w:tc>
        <w:tc>
          <w:tcPr>
            <w:tcW w:type="dxa" w:w="24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805 / $94,435</w:t>
            </w:r>
          </w:p>
        </w:tc>
        <w:tc>
          <w:tcPr>
            <w:tcW w:type="dxa" w:w="24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1,285 / $150,743</w:t>
            </w:r>
          </w:p>
        </w:tc>
      </w:tr>
      <w:tr>
        <w:tc>
          <w:tcPr>
            <w:tcW w:type="dxa" w:w="8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II</w:t>
            </w:r>
          </w:p>
        </w:tc>
        <w:tc>
          <w:tcPr>
            <w:tcW w:type="dxa" w:w="37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Prepagadas y monederos</w:t>
            </w:r>
          </w:p>
        </w:tc>
        <w:tc>
          <w:tcPr>
            <w:tcW w:type="dxa" w:w="24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645 / $75,665</w:t>
            </w:r>
          </w:p>
        </w:tc>
        <w:tc>
          <w:tcPr>
            <w:tcW w:type="dxa" w:w="24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645 / $75,665</w:t>
            </w:r>
          </w:p>
        </w:tc>
      </w:tr>
      <w:tr>
        <w:tc>
          <w:tcPr>
            <w:tcW w:type="dxa" w:w="8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III</w:t>
            </w:r>
          </w:p>
        </w:tc>
        <w:tc>
          <w:tcPr>
            <w:tcW w:type="dxa" w:w="37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Cheques de viajero</w:t>
            </w:r>
          </w:p>
        </w:tc>
        <w:tc>
          <w:tcPr>
            <w:tcW w:type="dxa" w:w="24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Siempre</w:t>
            </w:r>
          </w:p>
        </w:tc>
        <w:tc>
          <w:tcPr>
            <w:tcW w:type="dxa" w:w="24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645 / $75,665</w:t>
            </w:r>
          </w:p>
        </w:tc>
      </w:tr>
      <w:tr>
        <w:tc>
          <w:tcPr>
            <w:tcW w:type="dxa" w:w="8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IV</w:t>
            </w:r>
          </w:p>
        </w:tc>
        <w:tc>
          <w:tcPr>
            <w:tcW w:type="dxa" w:w="37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Préstamos o créditos no bancarios</w:t>
            </w:r>
          </w:p>
        </w:tc>
        <w:tc>
          <w:tcPr>
            <w:tcW w:type="dxa" w:w="24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Siempre</w:t>
            </w:r>
          </w:p>
        </w:tc>
        <w:tc>
          <w:tcPr>
            <w:tcW w:type="dxa" w:w="24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1,605 / $188,283</w:t>
            </w:r>
          </w:p>
        </w:tc>
      </w:tr>
      <w:tr>
        <w:tc>
          <w:tcPr>
            <w:tcW w:type="dxa" w:w="8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V</w:t>
            </w:r>
          </w:p>
        </w:tc>
        <w:tc>
          <w:tcPr>
            <w:tcW w:type="dxa" w:w="37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Construcción / venta de inmuebles</w:t>
            </w:r>
          </w:p>
        </w:tc>
        <w:tc>
          <w:tcPr>
            <w:tcW w:type="dxa" w:w="24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Siempre</w:t>
            </w:r>
          </w:p>
        </w:tc>
        <w:tc>
          <w:tcPr>
            <w:tcW w:type="dxa" w:w="24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8,025 / $941,413</w:t>
            </w:r>
          </w:p>
        </w:tc>
      </w:tr>
      <w:tr>
        <w:tc>
          <w:tcPr>
            <w:tcW w:type="dxa" w:w="8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V Bis</w:t>
            </w:r>
          </w:p>
        </w:tc>
        <w:tc>
          <w:tcPr>
            <w:tcW w:type="dxa" w:w="37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Recursos para desarrollo inmobiliario</w:t>
            </w:r>
          </w:p>
        </w:tc>
        <w:tc>
          <w:tcPr>
            <w:tcW w:type="dxa" w:w="24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Siempre</w:t>
            </w:r>
          </w:p>
        </w:tc>
        <w:tc>
          <w:tcPr>
            <w:tcW w:type="dxa" w:w="24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8,025 / $941,413</w:t>
            </w:r>
          </w:p>
        </w:tc>
      </w:tr>
      <w:tr>
        <w:tc>
          <w:tcPr>
            <w:tcW w:type="dxa" w:w="8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VI</w:t>
            </w:r>
          </w:p>
        </w:tc>
        <w:tc>
          <w:tcPr>
            <w:tcW w:type="dxa" w:w="37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Joyas, metales, piedras, relojes</w:t>
            </w:r>
          </w:p>
        </w:tc>
        <w:tc>
          <w:tcPr>
            <w:tcW w:type="dxa" w:w="24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805 / $94,435</w:t>
            </w:r>
          </w:p>
        </w:tc>
        <w:tc>
          <w:tcPr>
            <w:tcW w:type="dxa" w:w="24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1,605 / $188,283</w:t>
            </w:r>
          </w:p>
        </w:tc>
      </w:tr>
      <w:tr>
        <w:tc>
          <w:tcPr>
            <w:tcW w:type="dxa" w:w="8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VII</w:t>
            </w:r>
          </w:p>
        </w:tc>
        <w:tc>
          <w:tcPr>
            <w:tcW w:type="dxa" w:w="37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Obras de arte</w:t>
            </w:r>
          </w:p>
        </w:tc>
        <w:tc>
          <w:tcPr>
            <w:tcW w:type="dxa" w:w="24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2,410 / $282,717</w:t>
            </w:r>
          </w:p>
        </w:tc>
        <w:tc>
          <w:tcPr>
            <w:tcW w:type="dxa" w:w="24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4,815 / $564,848</w:t>
            </w:r>
          </w:p>
        </w:tc>
      </w:tr>
      <w:tr>
        <w:tc>
          <w:tcPr>
            <w:tcW w:type="dxa" w:w="8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VIII</w:t>
            </w:r>
          </w:p>
        </w:tc>
        <w:tc>
          <w:tcPr>
            <w:tcW w:type="dxa" w:w="37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Venta de vehículos</w:t>
            </w:r>
          </w:p>
        </w:tc>
        <w:tc>
          <w:tcPr>
            <w:tcW w:type="dxa" w:w="24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3,210 / $376,565</w:t>
            </w:r>
          </w:p>
        </w:tc>
        <w:tc>
          <w:tcPr>
            <w:tcW w:type="dxa" w:w="24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6,420 / $753,130</w:t>
            </w:r>
          </w:p>
        </w:tc>
      </w:tr>
      <w:tr>
        <w:tc>
          <w:tcPr>
            <w:tcW w:type="dxa" w:w="8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IX</w:t>
            </w:r>
          </w:p>
        </w:tc>
        <w:tc>
          <w:tcPr>
            <w:tcW w:type="dxa" w:w="37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Servicios de blindaje</w:t>
            </w:r>
          </w:p>
        </w:tc>
        <w:tc>
          <w:tcPr>
            <w:tcW w:type="dxa" w:w="24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2,410 / $282,717</w:t>
            </w:r>
          </w:p>
        </w:tc>
        <w:tc>
          <w:tcPr>
            <w:tcW w:type="dxa" w:w="24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4,815 / $564,848</w:t>
            </w:r>
          </w:p>
        </w:tc>
      </w:tr>
      <w:tr>
        <w:tc>
          <w:tcPr>
            <w:tcW w:type="dxa" w:w="8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X</w:t>
            </w:r>
          </w:p>
        </w:tc>
        <w:tc>
          <w:tcPr>
            <w:tcW w:type="dxa" w:w="37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Traslado o custodia de valores</w:t>
            </w:r>
          </w:p>
        </w:tc>
        <w:tc>
          <w:tcPr>
            <w:tcW w:type="dxa" w:w="24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Siempre</w:t>
            </w:r>
          </w:p>
        </w:tc>
        <w:tc>
          <w:tcPr>
            <w:tcW w:type="dxa" w:w="24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3,210 / $376,565</w:t>
            </w:r>
          </w:p>
        </w:tc>
      </w:tr>
      <w:tr>
        <w:tc>
          <w:tcPr>
            <w:tcW w:type="dxa" w:w="8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XI</w:t>
            </w:r>
          </w:p>
        </w:tc>
        <w:tc>
          <w:tcPr>
            <w:tcW w:type="dxa" w:w="37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Servicios profesionales</w:t>
            </w:r>
          </w:p>
        </w:tc>
        <w:tc>
          <w:tcPr>
            <w:tcW w:type="dxa" w:w="24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Siempre</w:t>
            </w:r>
          </w:p>
        </w:tc>
        <w:tc>
          <w:tcPr>
            <w:tcW w:type="dxa" w:w="24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Si actúas en su nombre</w:t>
            </w:r>
          </w:p>
        </w:tc>
      </w:tr>
      <w:tr>
        <w:tc>
          <w:tcPr>
            <w:tcW w:type="dxa" w:w="8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XII</w:t>
            </w:r>
          </w:p>
        </w:tc>
        <w:tc>
          <w:tcPr>
            <w:tcW w:type="dxa" w:w="37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Notarios: transmisión de inmuebles</w:t>
            </w:r>
          </w:p>
        </w:tc>
        <w:tc>
          <w:tcPr>
            <w:tcW w:type="dxa" w:w="24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Siempre</w:t>
            </w:r>
          </w:p>
        </w:tc>
        <w:tc>
          <w:tcPr>
            <w:tcW w:type="dxa" w:w="24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8,000 / $938,480</w:t>
            </w:r>
          </w:p>
        </w:tc>
      </w:tr>
      <w:tr>
        <w:tc>
          <w:tcPr>
            <w:tcW w:type="dxa" w:w="8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XII</w:t>
            </w:r>
          </w:p>
        </w:tc>
        <w:tc>
          <w:tcPr>
            <w:tcW w:type="dxa" w:w="37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Notarios: fideicomisos</w:t>
            </w:r>
          </w:p>
        </w:tc>
        <w:tc>
          <w:tcPr>
            <w:tcW w:type="dxa" w:w="24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Siempre</w:t>
            </w:r>
          </w:p>
        </w:tc>
        <w:tc>
          <w:tcPr>
            <w:tcW w:type="dxa" w:w="24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4,000 / $469,240</w:t>
            </w:r>
          </w:p>
        </w:tc>
      </w:tr>
      <w:tr>
        <w:tc>
          <w:tcPr>
            <w:tcW w:type="dxa" w:w="8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XII</w:t>
            </w:r>
          </w:p>
        </w:tc>
        <w:tc>
          <w:tcPr>
            <w:tcW w:type="dxa" w:w="37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Facilitadores de controversias</w:t>
            </w:r>
          </w:p>
        </w:tc>
        <w:tc>
          <w:tcPr>
            <w:tcW w:type="dxa" w:w="24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Siempre</w:t>
            </w:r>
          </w:p>
        </w:tc>
        <w:tc>
          <w:tcPr>
            <w:tcW w:type="dxa" w:w="24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8,000 / $938,480</w:t>
            </w:r>
          </w:p>
        </w:tc>
      </w:tr>
      <w:tr>
        <w:tc>
          <w:tcPr>
            <w:tcW w:type="dxa" w:w="8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XIII</w:t>
            </w:r>
          </w:p>
        </w:tc>
        <w:tc>
          <w:tcPr>
            <w:tcW w:type="dxa" w:w="37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Donativos</w:t>
            </w:r>
          </w:p>
        </w:tc>
        <w:tc>
          <w:tcPr>
            <w:tcW w:type="dxa" w:w="24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1,605 / $188,283</w:t>
            </w:r>
          </w:p>
        </w:tc>
        <w:tc>
          <w:tcPr>
            <w:tcW w:type="dxa" w:w="24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3,210 / $376,565</w:t>
            </w:r>
          </w:p>
        </w:tc>
      </w:tr>
      <w:tr>
        <w:tc>
          <w:tcPr>
            <w:tcW w:type="dxa" w:w="8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XIV</w:t>
            </w:r>
          </w:p>
        </w:tc>
        <w:tc>
          <w:tcPr>
            <w:tcW w:type="dxa" w:w="37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Comercio exterior: joyas y metales</w:t>
            </w:r>
          </w:p>
        </w:tc>
        <w:tc>
          <w:tcPr>
            <w:tcW w:type="dxa" w:w="24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485 / $56,895</w:t>
            </w:r>
          </w:p>
        </w:tc>
        <w:tc>
          <w:tcPr>
            <w:tcW w:type="dxa" w:w="24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485 / $56,895</w:t>
            </w:r>
          </w:p>
        </w:tc>
      </w:tr>
      <w:tr>
        <w:tc>
          <w:tcPr>
            <w:tcW w:type="dxa" w:w="8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XV</w:t>
            </w:r>
          </w:p>
        </w:tc>
        <w:tc>
          <w:tcPr>
            <w:tcW w:type="dxa" w:w="37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Renta de inmuebles (mensual)</w:t>
            </w:r>
          </w:p>
        </w:tc>
        <w:tc>
          <w:tcPr>
            <w:tcW w:type="dxa" w:w="24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1,605 / $188,283</w:t>
            </w:r>
          </w:p>
        </w:tc>
        <w:tc>
          <w:tcPr>
            <w:tcW w:type="dxa" w:w="24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3,210 / $376,565</w:t>
            </w:r>
          </w:p>
        </w:tc>
      </w:tr>
      <w:tr>
        <w:tc>
          <w:tcPr>
            <w:tcW w:type="dxa" w:w="8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XVI</w:t>
            </w:r>
          </w:p>
        </w:tc>
        <w:tc>
          <w:tcPr>
            <w:tcW w:type="dxa" w:w="37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Activos virtuales (por operación)</w:t>
            </w:r>
          </w:p>
        </w:tc>
        <w:tc>
          <w:tcPr>
            <w:tcW w:type="dxa" w:w="24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Siempre</w:t>
            </w:r>
          </w:p>
        </w:tc>
        <w:tc>
          <w:tcPr>
            <w:tcW w:type="dxa" w:w="24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210 / $24,635</w:t>
            </w:r>
          </w:p>
        </w:tc>
      </w:tr>
      <w:tr>
        <w:tc>
          <w:tcPr>
            <w:tcW w:type="dxa" w:w="8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XVI</w:t>
            </w:r>
          </w:p>
        </w:tc>
        <w:tc>
          <w:tcPr>
            <w:tcW w:type="dxa" w:w="37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Comisión por operar activos virtuales</w:t>
            </w:r>
          </w:p>
        </w:tc>
        <w:tc>
          <w:tcPr>
            <w:tcW w:type="dxa" w:w="24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Siempre</w:t>
            </w:r>
          </w:p>
        </w:tc>
        <w:tc>
          <w:tcPr>
            <w:tcW w:type="dxa" w:w="24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4 / $469</w:t>
            </w:r>
          </w:p>
        </w:tc>
      </w:tr>
    </w:tbl>
    <w:p>
      <w:pPr>
        <w:pStyle w:val="Heading3"/>
      </w:pPr>
      <w:r>
        <w:t xml:space="preserve">Tabla 2. Restricciones de efectivo (Art. 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60"/>
        <w:gridCol w:w="4100"/>
      </w:tblGrid>
      <w:tr>
        <w:trPr>
          <w:tblHeader/>
        </w:trPr>
        <w:tc>
          <w:tcPr>
            <w:tcW w:type="dxa" w:w="526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Operación</w:t>
            </w:r>
          </w:p>
        </w:tc>
        <w:tc>
          <w:tcPr>
            <w:tcW w:type="dxa" w:w="410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Tope (UMA / pesos)</w:t>
            </w:r>
          </w:p>
        </w:tc>
      </w:tr>
      <w:tr>
        <w:tc>
          <w:tcPr>
            <w:tcW w:type="dxa" w:w="52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Inmuebles</w:t>
            </w:r>
          </w:p>
        </w:tc>
        <w:tc>
          <w:tcPr>
            <w:tcW w:type="dxa" w:w="41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8,025 / $941,413</w:t>
            </w:r>
          </w:p>
        </w:tc>
      </w:tr>
      <w:tr>
        <w:tc>
          <w:tcPr>
            <w:tcW w:type="dxa" w:w="52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Vehículos</w:t>
            </w:r>
          </w:p>
        </w:tc>
        <w:tc>
          <w:tcPr>
            <w:tcW w:type="dxa" w:w="41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3,210 / $376,565</w:t>
            </w:r>
          </w:p>
        </w:tc>
      </w:tr>
      <w:tr>
        <w:tc>
          <w:tcPr>
            <w:tcW w:type="dxa" w:w="52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Joyas, relojes, metales, arte</w:t>
            </w:r>
          </w:p>
        </w:tc>
        <w:tc>
          <w:tcPr>
            <w:tcW w:type="dxa" w:w="41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3,210 / $376,565</w:t>
            </w:r>
          </w:p>
        </w:tc>
      </w:tr>
      <w:tr>
        <w:tc>
          <w:tcPr>
            <w:tcW w:type="dxa" w:w="52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Premios de juegos y sorteos</w:t>
            </w:r>
          </w:p>
        </w:tc>
        <w:tc>
          <w:tcPr>
            <w:tcW w:type="dxa" w:w="41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3,210 / $376,565</w:t>
            </w:r>
          </w:p>
        </w:tc>
      </w:tr>
      <w:tr>
        <w:tc>
          <w:tcPr>
            <w:tcW w:type="dxa" w:w="52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Blindaje</w:t>
            </w:r>
          </w:p>
        </w:tc>
        <w:tc>
          <w:tcPr>
            <w:tcW w:type="dxa" w:w="41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3,210 / $376,565</w:t>
            </w:r>
          </w:p>
        </w:tc>
      </w:tr>
      <w:tr>
        <w:tc>
          <w:tcPr>
            <w:tcW w:type="dxa" w:w="52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Acciones o partes sociales</w:t>
            </w:r>
          </w:p>
        </w:tc>
        <w:tc>
          <w:tcPr>
            <w:tcW w:type="dxa" w:w="41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3,210 / $376,565</w:t>
            </w:r>
          </w:p>
        </w:tc>
      </w:tr>
      <w:tr>
        <w:tc>
          <w:tcPr>
            <w:tcW w:type="dxa" w:w="52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Uso o goce (renta) mensual</w:t>
            </w:r>
          </w:p>
        </w:tc>
        <w:tc>
          <w:tcPr>
            <w:tcW w:type="dxa" w:w="41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3,210 / $376,565</w:t>
            </w:r>
          </w:p>
        </w:tc>
      </w:tr>
      <w:tr>
        <w:tc>
          <w:tcPr>
            <w:tcW w:type="dxa" w:w="52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Consignación de pago (nueva, Fr. VIII)</w:t>
            </w:r>
          </w:p>
        </w:tc>
        <w:tc>
          <w:tcPr>
            <w:tcW w:type="dxa" w:w="41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Según la fracción aplicable</w:t>
            </w:r>
          </w:p>
        </w:tc>
      </w:tr>
    </w:tbl>
    <w:p>
      <w:r>
        <w:br w:type="page"/>
      </w:r>
    </w:p>
    <w:p>
      <w:r>
        <w:br w:type="page"/>
      </w:r>
    </w:p>
    <w:p>
      <w:pPr>
        <w:pStyle w:val="Heading1"/>
      </w:pPr>
      <w:r>
        <w:t xml:space="preserve">Apéndice E. Lo que trajeron las Reglas de Carácter General (RCG 2026), para tu contador</w:t>
      </w:r>
    </w:p>
    <w:p>
      <w:pPr>
        <w:spacing w:after="120" w:before="0" w:line="286"/>
      </w:pPr>
      <w:r>
        <w:t xml:space="preserve">Las RCG modificadas por el Acuerdo 115/2026 (DOF 7 de agosto de 2026) aterrizan las obligaciones nuevas de la Ley. Entran en vigor el 30 de noviembre de 2026, pero casi todo lo relacionado con riesgo se difiere al 1 de marzo de 2027. Este apéndice resume lo esencial con su fundamento.</w:t>
      </w:r>
    </w:p>
    <w:p>
      <w:pPr>
        <w:pStyle w:val="Heading2"/>
      </w:pPr>
      <w:r>
        <w:t xml:space="preserve">E.1 Calendario de transitorios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Transitorio</w:t>
            </w:r>
          </w:p>
        </w:tc>
        <w:tc>
          <w:tcPr>
            <w:tcW w:type="dxa" w:w="766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Qué se vuelve exigible</w:t>
            </w:r>
          </w:p>
        </w:tc>
      </w:tr>
      <w:tr>
        <w:tc>
          <w:tcPr>
            <w:tcW w:type="dxa" w:w="17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Primero</w:t>
            </w:r>
          </w:p>
        </w:tc>
        <w:tc>
          <w:tcPr>
            <w:tcW w:type="dxa" w:w="76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30 nov 2026: entrada en vigor del Acuerdo, salvo excepciones.</w:t>
            </w:r>
          </w:p>
        </w:tc>
      </w:tr>
      <w:tr>
        <w:tc>
          <w:tcPr>
            <w:tcW w:type="dxa" w:w="17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Segundo</w:t>
            </w:r>
          </w:p>
        </w:tc>
        <w:tc>
          <w:tcPr>
            <w:tcW w:type="dxa" w:w="76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1 mar 2027: la evaluación con enfoque basado en riesgo, a disposición de la autoridad previo requerimiento, con información del año inmediato anterior. Si no hay año completo, con la disponible desde el inicio de la actividad.</w:t>
            </w:r>
          </w:p>
        </w:tc>
      </w:tr>
      <w:tr>
        <w:tc>
          <w:tcPr>
            <w:tcW w:type="dxa" w:w="17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Tercero</w:t>
            </w:r>
          </w:p>
        </w:tc>
        <w:tc>
          <w:tcPr>
            <w:tcW w:type="dxa" w:w="76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1 mar 2027: Manual de Políticas Internas que incluya la metodología (para quien ya cumplió los 90 días del art. 37).</w:t>
            </w:r>
          </w:p>
        </w:tc>
      </w:tr>
      <w:tr>
        <w:tc>
          <w:tcPr>
            <w:tcW w:type="dxa" w:w="17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Cuarto</w:t>
            </w:r>
          </w:p>
        </w:tc>
        <w:tc>
          <w:tcPr>
            <w:tcW w:type="dxa" w:w="76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Operaciones desde el 1 mar 2027: Caps. III Bis (grado de riesgo), III Ter (conocimiento del cliente y DDR) y III Quinquies (Beneficiario Controlador).</w:t>
            </w:r>
          </w:p>
        </w:tc>
      </w:tr>
      <w:tr>
        <w:tc>
          <w:tcPr>
            <w:tcW w:type="dxa" w:w="17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Quinto</w:t>
            </w:r>
          </w:p>
        </w:tc>
        <w:tc>
          <w:tcPr>
            <w:tcW w:type="dxa" w:w="76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Avisos de 24 h (26 Bis, 26 Bis 1, 26 Bis 2 y 27): seis meses después de la Resolución que modifique los formatos.</w:t>
            </w:r>
          </w:p>
        </w:tc>
      </w:tr>
      <w:tr>
        <w:tc>
          <w:tcPr>
            <w:tcW w:type="dxa" w:w="17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Sexto</w:t>
            </w:r>
          </w:p>
        </w:tc>
        <w:tc>
          <w:tcPr>
            <w:tcW w:type="dxa" w:w="76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Selección de personal: contrataciones desde el 1 mar 2027.</w:t>
            </w:r>
          </w:p>
        </w:tc>
      </w:tr>
      <w:tr>
        <w:tc>
          <w:tcPr>
            <w:tcW w:type="dxa" w:w="17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Séptimo</w:t>
            </w:r>
          </w:p>
        </w:tc>
        <w:tc>
          <w:tcPr>
            <w:tcW w:type="dxa" w:w="76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Capacitación: primer periodo del 1 ene al 31 dic 2027.</w:t>
            </w:r>
          </w:p>
        </w:tc>
      </w:tr>
      <w:tr>
        <w:tc>
          <w:tcPr>
            <w:tcW w:type="dxa" w:w="17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Octavo</w:t>
            </w:r>
          </w:p>
        </w:tc>
        <w:tc>
          <w:tcPr>
            <w:tcW w:type="dxa" w:w="76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Auditoría: primer periodo del 1 ene al 31 dic 2028.</w:t>
            </w:r>
          </w:p>
        </w:tc>
      </w:tr>
      <w:tr>
        <w:tc>
          <w:tcPr>
            <w:tcW w:type="dxa" w:w="17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Noveno</w:t>
            </w:r>
          </w:p>
        </w:tc>
        <w:tc>
          <w:tcPr>
            <w:tcW w:type="dxa" w:w="76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Mecanismos automatizados: a más tardar el 1 jun 2027, con operaciones desde esa fecha.</w:t>
            </w:r>
          </w:p>
        </w:tc>
      </w:tr>
      <w:tr>
        <w:tc>
          <w:tcPr>
            <w:tcW w:type="dxa" w:w="17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Décimo</w:t>
            </w:r>
          </w:p>
        </w:tc>
        <w:tc>
          <w:tcPr>
            <w:tcW w:type="dxa" w:w="76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Consulta PEP 2.0: nueve meses después de la entrada en vigor.</w:t>
            </w:r>
          </w:p>
        </w:tc>
      </w:tr>
    </w:tbl>
    <w:p>
      <w:pPr>
        <w:pStyle w:val="Heading2"/>
      </w:pPr>
      <w:r>
        <w:t xml:space="preserve">E.2 La evaluación de riesgo del negocio (Cap. II Quáter, arts. 10 Septies a 10 Septies 6)</w:t>
      </w:r>
    </w:p>
    <w:p>
      <w:pPr>
        <w:pStyle w:val="ListParagraph"/>
        <w:numPr>
          <w:ilvl w:val="0"/>
          <w:numId w:val="2"/>
        </w:numPr>
        <w:spacing w:after="60" w:line="280"/>
      </w:pPr>
      <w:r>
        <w:rPr>
          <w:b/>
          <w:bCs/>
        </w:rPr>
        <w:t xml:space="preserve">Qué es.</w:t>
      </w:r>
      <w:r>
        <w:t xml:space="preserve"> Una metodología diseñada e implementada por el propio sujeto obligado, escrita en su Manual (o en otro documento referido en él), que describa cómo identifica, analiza, entiende, mide y mitiga sus riesgos, tomando en cuenta la Evaluación Nacional de Riesgos (10 Septies).</w:t>
      </w:r>
    </w:p>
    <w:p>
      <w:pPr>
        <w:pStyle w:val="ListParagraph"/>
        <w:numPr>
          <w:ilvl w:val="0"/>
          <w:numId w:val="2"/>
        </w:numPr>
        <w:spacing w:after="60" w:line="280"/>
      </w:pPr>
      <w:r>
        <w:rPr>
          <w:b/>
          <w:bCs/>
        </w:rPr>
        <w:t xml:space="preserve">Cuatro elementos obligatorios</w:t>
      </w:r>
      <w:r>
        <w:t xml:space="preserve"> (10 Septies 1 fr. I): a) actos u operaciones; b) tipo de clientes; c) países y áreas geográficas; d) transacciones y canales de envío o distribución. No son los cuatro factores de GAFI: «producto» no existe como elemento, y «transacciones y canales» es una sola categoría.</w:t>
      </w:r>
    </w:p>
    <w:p>
      <w:pPr>
        <w:pStyle w:val="ListParagraph"/>
        <w:numPr>
          <w:ilvl w:val="0"/>
          <w:numId w:val="2"/>
        </w:numPr>
        <w:spacing w:after="60" w:line="280"/>
      </w:pPr>
      <w:r>
        <w:rPr>
          <w:b/>
          <w:bCs/>
        </w:rPr>
        <w:t xml:space="preserve">Medición con doble ponderación</w:t>
      </w:r>
      <w:r>
        <w:t xml:space="preserve"> (fr. II): un valor a cada indicador y a cada elemento, «en función de su importancia». Poner pesos iguales a todo no es defendible por texto.</w:t>
      </w:r>
    </w:p>
    <w:p>
      <w:pPr>
        <w:pStyle w:val="ListParagraph"/>
        <w:numPr>
          <w:ilvl w:val="0"/>
          <w:numId w:val="2"/>
        </w:numPr>
        <w:spacing w:after="60" w:line="280"/>
      </w:pPr>
      <w:r>
        <w:rPr>
          <w:b/>
          <w:bCs/>
        </w:rPr>
        <w:t xml:space="preserve">Mitigantes</w:t>
      </w:r>
      <w:r>
        <w:t xml:space="preserve"> (fr. III): todas las políticas del Manual y su efectiva aplicación, con el efecto que tienen sobre los indicadores.</w:t>
      </w:r>
    </w:p>
    <w:p>
      <w:pPr>
        <w:pStyle w:val="ListParagraph"/>
        <w:numPr>
          <w:ilvl w:val="0"/>
          <w:numId w:val="2"/>
        </w:numPr>
        <w:spacing w:after="60" w:line="280"/>
      </w:pPr>
      <w:r>
        <w:rPr>
          <w:b/>
          <w:bCs/>
        </w:rPr>
        <w:t xml:space="preserve">Indicadores de delito</w:t>
      </w:r>
      <w:r>
        <w:t xml:space="preserve"> (último párrafo): de financiamiento al terrorismo (CPF 139 Quáter) y de lavado (CPF 400 Bis) para cada uno de los cuatro elementos.</w:t>
      </w:r>
    </w:p>
    <w:p>
      <w:pPr>
        <w:pStyle w:val="ListParagraph"/>
        <w:numPr>
          <w:ilvl w:val="0"/>
          <w:numId w:val="2"/>
        </w:numPr>
        <w:spacing w:after="60" w:line="280"/>
      </w:pPr>
      <w:r>
        <w:rPr>
          <w:b/>
          <w:bCs/>
        </w:rPr>
        <w:t xml:space="preserve">Datos</w:t>
      </w:r>
      <w:r>
        <w:t xml:space="preserve"> (10 Septies 2): total de clientes, número de operaciones y monto operado de al menos 12 meses, sin inconsistencias con el sistema automatizado. Quien no tenga 12 meses usa datos proyectados y actualiza al cumplirlos. Si aparecen riesgos mayores, se ajustan los controles en un plazo no mayor a 12 meses.</w:t>
      </w:r>
    </w:p>
    <w:p>
      <w:pPr>
        <w:pStyle w:val="ListParagraph"/>
        <w:numPr>
          <w:ilvl w:val="0"/>
          <w:numId w:val="2"/>
        </w:numPr>
        <w:spacing w:after="60" w:line="280"/>
      </w:pPr>
      <w:r>
        <w:rPr>
          <w:b/>
          <w:bCs/>
        </w:rPr>
        <w:t xml:space="preserve">Revisión</w:t>
      </w:r>
      <w:r>
        <w:t xml:space="preserve"> (10 Septies 3): ante riesgos nuevos, cuando se actualice la ENR o a más tardar a los 12 meses; por escrito y a disposición del SAT, que puede ordenar ajustes y pedir un plan de acción. Conservación 10 años.</w:t>
      </w:r>
    </w:p>
    <w:p>
      <w:pPr>
        <w:pStyle w:val="ListParagraph"/>
        <w:numPr>
          <w:ilvl w:val="0"/>
          <w:numId w:val="2"/>
        </w:numPr>
        <w:spacing w:after="60" w:line="280"/>
      </w:pPr>
      <w:r>
        <w:rPr>
          <w:b/>
          <w:bCs/>
        </w:rPr>
        <w:t xml:space="preserve">Evaluación previa</w:t>
      </w:r>
      <w:r>
        <w:t xml:space="preserve"> (10 Septies, párr. 3): antes de lanzar nuevos productos, canales o modalidades, o de dirigirse a nuevos tipos de clientes.</w:t>
      </w:r>
    </w:p>
    <w:p>
      <w:pPr>
        <w:pStyle w:val="ListParagraph"/>
        <w:numPr>
          <w:ilvl w:val="0"/>
          <w:numId w:val="2"/>
        </w:numPr>
        <w:spacing w:after="60" w:line="280"/>
      </w:pPr>
      <w:r>
        <w:rPr>
          <w:b/>
          <w:bCs/>
        </w:rPr>
        <w:t xml:space="preserve">Todo lo demás se alinea al resultado</w:t>
      </w:r>
      <w:r>
        <w:t xml:space="preserve"> (10 Septies 4).</w:t>
      </w:r>
    </w:p>
    <w:p>
      <w:pPr>
        <w:pStyle w:val="Heading2"/>
      </w:pPr>
      <w:r>
        <w:t xml:space="preserve">E.3 Grado de riesgo del cliente (Cap. III Bis, arts. 23 Bis a 23 Bis 4)</w:t>
      </w:r>
    </w:p>
    <w:p>
      <w:pPr>
        <w:pStyle w:val="ListParagraph"/>
        <w:numPr>
          <w:ilvl w:val="0"/>
          <w:numId w:val="2"/>
        </w:numPr>
        <w:spacing w:after="60" w:line="280"/>
      </w:pPr>
      <w:r>
        <w:t xml:space="preserve">Modelo coherente con la metodología del negocio, escrito en el Manual. Mínimo tres grados: bajo, medio y alto; se pueden agregar intermedios (23 Bis).</w:t>
      </w:r>
    </w:p>
    <w:p>
      <w:pPr>
        <w:pStyle w:val="ListParagraph"/>
        <w:numPr>
          <w:ilvl w:val="0"/>
          <w:numId w:val="2"/>
        </w:numPr>
        <w:spacing w:after="60" w:line="280"/>
      </w:pPr>
      <w:r>
        <w:t xml:space="preserve">Grado inicial con la información del cliente; reevaluación al menos cada seis meses, más frecuente a mayor riesgo (23 Bis 1).</w:t>
      </w:r>
    </w:p>
    <w:p>
      <w:pPr>
        <w:pStyle w:val="ListParagraph"/>
        <w:numPr>
          <w:ilvl w:val="0"/>
          <w:numId w:val="2"/>
        </w:numPr>
        <w:spacing w:after="60" w:line="280"/>
      </w:pPr>
      <w:r>
        <w:t xml:space="preserve">Factores mínimos: características inherentes (antecedentes, tipo de persona, giro, nacionalidad, residencia, fuente de ingresos, propósito de la relación) y transaccionales (tipo, volumen, frecuencia, monto, contrapartes, origen y destino, instrumento, moneda) (23 Bis 2).</w:t>
      </w:r>
    </w:p>
    <w:p>
      <w:pPr>
        <w:pStyle w:val="ListParagraph"/>
        <w:numPr>
          <w:ilvl w:val="0"/>
          <w:numId w:val="2"/>
        </w:numPr>
        <w:spacing w:after="60" w:line="280"/>
      </w:pPr>
      <w:r>
        <w:t xml:space="preserve">PEP mexicanas: factores adicionales para revisar que su comportamiento cuadre con ingresos, funciones, nivel y responsabilidad (23 Bis 3).</w:t>
      </w:r>
    </w:p>
    <w:p>
      <w:pPr>
        <w:pStyle w:val="ListParagraph"/>
        <w:numPr>
          <w:ilvl w:val="0"/>
          <w:numId w:val="2"/>
        </w:numPr>
        <w:spacing w:after="60" w:line="280"/>
      </w:pPr>
      <w:r>
        <w:t xml:space="preserve">Riesgo alto obligatorio: no residentes vinculados a regímenes fiscales preferentes o a jurisdicciones sin medidas o con medidas deficientes, y PEP extranjeras; hay que asentar por qué operan en México (23 Bis 4).</w:t>
      </w:r>
    </w:p>
    <w:p>
      <w:pPr>
        <w:pStyle w:val="Heading2"/>
      </w:pPr>
      <w:r>
        <w:t xml:space="preserve">E.4 Conocimiento del cliente y debida diligencia reforzada (Cap. III Ter)</w:t>
      </w:r>
    </w:p>
    <w:p>
      <w:pPr>
        <w:pStyle w:val="ListParagraph"/>
        <w:numPr>
          <w:ilvl w:val="0"/>
          <w:numId w:val="2"/>
        </w:numPr>
        <w:spacing w:after="60" w:line="280"/>
      </w:pPr>
      <w:r>
        <w:t xml:space="preserve">Política de conocimiento del cliente basada en su grado de riesgo y ajustada a los resultados de la metodología (23 Ter).</w:t>
      </w:r>
    </w:p>
    <w:p>
      <w:pPr>
        <w:pStyle w:val="ListParagraph"/>
        <w:numPr>
          <w:ilvl w:val="0"/>
          <w:numId w:val="2"/>
        </w:numPr>
        <w:spacing w:after="60" w:line="280"/>
      </w:pPr>
      <w:r>
        <w:t xml:space="preserve">Perfil transaccional: información del cliente, monto, número y frecuencia, origen y destino; inicial con los montos máximos mensuales que el cliente estime; evaluación cada seis meses (23 Ter 1). Sistema de alertas por cambios de comportamiento (23 Ter 2).</w:t>
      </w:r>
    </w:p>
    <w:p>
      <w:pPr>
        <w:pStyle w:val="ListParagraph"/>
        <w:numPr>
          <w:ilvl w:val="0"/>
          <w:numId w:val="2"/>
        </w:numPr>
        <w:spacing w:after="60" w:line="280"/>
      </w:pPr>
      <w:r>
        <w:t xml:space="preserve">Riesgo alto: más información, monitoreo más estricto y cuestionario de origen y destino (23 Ter 3); medidas reforzadas sobre familia, dependientes, vínculos patrimoniales o accionistas (23 Ter 4); si además es PEP, aprobación de un directivo o constancia de motivos si el sujeto obligado es persona física (23 Ter 5).</w:t>
      </w:r>
    </w:p>
    <w:p>
      <w:pPr>
        <w:pStyle w:val="Heading2"/>
      </w:pPr>
      <w:r>
        <w:t xml:space="preserve">E.5 Expedientes simplificados</w:t>
      </w:r>
    </w:p>
    <w:p>
      <w:pPr>
        <w:spacing w:after="120" w:before="0" w:line="286"/>
      </w:pPr>
      <w:r>
        <w:t xml:space="preserve">El Reglamento (art. 15) permite medidas simplificadas cuando </w:t>
      </w:r>
      <w:r>
        <w:rPr>
          <w:b/>
          <w:bCs/>
        </w:rPr>
        <w:t xml:space="preserve">quien realiza la actividad</w:t>
      </w:r>
      <w:r>
        <w:t xml:space="preserve"> sea de bajo riesgo según su evaluación. Las RCG (art. 17) las aplican a </w:t>
      </w:r>
      <w:r>
        <w:rPr>
          <w:b/>
          <w:bCs/>
        </w:rPr>
        <w:t xml:space="preserve">clientes</w:t>
      </w:r>
      <w:r>
        <w:t xml:space="preserve"> de bajo riesgo conforme al Cap. III Bis; el cliente de riesgo medio lleva expediente completo (17 Bis). La lectura prudente es que se requieren las dos condiciones: negocio de bajo riesgo y cliente de bajo riesgo. La condición del negocio existe en el Reglamento desde 2013; lo nuevo es que ahora hay con qué medirla.</w:t>
      </w:r>
    </w:p>
    <w:p>
      <w:pPr>
        <w:pStyle w:val="Heading2"/>
      </w:pPr>
      <w:r>
        <w:t xml:space="preserve">E.6 Beneficiario Controlador (Cap. III Quinquies)</w:t>
      </w:r>
    </w:p>
    <w:p>
      <w:pPr>
        <w:pStyle w:val="ListParagraph"/>
        <w:numPr>
          <w:ilvl w:val="0"/>
          <w:numId w:val="2"/>
        </w:numPr>
        <w:spacing w:after="60" w:line="280"/>
      </w:pPr>
      <w:r>
        <w:t xml:space="preserve">Criterios y procedimiento en el Manual. Orden de prelación para personas morales: 1) quien tenga el 25% o más del capital; 2) quien controle por otros medios (estrategia, decisiones, políticas); 3) el funcionario de mayor grado o alta dirección (23 Quinquies).</w:t>
      </w:r>
    </w:p>
    <w:p>
      <w:pPr>
        <w:pStyle w:val="ListParagraph"/>
        <w:numPr>
          <w:ilvl w:val="0"/>
          <w:numId w:val="2"/>
        </w:numPr>
        <w:spacing w:after="60" w:line="280"/>
      </w:pPr>
      <w:r>
        <w:t xml:space="preserve">Fideicomisos: quien ejerza el control efectivo en última instancia (fiduciario, fideicomitente, fideicomisario, protector o comité técnico), ascendiendo por la cadena hasta una persona física. Identificación previa a la operación o al inicio de la relación (23 Quinquies 1).</w:t>
      </w:r>
    </w:p>
    <w:p>
      <w:pPr>
        <w:pStyle w:val="ListParagraph"/>
        <w:numPr>
          <w:ilvl w:val="0"/>
          <w:numId w:val="2"/>
        </w:numPr>
        <w:spacing w:after="60" w:line="280"/>
      </w:pPr>
      <w:r>
        <w:t xml:space="preserve">Excepciones: emisoras que coticen en bolsa (con su clave de pizarra) y personas de los Anexos 4 Bis, 6 Bis, 7-A y 7 Bis A (23 Quinquies 2).</w:t>
      </w:r>
    </w:p>
    <w:p>
      <w:pPr>
        <w:pStyle w:val="Heading2"/>
      </w:pPr>
      <w:r>
        <w:t xml:space="preserve">E.7 Manual, capacitación y personal</w:t>
      </w:r>
    </w:p>
    <w:p>
      <w:pPr>
        <w:pStyle w:val="ListParagraph"/>
        <w:numPr>
          <w:ilvl w:val="0"/>
          <w:numId w:val="2"/>
        </w:numPr>
        <w:spacing w:after="60" w:line="280"/>
      </w:pPr>
      <w:r>
        <w:rPr>
          <w:b/>
          <w:bCs/>
        </w:rPr>
        <w:t xml:space="preserve">Manual</w:t>
      </w:r>
      <w:r>
        <w:t xml:space="preserve"> (37 y 37 Bis): a los 90 días del alta; catorce contenidos mínimos, entre ellos la clasificación de riesgo, la debida diligencia por grado de riesgo, PEP, perfil transaccional, Avisos, acumulación, listas, encargado de cumplimiento, capacitación, control interno y auditoría. Puede exentarse lo que no se realice, dejándolo asentado (37 Bis 2).</w:t>
      </w:r>
    </w:p>
    <w:p>
      <w:pPr>
        <w:pStyle w:val="ListParagraph"/>
        <w:numPr>
          <w:ilvl w:val="0"/>
          <w:numId w:val="2"/>
        </w:numPr>
        <w:spacing w:after="60" w:line="280"/>
      </w:pPr>
      <w:r>
        <w:rPr>
          <w:b/>
          <w:bCs/>
        </w:rPr>
        <w:t xml:space="preserve">Capacitación</w:t>
      </w:r>
      <w:r>
        <w:t xml:space="preserve"> (39 Bis): al menos una vez al año, con temas coherentes con la evaluación de riesgo; impartida por quien acredite cinco años de experiencia; con evaluación y constancia; evidencia 10 años (39 Bis 1).</w:t>
      </w:r>
    </w:p>
    <w:p>
      <w:pPr>
        <w:pStyle w:val="ListParagraph"/>
        <w:numPr>
          <w:ilvl w:val="0"/>
          <w:numId w:val="2"/>
        </w:numPr>
        <w:spacing w:after="60" w:line="280"/>
      </w:pPr>
      <w:r>
        <w:rPr>
          <w:b/>
          <w:bCs/>
        </w:rPr>
        <w:t xml:space="preserve">Selección de personal</w:t>
      </w:r>
      <w:r>
        <w:t xml:space="preserve"> (39 Bis 2): procedimientos y declaración firmada de cada funcionario o empleado.</w:t>
      </w:r>
    </w:p>
    <w:p>
      <w:pPr>
        <w:pStyle w:val="Heading2"/>
      </w:pPr>
      <w:r>
        <w:t xml:space="preserve">E.8 Sistema automatizado (Cap. XIII, art. 41)</w:t>
      </w:r>
    </w:p>
    <w:p>
      <w:pPr>
        <w:spacing w:after="120" w:before="0" w:line="286"/>
      </w:pPr>
      <w:r>
        <w:t xml:space="preserve">Razonablemente adecuado al volumen, naturaleza, complejidad y riesgo. Funciones mínimas: expediente del cliente; base consolidada por cliente con monitoreo del perfil y acumulación; información para la metodología; ejecución del modelo de grado de riesgo con histórico de 10 años; alertas para clientes de riesgo alto, PEP, personas en listas y jurisdicciones de riesgo; y monitoreo de efectivo y metales para el art. 32 de la Ley.</w:t>
      </w:r>
    </w:p>
    <w:p>
      <w:pPr>
        <w:pStyle w:val="Heading2"/>
      </w:pPr>
      <w:r>
        <w:t xml:space="preserve">E.9 Auditoría (Cap. XIV, arts. 42 a 50)</w:t>
      </w:r>
    </w:p>
    <w:p>
      <w:pPr>
        <w:pStyle w:val="ListParagraph"/>
        <w:numPr>
          <w:ilvl w:val="0"/>
          <w:numId w:val="2"/>
        </w:numPr>
        <w:spacing w:after="60" w:line="280"/>
      </w:pPr>
      <w:r>
        <w:t xml:space="preserve">Revisión anual del 1 de enero al 31 de diciembre sobre la efectividad del cumplimiento (42). Primer año de operaciones: desde el inicio hasta el 31 de diciembre del año siguiente (43).</w:t>
      </w:r>
    </w:p>
    <w:p>
      <w:pPr>
        <w:pStyle w:val="ListParagraph"/>
        <w:numPr>
          <w:ilvl w:val="0"/>
          <w:numId w:val="2"/>
        </w:numPr>
        <w:spacing w:after="60" w:line="280"/>
      </w:pPr>
      <w:r>
        <w:t xml:space="preserve">Riesgo del negocio bajo o medio: puede dictaminar auditoría o control interno independiente del encargado de cumplimiento (44). Riesgo alto, o por elección: auditor externo independiente con certificación vigente de la UIF y los demás requisitos del art. 45.</w:t>
      </w:r>
    </w:p>
    <w:p>
      <w:pPr>
        <w:pStyle w:val="ListParagraph"/>
        <w:numPr>
          <w:ilvl w:val="0"/>
          <w:numId w:val="2"/>
        </w:numPr>
        <w:spacing w:after="60" w:line="280"/>
      </w:pPr>
      <w:r>
        <w:t xml:space="preserve">Metodología del auditor con cuestionario de conocimiento del auditado y análisis de su riesgo (47); cinco resultados posibles por obligación (48); hallazgos con acciones correctivas (49). Entrega a más tardar el último día hábil de marzo (50).</w:t>
      </w:r>
    </w:p>
    <w:p>
      <w:pPr>
        <w:pStyle w:val="Heading2"/>
      </w:pPr>
      <w:r>
        <w:t xml:space="preserve">E.10 Avisos de 24 horas (arts. 26 Bis a 26 Bis 2)</w:t>
      </w:r>
    </w:p>
    <w:p>
      <w:pPr>
        <w:spacing w:after="120" w:before="0" w:line="286"/>
      </w:pPr>
      <w:r>
        <w:t xml:space="preserve">Dos supuestos: por </w:t>
      </w:r>
      <w:r>
        <w:rPr>
          <w:b/>
          <w:bCs/>
        </w:rPr>
        <w:t xml:space="preserve">sospecha</w:t>
      </w:r>
      <w:r>
        <w:t xml:space="preserve">, cuando por lo que conoces del cliente y de la operación reconoces algo inusitado (26 Bis), y por </w:t>
      </w:r>
      <w:r>
        <w:rPr>
          <w:b/>
          <w:bCs/>
        </w:rPr>
        <w:t xml:space="preserve">hechos o indicios</w:t>
      </w:r>
      <w:r>
        <w:t xml:space="preserve"> que conoces por otras fuentes (26 Bis 1). Se pueden enviar aunque la operación no alcance el monto o no se haya celebrado, siempre que tengas datos para identificar a quien la intentó (26 Bis 2, en relación con el art. 7 Bis del Reglamento). El envío arranca seis meses después de que se publique el formato (Trans. Quinto).</w:t>
      </w:r>
    </w:p>
    <w:p>
      <w:pPr>
        <w:spacing w:after="120" w:before="0" w:line="286"/>
      </w:pPr>
      <w:r>
        <w:t xml:space="preserve">Este apéndice resume las RCG con base en el texto publicado en el DOF del 7 de agosto de 2026. Ante cualquier duda de aplicación, prevalece el texto oficial.</w:t>
      </w:r>
    </w:p>
    <w:p>
      <w:pPr>
        <w:pStyle w:val="Heading1"/>
      </w:pPr>
      <w:r>
        <w:t xml:space="preserve">La herramienta que acompaña este libro: el Excel de Actividades Vulnerables</w:t>
      </w:r>
    </w:p>
    <w:p>
      <w:pPr>
        <w:spacing w:after="120" w:before="0" w:line="286"/>
      </w:pPr>
      <w:r>
        <w:t xml:space="preserve">Junto con este libro recibes un archivo de Excel listo para usar. El libro te enseña a pensar el riesgo; el Excel te ayuda a calcularlo y documentarlo en tu día a día. No necesitas saber de fórmulas: solo capturar en las casillas amarillas.</w:t>
      </w:r>
    </w:p>
    <w:p>
      <w:pPr>
        <w:pStyle w:val="Heading2"/>
      </w:pPr>
      <w:r>
        <w:t xml:space="preserve">Qué trae y para qué sirve cada hoja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rPr>
          <w:tblHeader/>
        </w:trPr>
        <w:tc>
          <w:tcPr>
            <w:tcW w:type="dxa" w:w="546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Si quieres...</w:t>
            </w:r>
          </w:p>
        </w:tc>
        <w:tc>
          <w:tcPr>
            <w:tcW w:type="dxa" w:w="3900"/>
            <w:tcBorders>
              <w:top w:val="single" w:color="FFFFFF" w:sz="2"/>
              <w:left w:val="single" w:color="FFFFFF" w:sz="2"/>
              <w:bottom w:val="single" w:color="FFFFFF" w:sz="2"/>
              <w:right w:val="single" w:color="FFFFFF" w:sz="2"/>
            </w:tcBorders>
            <w:shd w:fill="9E1B1B" w:val="clear"/>
            <w:tcMar>
              <w:top w:type="dxa" w:w="70"/>
              <w:left w:type="dxa" w:w="110"/>
              <w:bottom w:type="dxa" w:w="70"/>
              <w:right w:type="dxa" w:w="110"/>
            </w:tcMar>
          </w:tcPr>
          <w:p>
            <w:r>
              <w:rPr>
                <w:b/>
                <w:bCs/>
                <w:color w:val="FFFFFF"/>
                <w:sz w:val="21"/>
                <w:szCs w:val="21"/>
              </w:rPr>
              <w:t xml:space="preserve">Abre la hoja</w:t>
            </w:r>
          </w:p>
        </w:tc>
      </w:tr>
      <w:tr>
        <w:tc>
          <w:tcPr>
            <w:tcW w:type="dxa" w:w="54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Consultar rápido un umbral en UMA y en pesos</w:t>
            </w:r>
          </w:p>
        </w:tc>
        <w:tc>
          <w:tcPr>
            <w:tcW w:type="dxa" w:w="39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RESUMEN AV</w:t>
            </w:r>
          </w:p>
        </w:tc>
      </w:tr>
      <w:tr>
        <w:tc>
          <w:tcPr>
            <w:tcW w:type="dxa" w:w="54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Saber si un caso ya obliga a identificar o avisar</w:t>
            </w:r>
          </w:p>
        </w:tc>
        <w:tc>
          <w:tcPr>
            <w:tcW w:type="dxa" w:w="39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CALCULADORA AV</w:t>
            </w:r>
          </w:p>
        </w:tc>
      </w:tr>
      <w:tr>
        <w:tc>
          <w:tcPr>
            <w:tcW w:type="dxa" w:w="54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Ver el detalle técnico-legal de una actividad</w:t>
            </w:r>
          </w:p>
        </w:tc>
        <w:tc>
          <w:tcPr>
            <w:tcW w:type="dxa" w:w="39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BASE AV</w:t>
            </w:r>
          </w:p>
        </w:tc>
      </w:tr>
      <w:tr>
        <w:tc>
          <w:tcPr>
            <w:tcW w:type="dxa" w:w="54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Investigar señales de alerta por tipología</w:t>
            </w:r>
          </w:p>
        </w:tc>
        <w:tc>
          <w:tcPr>
            <w:tcW w:type="dxa" w:w="39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ALERTAS AV</w:t>
            </w:r>
          </w:p>
        </w:tc>
      </w:tr>
      <w:tr>
        <w:tc>
          <w:tcPr>
            <w:tcW w:type="dxa" w:w="54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Entender qué significa un tipo de alerta</w:t>
            </w:r>
          </w:p>
        </w:tc>
        <w:tc>
          <w:tcPr>
            <w:tcW w:type="dxa" w:w="39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DICCIONARIO_ALERTAS</w:t>
            </w:r>
          </w:p>
        </w:tc>
      </w:tr>
      <w:tr>
        <w:tc>
          <w:tcPr>
            <w:tcW w:type="dxa" w:w="546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Ver qué actividad concentra más riesgo</w:t>
            </w:r>
          </w:p>
        </w:tc>
        <w:tc>
          <w:tcPr>
            <w:tcW w:type="dxa" w:w="3900"/>
            <w:tcBorders>
              <w:top w:val="single" w:color="D9DEE3" w:sz="2"/>
              <w:left w:val="single" w:color="D9DEE3" w:sz="2"/>
              <w:bottom w:val="single" w:color="D9DEE3" w:sz="2"/>
              <w:right w:val="single" w:color="D9DEE3" w:sz="2"/>
            </w:tcBorders>
            <w:shd w:fill="F4F6F8" w:val="clear"/>
            <w:tcMar>
              <w:top w:type="dxa" w:w="60"/>
              <w:left w:type="dxa" w:w="110"/>
              <w:bottom w:type="dxa" w:w="60"/>
              <w:right w:type="dxa" w:w="110"/>
            </w:tcMar>
          </w:tcPr>
          <w:p>
            <w:r>
              <w:rPr>
                <w:sz w:val="20"/>
                <w:szCs w:val="20"/>
              </w:rPr>
              <w:t xml:space="preserve">MATRIZ_RIESGO</w:t>
            </w:r>
          </w:p>
        </w:tc>
      </w:tr>
      <w:tr>
        <w:tc>
          <w:tcPr>
            <w:tcW w:type="dxa" w:w="546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Actualizar la UMA cada año (un solo paso)</w:t>
            </w:r>
          </w:p>
        </w:tc>
        <w:tc>
          <w:tcPr>
            <w:tcW w:type="dxa" w:w="3900"/>
            <w:tcBorders>
              <w:top w:val="single" w:color="D9DEE3" w:sz="2"/>
              <w:left w:val="single" w:color="D9DEE3" w:sz="2"/>
              <w:bottom w:val="single" w:color="D9DEE3" w:sz="2"/>
              <w:right w:val="single" w:color="D9DEE3" w:sz="2"/>
            </w:tcBorders>
            <w:shd w:fill="FFFFFF" w:val="clear"/>
            <w:tcMar>
              <w:top w:type="dxa" w:w="60"/>
              <w:left w:type="dxa" w:w="110"/>
              <w:bottom w:type="dxa" w:w="60"/>
              <w:right w:type="dxa" w:w="110"/>
            </w:tcMar>
          </w:tcPr>
          <w:p>
            <w:r>
              <w:rPr>
                <w:sz w:val="20"/>
                <w:szCs w:val="20"/>
              </w:rPr>
              <w:t xml:space="preserve">CAT, celda B8</w:t>
            </w:r>
          </w:p>
        </w:tc>
      </w:tr>
    </w:tbl>
    <w:p>
      <w:pPr>
        <w:pStyle w:val="Heading2"/>
      </w:pPr>
      <w:r>
        <w:t xml:space="preserve">La regla de los colores (vale para todo el archivo)</w:t>
      </w:r>
    </w:p>
    <w:p>
      <w:pPr>
        <w:pStyle w:val="ListParagraph"/>
        <w:numPr>
          <w:ilvl w:val="0"/>
          <w:numId w:val="2"/>
        </w:numPr>
        <w:spacing w:after="60" w:line="280"/>
      </w:pPr>
      <w:r>
        <w:rPr>
          <w:b/>
          <w:bCs/>
        </w:rPr>
        <w:t xml:space="preserve">Amarillo con texto azul: </w:t>
      </w:r>
      <w:r>
        <w:t xml:space="preserve">aquí capturas tú. Es lo único editable.</w:t>
      </w:r>
    </w:p>
    <w:p>
      <w:pPr>
        <w:pStyle w:val="ListParagraph"/>
        <w:numPr>
          <w:ilvl w:val="0"/>
          <w:numId w:val="2"/>
        </w:numPr>
        <w:spacing w:after="60" w:line="280"/>
      </w:pPr>
      <w:r>
        <w:rPr>
          <w:b/>
          <w:bCs/>
        </w:rPr>
        <w:t xml:space="preserve">Blanco o negro: </w:t>
      </w:r>
      <w:r>
        <w:t xml:space="preserve">son fórmulas. No las toques o se descompone el cálculo.</w:t>
      </w:r>
    </w:p>
    <w:p>
      <w:pPr>
        <w:pStyle w:val="ListParagraph"/>
        <w:numPr>
          <w:ilvl w:val="0"/>
          <w:numId w:val="2"/>
        </w:numPr>
        <w:spacing w:after="60" w:line="280"/>
      </w:pPr>
      <w:r>
        <w:rPr>
          <w:b/>
          <w:bCs/>
        </w:rPr>
        <w:t xml:space="preserve">Verde: </w:t>
      </w:r>
      <w:r>
        <w:t xml:space="preserve">esa actividad acumula (las operaciones se suman en 6 meses).</w:t>
      </w:r>
    </w:p>
    <w:p>
      <w:pPr>
        <w:pStyle w:val="ListParagraph"/>
        <w:numPr>
          <w:ilvl w:val="0"/>
          <w:numId w:val="2"/>
        </w:numPr>
        <w:spacing w:after="60" w:line="280"/>
      </w:pPr>
      <w:r>
        <w:rPr>
          <w:b/>
          <w:bCs/>
        </w:rPr>
        <w:t xml:space="preserve">Ámbar: </w:t>
      </w:r>
      <w:r>
        <w:t xml:space="preserve">aplica 'siempre', o riesgo medio.</w:t>
      </w:r>
    </w:p>
    <w:p>
      <w:pPr>
        <w:pStyle w:val="ListParagraph"/>
        <w:numPr>
          <w:ilvl w:val="0"/>
          <w:numId w:val="2"/>
        </w:numPr>
        <w:spacing w:after="60" w:line="280"/>
      </w:pPr>
      <w:r>
        <w:rPr>
          <w:b/>
          <w:bCs/>
        </w:rPr>
        <w:t xml:space="preserve">Rojo: </w:t>
      </w:r>
      <w:r>
        <w:t xml:space="preserve">es nuevo por la reforma 2026, o riesgo alto.</w:t>
      </w:r>
    </w:p>
    <w:p>
      <w:pPr>
        <w:pStyle w:val="Heading2"/>
      </w:pPr>
      <w:r>
        <w:t xml:space="preserve">Cómo usar la calculadora (lo más útil)</w:t>
      </w:r>
    </w:p>
    <w:p>
      <w:pPr>
        <w:spacing w:after="120" w:before="0" w:line="286"/>
      </w:pPr>
      <w:r>
        <w:t xml:space="preserve">La calculadora copia la mecánica del Art. 7 del Reglamento: va sumando lo que opera un cliente en un periodo de hasta 6 meses. Así no te agarra desprevenido cuando muchas operaciones chiquitas se juntan y pasan el monto. Ojo: solo se suman las operaciones que por sí solas ya obligan a identificar; captura solo esas (si en tu giro se identifica siempre, captura todas).</w:t>
      </w:r>
    </w:p>
    <w:p>
      <w:pPr>
        <w:pStyle w:val="ListParagraph"/>
        <w:numPr>
          <w:ilvl w:val="0"/>
          <w:numId w:val="12"/>
        </w:numPr>
        <w:spacing w:after="80" w:line="280"/>
      </w:pPr>
      <w:r>
        <w:t xml:space="preserve">Entra a la hoja CALCULADORA AV.</w:t>
      </w:r>
    </w:p>
    <w:p>
      <w:pPr>
        <w:pStyle w:val="ListParagraph"/>
        <w:numPr>
          <w:ilvl w:val="0"/>
          <w:numId w:val="12"/>
        </w:numPr>
        <w:spacing w:after="80" w:line="280"/>
      </w:pPr>
      <w:r>
        <w:t xml:space="preserve">En la celda B6, elige del menú la actividad de tu cliente.</w:t>
      </w:r>
    </w:p>
    <w:p>
      <w:pPr>
        <w:pStyle w:val="ListParagraph"/>
        <w:numPr>
          <w:ilvl w:val="0"/>
          <w:numId w:val="12"/>
        </w:numPr>
        <w:spacing w:after="80" w:line="280"/>
      </w:pPr>
      <w:r>
        <w:t xml:space="preserve">Solas aparecen la fracción, la categoría y los umbrales (en UMA y en pesos).</w:t>
      </w:r>
    </w:p>
    <w:p>
      <w:pPr>
        <w:pStyle w:val="ListParagraph"/>
        <w:numPr>
          <w:ilvl w:val="0"/>
          <w:numId w:val="12"/>
        </w:numPr>
        <w:spacing w:after="80" w:line="280"/>
      </w:pPr>
      <w:r>
        <w:t xml:space="preserve">En la columna amarilla, captura cuánto operó el cliente cada mes.</w:t>
      </w:r>
    </w:p>
    <w:p>
      <w:pPr>
        <w:pStyle w:val="ListParagraph"/>
        <w:numPr>
          <w:ilvl w:val="0"/>
          <w:numId w:val="12"/>
        </w:numPr>
        <w:spacing w:after="80" w:line="280"/>
      </w:pPr>
      <w:r>
        <w:t xml:space="preserve">El archivo suma los últimos 6 meses y te dice, mes con mes, si toca IDENTIFICAR (ámbar) o AVISAR (rojo), con la acción concreta a tomar.</w:t>
      </w:r>
    </w:p>
    <w:p>
      <w:pPr>
        <w:spacing w:after="120" w:before="0" w:line="286"/>
      </w:pPr>
      <w:r>
        <w:rPr>
          <w:b/>
          <w:bCs/>
        </w:rPr>
        <w:t xml:space="preserve">Ojo: </w:t>
      </w:r>
      <w:r>
        <w:t xml:space="preserve">si la actividad marca umbral 'Siempre', la obligación aplica desde la primera operación, sin importar el monto.</w:t>
      </w:r>
    </w:p>
    <w:p>
      <w:pPr>
        <w:pStyle w:val="Heading2"/>
      </w:pPr>
      <w:r>
        <w:t xml:space="preserve">Actualiza la UMA una vez al año</w:t>
      </w:r>
    </w:p>
    <w:p>
      <w:pPr>
        <w:spacing w:after="120" w:before="0" w:line="286"/>
      </w:pPr>
      <w:r>
        <w:t xml:space="preserve">El INEGI publica el nuevo valor de la UMA cada enero (entra en vigor el 1 de febrero). Para que todo el archivo recalcule, solo cambia un número: ve a la hoja CAT, celda B8 (la amarilla con borde azul), y reemplaza el valor. Listo: todos los pesos del archivo se actualizan solos. Histórico reciente: 2026 = $117.31, 2025 = $113.14, 2024 = $108.57.</w:t>
      </w:r>
    </w:p>
    <w:p>
      <w:pPr>
        <w:pStyle w:val="Heading2"/>
      </w:pPr>
      <w:r>
        <w:t xml:space="preserve">Lo que el Excel NO hace por ti</w:t>
      </w:r>
    </w:p>
    <w:p>
      <w:pPr>
        <w:spacing w:after="120" w:before="0" w:line="286"/>
      </w:pPr>
      <w:r>
        <w:t xml:space="preserve">Es una herramienta de apoyo, no un sustituto de tu criterio. La clasificación de las alertas es una propuesta para que tú la calibres. La decisión final de identificar, reportar o presentar un Aviso es del oficial de cumplimiento o del responsable que designes, viendo el caso completo: el cliente, la operación y los papeles que la respaldan.</w:t>
      </w:r>
    </w:p>
    <w:p>
      <w:r>
        <w:br w:type="page"/>
      </w:r>
    </w:p>
    <w:p>
      <w:pPr>
        <w:spacing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C1272D" w:val="clear"/>
            <w:tcMar>
              <w:top w:type="dxa" w:w="400"/>
              <w:left w:type="dxa" w:w="360"/>
              <w:bottom w:type="dxa" w:w="400"/>
              <w:right w:type="dxa" w:w="360"/>
            </w:tcMar>
          </w:tcPr>
          <w:p>
            <w:pPr>
              <w:spacing w:after="100"/>
            </w:pPr>
            <w:r>
              <w:rPr>
                <w:b/>
                <w:bCs/>
                <w:color w:val="FFFFFF"/>
                <w:sz w:val="30"/>
                <w:szCs w:val="30"/>
              </w:rPr>
              <w:t xml:space="preserve">Del cumplimiento declarativo al control verificable.</w:t>
            </w:r>
          </w:p>
          <w:p>
            <w:r>
              <w:rPr>
                <w:color w:val="FFFFFF"/>
                <w:sz w:val="22"/>
                <w:szCs w:val="22"/>
              </w:rPr>
              <w:t xml:space="preserve">La Ley, el Reglamento y las Reglas ya cambiaron. Las fechas fuertes llegan en 2027.</w:t>
            </w:r>
          </w:p>
          <w:p>
            <w:r>
              <w:rPr>
                <w:color w:val="FFFFFF"/>
                <w:sz w:val="22"/>
                <w:szCs w:val="22"/>
              </w:rPr>
              <w:t xml:space="preserve">El tiempo entre hoy y marzo de 2027 no es tiempo de espera. Es tiempo de preparación.</w:t>
            </w:r>
          </w:p>
        </w:tc>
      </w:tr>
    </w:tbl>
    <w:p>
      <w:pPr>
        <w:spacing w:after="360"/>
      </w:pPr>
      <w:r>
        <w:t xml:space="preserve"/>
      </w:r>
    </w:p>
    <w:p>
      <w:pPr>
        <w:pStyle w:val="Heading2"/>
      </w:pPr>
      <w:r>
        <w:t xml:space="preserve">El siguiente paso</w:t>
      </w:r>
    </w:p>
    <w:p>
      <w:pPr>
        <w:spacing w:after="120" w:before="0" w:line="286"/>
      </w:pPr>
      <w:r>
        <w:t xml:space="preserve">Este libro te dio el mapa y el Excel te da la calculadora. El paso que sigue es medir, en números, qué tan expuesto está tu negocio y armar tu plan de control a la medida. Eso es justo lo que hacemos en GMC360 con la metodología 360Risk: una evaluación de riesgo lista para defenderte ante una visita.</w:t>
      </w:r>
    </w:p>
    <w:p>
      <w:pPr>
        <w:spacing w:after="200"/>
      </w:pPr>
      <w:r>
        <w:t xml:space="preserve"/>
      </w:r>
    </w:p>
    <w:p>
      <w:pPr>
        <w:spacing w:after="120" w:before="0" w:line="286"/>
      </w:pPr>
      <w:r>
        <w:rPr>
          <w:b/>
          <w:bCs/>
          <w:color w:val="9E1B1B"/>
          <w:sz w:val="24"/>
          <w:szCs w:val="24"/>
        </w:rPr>
        <w:t xml:space="preserve">GMC360  ·  360Educa</w:t>
      </w:r>
    </w:p>
    <w:p>
      <w:pPr>
        <w:spacing w:after="120" w:before="0" w:line="286"/>
      </w:pPr>
      <w:r>
        <w:t xml:space="preserve">Asesoría y capacitación especializada en cumplimiento PLD/FT.</w:t>
      </w:r>
    </w:p>
    <w:p>
      <w:pPr>
        <w:spacing w:after="120" w:before="0" w:line="286"/>
      </w:pPr>
      <w:r>
        <w:t xml:space="preserve">capacitacion@gmc360.com.mx  ·  www.gmc360.com.mx  ·  www.360educa.com</w:t>
      </w:r>
    </w:p>
    <w:p>
      <w:pPr>
        <w:spacing w:after="200"/>
      </w:pPr>
      <w:r>
        <w:t xml:space="preserve"/>
      </w:r>
    </w:p>
    <w:p>
      <w:pPr>
        <w:spacing w:after="120" w:before="0" w:line="286"/>
      </w:pPr>
      <w:r>
        <w:rPr>
          <w:i/>
          <w:iCs/>
          <w:color w:val="777777"/>
          <w:sz w:val="16"/>
          <w:szCs w:val="16"/>
        </w:rPr>
        <w:t xml:space="preserve">Material de estudio y consulta. No constituye asesoría legal específica. Para situaciones concretas, consulta con tu asesor.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360"/>
      </w:tabs>
    </w:pPr>
    <w:r>
      <w:rPr>
        <w:color w:val="888888"/>
        <w:sz w:val="15"/>
        <w:szCs w:val="15"/>
      </w:rPr>
      <w:t xml:space="preserve">Zona de Riesgo  ·  Reforma LFPIORPI 2025-2026  ·  GMC360 / 360Educa</w:t>
    </w:r>
    <w:r>
      <w:rPr>
        <w:sz w:val="15"/>
        <w:szCs w:val="15"/>
      </w:rPr>
      <w:t xml:space="preserve">	</w:t>
    </w:r>
    <w:r>
      <w:rPr>
        <w:color w:val="888888"/>
        <w:sz w:val="15"/>
        <w:szCs w:val="15"/>
      </w:rPr>
      <w:t xml:space="preserve">Pág.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1272D" w:sz="18" w:space="6"/>
      </w:pBdr>
      <w:spacing w:after="220" w:before="280"/>
      <w:outlineLvl w:val="0"/>
    </w:pPr>
    <w:rPr>
      <w:rFonts w:ascii="Arial" w:cs="Arial" w:eastAsia="Arial" w:hAnsi="Arial"/>
      <w:b/>
      <w:bCs/>
      <w:color w:val="1A1A1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9E1B1B"/>
      <w:sz w:val="32"/>
      <w:szCs w:val="32"/>
    </w:rPr>
  </w:style>
  <w:style w:type="paragraph" w:styleId="Heading3">
    <w:name w:val="Heading 3"/>
    <w:basedOn w:val="Normal"/>
    <w:next w:val="Normal"/>
    <w:qFormat/>
    <w:pPr>
      <w:spacing w:after="90" w:before="180"/>
      <w:outlineLvl w:val="2"/>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Zona de Riesgo - Guia de la Reforma LFPIORPI 2025-2026</dc:title>
  <dc:creator>GMC360 / 360Educa</dc:creator>
  <cp:lastModifiedBy>Un-named</cp:lastModifiedBy>
  <cp:revision>1</cp:revision>
  <dcterms:created xsi:type="dcterms:W3CDTF">2026-05-27T02:13:47.473Z</dcterms:created>
  <dcterms:modified xsi:type="dcterms:W3CDTF">2026-05-27T02:13:47.473Z</dcterms:modified>
</cp:coreProperties>
</file>

<file path=docProps/custom.xml><?xml version="1.0" encoding="utf-8"?>
<Properties xmlns="http://schemas.openxmlformats.org/officeDocument/2006/custom-properties" xmlns:vt="http://schemas.openxmlformats.org/officeDocument/2006/docPropsVTypes"/>
</file>