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64C27B"/>
          <w:sz w:val="18"/>
          <w:szCs w:val="18"/>
        </w:rPr>
        <w:t xml:space="preserve">TALLER ANTILAVADO 360 · DE LA LEY A LA PRÁCTICA</w:t>
      </w:r>
    </w:p>
    <w:p>
      <w:pPr>
        <w:spacing w:after="200"/>
      </w:pPr>
      <w:r>
        <w:rPr>
          <w:rFonts w:ascii="Arial" w:cs="Arial" w:eastAsia="Arial" w:hAnsi="Arial"/>
          <w:color w:val="4D4D4D"/>
          <w:sz w:val="18"/>
          <w:szCs w:val="18"/>
        </w:rPr>
        <w:t xml:space="preserve">Sesión 4 · Plantilla 04 del kit de cumplimiento</w:t>
      </w:r>
    </w:p>
    <w:p>
      <w:pPr>
        <w:spacing w:after="120"/>
      </w:pPr>
      <w:r>
        <w:rPr>
          <w:rFonts w:ascii="Arial" w:cs="Arial" w:eastAsia="Arial" w:hAnsi="Arial"/>
          <w:b/>
          <w:bCs/>
          <w:color w:val="1B1B1E"/>
          <w:sz w:val="44"/>
          <w:szCs w:val="44"/>
        </w:rPr>
        <w:t xml:space="preserve">Protocolo del Aviso de 24 horas</w:t>
      </w:r>
    </w:p>
    <w:p>
      <w:pPr>
        <w:spacing w:after="320"/>
      </w:pPr>
      <w:r>
        <w:rPr>
          <w:rFonts w:ascii="Arial" w:cs="Arial" w:eastAsia="Arial" w:hAnsi="Arial"/>
          <w:color w:val="4D4D4D"/>
          <w:sz w:val="22"/>
          <w:szCs w:val="22"/>
        </w:rPr>
        <w:t xml:space="preserve">Detección, análisis, decisión y registro de la sospecha, del hecho o indicio, y de la operación intentada que no se celebró</w:t>
      </w:r>
    </w:p>
    <w:tbl>
      <w:tblPr>
        <w:tblW w:type="dxa" w:w="9360"/>
        <w:tblBorders>
          <w:top w:val="single" w:color="D9D9D9" w:sz="2"/>
          <w:left w:val="single" w:color="D9D9D9" w:sz="2"/>
          <w:bottom w:val="single" w:color="D9D9D9" w:sz="2"/>
          <w:right w:val="single" w:color="D9D9D9" w:sz="2"/>
          <w:insideH w:val="single" w:color="D9D9D9" w:sz="2"/>
          <w:insideV w:val="single" w:color="D9D9D9" w:sz="2"/>
        </w:tblBorders>
      </w:tblPr>
      <w:tblGrid>
        <w:gridCol w:w="3200"/>
        <w:gridCol w:w="6160"/>
      </w:tblGrid>
      <w:tr>
        <w:trPr>
          <w:tblHeader/>
        </w:trPr>
        <w:tc>
          <w:tcPr>
            <w:tcW w:type="dxa" w:w="3200"/>
            <w:shd w:fill="64C27B" w:color="auto" w:val="clear"/>
            <w:tcMar>
              <w:top w:type="dxa" w:w="80"/>
              <w:left w:type="dxa" w:w="110"/>
              <w:bottom w:type="dxa" w:w="80"/>
              <w:right w:type="dxa" w:w="110"/>
            </w:tcMar>
          </w:tcPr>
          <w:p>
            <w:pPr>
              <w:spacing w:after="40"/>
            </w:pPr>
            <w:r>
              <w:rPr>
                <w:rFonts w:ascii="Arial" w:cs="Arial" w:eastAsia="Arial" w:hAnsi="Arial"/>
                <w:b/>
                <w:bCs/>
                <w:i w:val="false"/>
                <w:iCs w:val="false"/>
                <w:color w:val="1B1B1E"/>
                <w:sz w:val="18"/>
                <w:szCs w:val="18"/>
              </w:rPr>
              <w:t xml:space="preserve">Dato</w:t>
            </w:r>
          </w:p>
        </w:tc>
        <w:tc>
          <w:tcPr>
            <w:tcW w:type="dxa" w:w="6160"/>
            <w:shd w:fill="64C27B" w:color="auto" w:val="clear"/>
            <w:tcMar>
              <w:top w:type="dxa" w:w="80"/>
              <w:left w:type="dxa" w:w="110"/>
              <w:bottom w:type="dxa" w:w="80"/>
              <w:right w:type="dxa" w:w="110"/>
            </w:tcMar>
          </w:tcPr>
          <w:p>
            <w:pPr>
              <w:spacing w:after="40"/>
            </w:pPr>
            <w:r>
              <w:rPr>
                <w:rFonts w:ascii="Arial" w:cs="Arial" w:eastAsia="Arial" w:hAnsi="Arial"/>
                <w:b/>
                <w:bCs/>
                <w:i w:val="false"/>
                <w:iCs w:val="false"/>
                <w:color w:val="1B1B1E"/>
                <w:sz w:val="18"/>
                <w:szCs w:val="18"/>
              </w:rPr>
              <w:t xml:space="preserve">Contenido</w:t>
            </w:r>
          </w:p>
        </w:tc>
      </w:tr>
      <w:tr>
        <w:tc>
          <w:tcPr>
            <w:tcW w:type="dxa" w:w="32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Nombre de quien realiza la Actividad Vulnerable</w:t>
            </w:r>
          </w:p>
        </w:tc>
        <w:tc>
          <w:tcPr>
            <w:tcW w:type="dxa" w:w="61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________________________________________</w:t>
            </w:r>
          </w:p>
        </w:tc>
      </w:tr>
      <w:tr>
        <w:tc>
          <w:tcPr>
            <w:tcW w:type="dxa" w:w="32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Registro Federal de Contribuyentes</w:t>
            </w:r>
          </w:p>
        </w:tc>
        <w:tc>
          <w:tcPr>
            <w:tcW w:type="dxa" w:w="61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________________________________________</w:t>
            </w:r>
          </w:p>
        </w:tc>
      </w:tr>
      <w:tr>
        <w:tc>
          <w:tcPr>
            <w:tcW w:type="dxa" w:w="32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Fracción o fracciones del artículo 17 de la Ley</w:t>
            </w:r>
          </w:p>
        </w:tc>
        <w:tc>
          <w:tcPr>
            <w:tcW w:type="dxa" w:w="61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________________________________________</w:t>
            </w:r>
          </w:p>
        </w:tc>
      </w:tr>
      <w:tr>
        <w:tc>
          <w:tcPr>
            <w:tcW w:type="dxa" w:w="32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Persona Representante Encargada de Cumplimiento</w:t>
            </w:r>
          </w:p>
        </w:tc>
        <w:tc>
          <w:tcPr>
            <w:tcW w:type="dxa" w:w="61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________________________________________</w:t>
            </w:r>
          </w:p>
        </w:tc>
      </w:tr>
      <w:tr>
        <w:tc>
          <w:tcPr>
            <w:tcW w:type="dxa" w:w="32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Fecha de aprobación de este protocolo</w:t>
            </w:r>
          </w:p>
        </w:tc>
        <w:tc>
          <w:tcPr>
            <w:tcW w:type="dxa" w:w="61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________________________________________</w:t>
            </w:r>
          </w:p>
        </w:tc>
      </w:tr>
      <w:tr>
        <w:tc>
          <w:tcPr>
            <w:tcW w:type="dxa" w:w="32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Versión</w:t>
            </w:r>
          </w:p>
        </w:tc>
        <w:tc>
          <w:tcPr>
            <w:tcW w:type="dxa" w:w="61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1.0</w:t>
            </w:r>
          </w:p>
        </w:tc>
      </w:tr>
    </w:tbl>
    <w:p>
      <w:pPr>
        <w:spacing w:after="240" w:before="0"/>
      </w:pPr>
      <w:r>
        <w:rPr>
          <w:rFonts w:ascii="Arial" w:cs="Arial" w:eastAsia="Arial" w:hAnsi="Arial"/>
          <w:color w:val="1B1B1E"/>
          <w:sz w:val="20"/>
          <w:szCs w:val="20"/>
        </w:rPr>
        <w:t xml:space="preserve"/>
      </w:r>
    </w:p>
    <w:tbl>
      <w:tblPr>
        <w:tblW w:type="dxa" w:w="9360"/>
        <w:tblBorders>
          <w:top w:val="single" w:color="64C27B" w:sz="6"/>
          <w:left w:val="single" w:color="64C27B" w:sz="6"/>
          <w:bottom w:val="single" w:color="64C27B" w:sz="6"/>
          <w:right w:val="single" w:color="64C27B" w:sz="6"/>
          <w:insideH w:val="none"/>
          <w:insideV w:val="none"/>
        </w:tblBorders>
      </w:tblPr>
      <w:tblGrid>
        <w:gridCol w:w="9360"/>
      </w:tblGrid>
      <w:tr>
        <w:tc>
          <w:tcPr>
            <w:tcW w:type="dxa" w:w="9360"/>
            <w:shd w:fill="FFF6DA" w:color="auto" w:val="clear"/>
            <w:tcMar>
              <w:top w:type="dxa" w:w="140"/>
              <w:left w:type="dxa" w:w="160"/>
              <w:bottom w:type="dxa" w:w="140"/>
              <w:right w:type="dxa" w:w="160"/>
            </w:tcMar>
          </w:tcPr>
          <w:p>
            <w:pPr>
              <w:spacing w:after="80"/>
            </w:pPr>
            <w:r>
              <w:rPr>
                <w:rFonts w:ascii="Arial" w:cs="Arial" w:eastAsia="Arial" w:hAnsi="Arial"/>
                <w:b/>
                <w:bCs/>
                <w:color w:val="1B1B1E"/>
                <w:sz w:val="20"/>
                <w:szCs w:val="20"/>
              </w:rPr>
              <w:t xml:space="preserve">Cómo se usa esta plantilla</w:t>
            </w:r>
          </w:p>
          <w:p>
            <w:pPr>
              <w:spacing w:after="60"/>
            </w:pPr>
            <w:r>
              <w:rPr>
                <w:rFonts w:ascii="Arial" w:cs="Arial" w:eastAsia="Arial" w:hAnsi="Arial"/>
                <w:color w:val="1B1B1E"/>
                <w:sz w:val="19"/>
                <w:szCs w:val="19"/>
              </w:rPr>
              <w:t xml:space="preserve">Está escrita para que usted la haga suya. Los espacios en blanco se llenan; los corchetes se sustituyen; lo que no aplique a su operación se suprime dejando escrito por qué, tal como manda el artículo 37 Bis 2 de las Reglas para las exenciones del Manual.</w:t>
            </w:r>
          </w:p>
          <w:p>
            <w:pPr>
              <w:spacing w:after="60"/>
            </w:pPr>
            <w:r>
              <w:rPr>
                <w:rFonts w:ascii="Arial" w:cs="Arial" w:eastAsia="Arial" w:hAnsi="Arial"/>
                <w:color w:val="1B1B1E"/>
                <w:sz w:val="19"/>
                <w:szCs w:val="19"/>
              </w:rPr>
              <w:t xml:space="preserve">El protocolo no vive solo: se incorpora al Manual de Políticas Internas como el desarrollo de las fracciones V y VI del artículo 37 Bis, y se opera con el archivo de bitácoras que acompaña a esta plantilla.</w:t>
            </w:r>
          </w:p>
        </w:tc>
      </w:tr>
    </w:tbl>
    <w:p>
      <w:r>
        <w:br w:type="page"/>
      </w:r>
    </w:p>
    <w:p>
      <w:pPr>
        <w:pStyle w:val="Heading1"/>
        <w:spacing w:after="160" w:before="320"/>
      </w:pPr>
      <w:r>
        <w:rPr>
          <w:rFonts w:ascii="Arial" w:cs="Arial" w:eastAsia="Arial" w:hAnsi="Arial"/>
          <w:b/>
          <w:bCs/>
          <w:color w:val="64C27B"/>
          <w:sz w:val="26"/>
          <w:szCs w:val="26"/>
        </w:rPr>
        <w:t xml:space="preserve">1. Para qué sirve, y qué parte de esto exige la norma</w:t>
      </w:r>
    </w:p>
    <w:p>
      <w:pPr>
        <w:spacing w:after="120" w:before="0"/>
      </w:pPr>
      <w:r>
        <w:rPr>
          <w:rFonts w:ascii="Arial" w:cs="Arial" w:eastAsia="Arial" w:hAnsi="Arial"/>
          <w:color w:val="1B1B1E"/>
          <w:sz w:val="20"/>
          <w:szCs w:val="20"/>
        </w:rPr>
        <w:t xml:space="preserve">Este protocolo desarrolla la obligación del segundo párrafo de la fracción VI del artículo 18 de la Ley: presentar Aviso dentro de las veinticuatro horas siguientes a aquella en que se tuvo la información o se generó la sospecha, incluso si el acto u operación no se celebró.</w:t>
      </w:r>
    </w:p>
    <w:p>
      <w:pPr>
        <w:spacing w:after="120" w:before="0"/>
      </w:pPr>
      <w:r>
        <w:rPr>
          <w:rFonts w:ascii="Arial" w:cs="Arial" w:eastAsia="Arial" w:hAnsi="Arial"/>
          <w:color w:val="1B1B1E"/>
          <w:sz w:val="20"/>
          <w:szCs w:val="20"/>
        </w:rPr>
        <w:t xml:space="preserve">La distinción que sigue es la más importante del documento y no debe borrarse al adaptarlo. Un protocolo que presenta como obligación legal lo que es método propio se cae en la primera auditoría, y arrastra consigo lo que sí estaba bien fundado.</w:t>
      </w:r>
    </w:p>
    <w:p>
      <w:pPr>
        <w:pStyle w:val="Heading2"/>
        <w:spacing w:after="120" w:before="240"/>
      </w:pPr>
      <w:r>
        <w:rPr>
          <w:rFonts w:ascii="Arial" w:cs="Arial" w:eastAsia="Arial" w:hAnsi="Arial"/>
          <w:b/>
          <w:bCs/>
          <w:color w:val="1B1B1E"/>
          <w:sz w:val="22"/>
          <w:szCs w:val="22"/>
        </w:rPr>
        <w:t xml:space="preserve">Lo que la norma exige</w:t>
      </w:r>
    </w:p>
    <w:tbl>
      <w:tblPr>
        <w:tblW w:type="dxa" w:w="9360"/>
        <w:tblBorders>
          <w:top w:val="single" w:color="D9D9D9" w:sz="2"/>
          <w:left w:val="single" w:color="D9D9D9" w:sz="2"/>
          <w:bottom w:val="single" w:color="D9D9D9" w:sz="2"/>
          <w:right w:val="single" w:color="D9D9D9" w:sz="2"/>
          <w:insideH w:val="single" w:color="D9D9D9" w:sz="2"/>
          <w:insideV w:val="single" w:color="D9D9D9" w:sz="2"/>
        </w:tblBorders>
      </w:tblPr>
      <w:tblGrid>
        <w:gridCol w:w="6000"/>
        <w:gridCol w:w="3360"/>
      </w:tblGrid>
      <w:tr>
        <w:trPr>
          <w:tblHeader/>
        </w:trPr>
        <w:tc>
          <w:tcPr>
            <w:tcW w:type="dxa" w:w="6000"/>
            <w:shd w:fill="64C27B" w:color="auto" w:val="clear"/>
            <w:tcMar>
              <w:top w:type="dxa" w:w="80"/>
              <w:left w:type="dxa" w:w="110"/>
              <w:bottom w:type="dxa" w:w="80"/>
              <w:right w:type="dxa" w:w="110"/>
            </w:tcMar>
          </w:tcPr>
          <w:p>
            <w:pPr>
              <w:spacing w:after="40"/>
            </w:pPr>
            <w:r>
              <w:rPr>
                <w:rFonts w:ascii="Arial" w:cs="Arial" w:eastAsia="Arial" w:hAnsi="Arial"/>
                <w:b/>
                <w:bCs/>
                <w:i w:val="false"/>
                <w:iCs w:val="false"/>
                <w:color w:val="1B1B1E"/>
                <w:sz w:val="18"/>
                <w:szCs w:val="18"/>
              </w:rPr>
              <w:t xml:space="preserve">Obligación</w:t>
            </w:r>
          </w:p>
        </w:tc>
        <w:tc>
          <w:tcPr>
            <w:tcW w:type="dxa" w:w="3360"/>
            <w:shd w:fill="64C27B" w:color="auto" w:val="clear"/>
            <w:tcMar>
              <w:top w:type="dxa" w:w="80"/>
              <w:left w:type="dxa" w:w="110"/>
              <w:bottom w:type="dxa" w:w="80"/>
              <w:right w:type="dxa" w:w="110"/>
            </w:tcMar>
          </w:tcPr>
          <w:p>
            <w:pPr>
              <w:spacing w:after="40"/>
            </w:pPr>
            <w:r>
              <w:rPr>
                <w:rFonts w:ascii="Arial" w:cs="Arial" w:eastAsia="Arial" w:hAnsi="Arial"/>
                <w:b/>
                <w:bCs/>
                <w:i w:val="false"/>
                <w:iCs w:val="false"/>
                <w:color w:val="1B1B1E"/>
                <w:sz w:val="18"/>
                <w:szCs w:val="18"/>
              </w:rPr>
              <w:t xml:space="preserve">Fundamento</w:t>
            </w:r>
          </w:p>
        </w:tc>
      </w:tr>
      <w:tr>
        <w:tc>
          <w:tcPr>
            <w:tcW w:type="dxa" w:w="60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Presentar el Aviso dentro de las 24 horas siguientes a que se tuvo la información o se generó la sospecha, aunque el acto u operación no se haya celebrado.</w:t>
            </w:r>
          </w:p>
        </w:tc>
        <w:tc>
          <w:tcPr>
            <w:tcW w:type="dxa" w:w="33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L 18 fr. VI, segundo párrafo</w:t>
            </w:r>
          </w:p>
        </w:tc>
      </w:tr>
      <w:tr>
        <w:tc>
          <w:tcPr>
            <w:tcW w:type="dxa" w:w="60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El Aviso se presenta aunque el acto u operación no se haya celebrado y sólo se cuente con los datos que identifiquen a quien intentó llevarlo a cabo.</w:t>
            </w:r>
          </w:p>
        </w:tc>
        <w:tc>
          <w:tcPr>
            <w:tcW w:type="dxa" w:w="33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 7 Bis</w:t>
            </w:r>
          </w:p>
        </w:tc>
      </w:tr>
      <w:tr>
        <w:tc>
          <w:tcPr>
            <w:tcW w:type="dxa" w:w="60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Aviso por sospecha: cuando se reconoce en el Cliente o Usuaria una actividad, conducta o comportamiento inusitado en la realización de los actos u operaciones del artículo 17.</w:t>
            </w:r>
          </w:p>
        </w:tc>
        <w:tc>
          <w:tcPr>
            <w:tcW w:type="dxa" w:w="33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RCG 26 Bis</w:t>
            </w:r>
          </w:p>
        </w:tc>
      </w:tr>
      <w:tr>
        <w:tc>
          <w:tcPr>
            <w:tcW w:type="dxa" w:w="60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Aviso por hechos o indicios: cuando, por información de otras fuentes públicas o privadas, se conoce una acción, evento o acontecimiento relacionado con un Cliente o Usuaria.</w:t>
            </w:r>
          </w:p>
        </w:tc>
        <w:tc>
          <w:tcPr>
            <w:tcW w:type="dxa" w:w="33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RCG 26 Bis 1</w:t>
            </w:r>
          </w:p>
        </w:tc>
      </w:tr>
      <w:tr>
        <w:tc>
          <w:tcPr>
            <w:tcW w:type="dxa" w:w="60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Los dos Avisos anteriores se pueden enviar aunque el acto no cumpla el monto o la condición de Aviso del artículo 17, e incluso cuando no se haya celebrado.</w:t>
            </w:r>
          </w:p>
        </w:tc>
        <w:tc>
          <w:tcPr>
            <w:tcW w:type="dxa" w:w="33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RCG 26 Bis 2</w:t>
            </w:r>
          </w:p>
        </w:tc>
      </w:tr>
      <w:tr>
        <w:tc>
          <w:tcPr>
            <w:tcW w:type="dxa" w:w="60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También se presenta Aviso cuando con quien se realiza o se intenta realizar el acto se trate de una persona incluida en el listado del artículo 38 de las Reglas.</w:t>
            </w:r>
          </w:p>
        </w:tc>
        <w:tc>
          <w:tcPr>
            <w:tcW w:type="dxa" w:w="33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RCG 27, segundo párrafo</w:t>
            </w:r>
          </w:p>
        </w:tc>
      </w:tr>
      <w:tr>
        <w:tc>
          <w:tcPr>
            <w:tcW w:type="dxa" w:w="60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Tener e implementar un sistema de alertas que permita la detección oportuna de cambios en el comportamiento o el Perfil transaccional.</w:t>
            </w:r>
          </w:p>
        </w:tc>
        <w:tc>
          <w:tcPr>
            <w:tcW w:type="dxa" w:w="33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RCG 23 Ter 2</w:t>
            </w:r>
          </w:p>
        </w:tc>
      </w:tr>
      <w:tr>
        <w:tc>
          <w:tcPr>
            <w:tcW w:type="dxa" w:w="60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Incluir en el Manual de Políticas Internas los mecanismos para detectar actos u operaciones que se aparten del Perfil transaccional, y los procedimientos para la presentación de Avisos en los tiempos y formas que establece la Ley.</w:t>
            </w:r>
          </w:p>
        </w:tc>
        <w:tc>
          <w:tcPr>
            <w:tcW w:type="dxa" w:w="33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RCG 37 Bis fr. V y VI</w:t>
            </w:r>
          </w:p>
        </w:tc>
      </w:tr>
      <w:tr>
        <w:tc>
          <w:tcPr>
            <w:tcW w:type="dxa" w:w="60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Contar con los mecanismos para identificar a las personas publicadas en las listas que emiten autoridades nacionales u organismos internacionales, dentro del Manual, y con un sistema de alertas respecto de ellas. Esta obligación NO está diferida por ningún transitorio.</w:t>
            </w:r>
          </w:p>
        </w:tc>
        <w:tc>
          <w:tcPr>
            <w:tcW w:type="dxa" w:w="33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RCG 37 Bis fr. IX · RCG 41 fr. V</w:t>
            </w:r>
          </w:p>
        </w:tc>
      </w:tr>
      <w:tr>
        <w:tc>
          <w:tcPr>
            <w:tcW w:type="dxa" w:w="60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Guardar confidencialidad absoluta sobre la información y documentación de los actos u operaciones que sean objeto de Aviso.</w:t>
            </w:r>
          </w:p>
        </w:tc>
        <w:tc>
          <w:tcPr>
            <w:tcW w:type="dxa" w:w="33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L 38 · RCG 31</w:t>
            </w:r>
          </w:p>
        </w:tc>
      </w:tr>
    </w:tbl>
    <w:p>
      <w:pPr>
        <w:spacing w:after="160" w:before="0"/>
      </w:pPr>
      <w:r>
        <w:rPr>
          <w:rFonts w:ascii="Arial" w:cs="Arial" w:eastAsia="Arial" w:hAnsi="Arial"/>
          <w:color w:val="1B1B1E"/>
          <w:sz w:val="20"/>
          <w:szCs w:val="20"/>
        </w:rPr>
        <w:t xml:space="preserve"/>
      </w:r>
    </w:p>
    <w:p>
      <w:pPr>
        <w:pStyle w:val="Heading2"/>
        <w:spacing w:after="120" w:before="240"/>
      </w:pPr>
      <w:r>
        <w:rPr>
          <w:rFonts w:ascii="Arial" w:cs="Arial" w:eastAsia="Arial" w:hAnsi="Arial"/>
          <w:b/>
          <w:bCs/>
          <w:color w:val="1B1B1E"/>
          <w:sz w:val="22"/>
          <w:szCs w:val="22"/>
        </w:rPr>
        <w:t xml:space="preserve">Lo que es método, y así hay que decirlo</w:t>
      </w:r>
    </w:p>
    <w:p>
      <w:pPr>
        <w:spacing w:after="120" w:before="0"/>
      </w:pPr>
      <w:r>
        <w:rPr>
          <w:rFonts w:ascii="Arial" w:cs="Arial" w:eastAsia="Arial" w:hAnsi="Arial"/>
          <w:color w:val="1B1B1E"/>
          <w:sz w:val="20"/>
          <w:szCs w:val="20"/>
        </w:rPr>
        <w:t xml:space="preserve">Ninguna disposición de la Ley, del Reglamento ni de las Reglas fija el formato de una bitácora de alertas o de intentos, ni enumera pasos de escalamiento, ni fija plazos internos de decisión. Lo que sigue se propone porque es la evidencia que la auditoría de efectividad del artículo 18, fracción XI de la Ley va a buscar, y porque sin ella el cumplimiento del plazo de veinticuatro horas no se puede acreditar. Es método, no precepto.</w:t>
      </w:r>
    </w:p>
    <w:p>
      <w:pPr>
        <w:pStyle w:val="ListParagraph"/>
        <w:numPr>
          <w:ilvl w:val="0"/>
          <w:numId w:val="2"/>
        </w:numPr>
        <w:spacing w:after="80"/>
      </w:pPr>
      <w:r>
        <w:rPr>
          <w:rFonts w:ascii="Arial" w:cs="Arial" w:eastAsia="Arial" w:hAnsi="Arial"/>
          <w:color w:val="1B1B1E"/>
          <w:sz w:val="20"/>
          <w:szCs w:val="20"/>
        </w:rPr>
        <w:t xml:space="preserve">El formato de la bitácora de alertas y sus cuatro pasos.</w:t>
      </w:r>
    </w:p>
    <w:p>
      <w:pPr>
        <w:pStyle w:val="ListParagraph"/>
        <w:numPr>
          <w:ilvl w:val="0"/>
          <w:numId w:val="2"/>
        </w:numPr>
        <w:spacing w:after="80"/>
      </w:pPr>
      <w:r>
        <w:rPr>
          <w:rFonts w:ascii="Arial" w:cs="Arial" w:eastAsia="Arial" w:hAnsi="Arial"/>
          <w:color w:val="1B1B1E"/>
          <w:sz w:val="20"/>
          <w:szCs w:val="20"/>
        </w:rPr>
        <w:t xml:space="preserve">El formato de la bitácora de operaciones intentadas.</w:t>
      </w:r>
    </w:p>
    <w:p>
      <w:pPr>
        <w:pStyle w:val="ListParagraph"/>
        <w:numPr>
          <w:ilvl w:val="0"/>
          <w:numId w:val="2"/>
        </w:numPr>
        <w:spacing w:after="80"/>
      </w:pPr>
      <w:r>
        <w:rPr>
          <w:rFonts w:ascii="Arial" w:cs="Arial" w:eastAsia="Arial" w:hAnsi="Arial"/>
          <w:color w:val="1B1B1E"/>
          <w:sz w:val="20"/>
          <w:szCs w:val="20"/>
        </w:rPr>
        <w:t xml:space="preserve">Los seis campos mínimos de registro.</w:t>
      </w:r>
    </w:p>
    <w:p>
      <w:pPr>
        <w:pStyle w:val="ListParagraph"/>
        <w:numPr>
          <w:ilvl w:val="0"/>
          <w:numId w:val="2"/>
        </w:numPr>
        <w:spacing w:after="80"/>
      </w:pPr>
      <w:r>
        <w:rPr>
          <w:rFonts w:ascii="Arial" w:cs="Arial" w:eastAsia="Arial" w:hAnsi="Arial"/>
          <w:color w:val="1B1B1E"/>
          <w:sz w:val="20"/>
          <w:szCs w:val="20"/>
        </w:rPr>
        <w:t xml:space="preserve">Los plazos internos de escalamiento y decisión que se proponen en el apartado 5.</w:t>
      </w:r>
    </w:p>
    <w:p>
      <w:pPr>
        <w:pStyle w:val="Heading1"/>
        <w:spacing w:after="160" w:before="320"/>
      </w:pPr>
      <w:r>
        <w:rPr>
          <w:rFonts w:ascii="Arial" w:cs="Arial" w:eastAsia="Arial" w:hAnsi="Arial"/>
          <w:b/>
          <w:bCs/>
          <w:color w:val="64C27B"/>
          <w:sz w:val="26"/>
          <w:szCs w:val="26"/>
        </w:rPr>
        <w:t xml:space="preserve">2. Los Avisos de veinticuatro horas son tres</w:t>
      </w:r>
    </w:p>
    <w:p>
      <w:pPr>
        <w:spacing w:after="120" w:before="0"/>
      </w:pPr>
      <w:r>
        <w:rPr>
          <w:rFonts w:ascii="Arial" w:cs="Arial" w:eastAsia="Arial" w:hAnsi="Arial"/>
          <w:color w:val="1B1B1E"/>
          <w:sz w:val="20"/>
          <w:szCs w:val="20"/>
        </w:rPr>
        <w:t xml:space="preserve">Cuando el artículo transitorio Quinto del ACUERDO 115/2026 habla del «envío de los Avisos de los artículos 26 Bis, 26 Bis 1, 26 Bis 2 y 27, segundo párrafo», se refiere a lo que sigue. No es un Aviso ni son dos: son tres supuestos distintos, más una regla de alcance que se aplica a los tres.</w:t>
      </w:r>
    </w:p>
    <w:tbl>
      <w:tblPr>
        <w:tblW w:type="dxa" w:w="9360"/>
        <w:tblBorders>
          <w:top w:val="single" w:color="D9D9D9" w:sz="2"/>
          <w:left w:val="single" w:color="D9D9D9" w:sz="2"/>
          <w:bottom w:val="single" w:color="D9D9D9" w:sz="2"/>
          <w:right w:val="single" w:color="D9D9D9" w:sz="2"/>
          <w:insideH w:val="single" w:color="D9D9D9" w:sz="2"/>
          <w:insideV w:val="single" w:color="D9D9D9" w:sz="2"/>
        </w:tblBorders>
      </w:tblPr>
      <w:tblGrid>
        <w:gridCol w:w="1500"/>
        <w:gridCol w:w="2000"/>
        <w:gridCol w:w="4160"/>
        <w:gridCol w:w="1700"/>
      </w:tblGrid>
      <w:tr>
        <w:trPr>
          <w:tblHeader/>
        </w:trPr>
        <w:tc>
          <w:tcPr>
            <w:tcW w:type="dxa" w:w="1500"/>
            <w:shd w:fill="64C27B" w:color="auto" w:val="clear"/>
            <w:tcMar>
              <w:top w:type="dxa" w:w="80"/>
              <w:left w:type="dxa" w:w="110"/>
              <w:bottom w:type="dxa" w:w="80"/>
              <w:right w:type="dxa" w:w="110"/>
            </w:tcMar>
          </w:tcPr>
          <w:p>
            <w:pPr>
              <w:spacing w:after="40"/>
            </w:pPr>
            <w:r>
              <w:rPr>
                <w:rFonts w:ascii="Arial" w:cs="Arial" w:eastAsia="Arial" w:hAnsi="Arial"/>
                <w:b/>
                <w:bCs/>
                <w:i w:val="false"/>
                <w:iCs w:val="false"/>
                <w:color w:val="1B1B1E"/>
                <w:sz w:val="18"/>
                <w:szCs w:val="18"/>
              </w:rPr>
              <w:t xml:space="preserve">El precepto</w:t>
            </w:r>
          </w:p>
        </w:tc>
        <w:tc>
          <w:tcPr>
            <w:tcW w:type="dxa" w:w="2000"/>
            <w:shd w:fill="64C27B" w:color="auto" w:val="clear"/>
            <w:tcMar>
              <w:top w:type="dxa" w:w="80"/>
              <w:left w:type="dxa" w:w="110"/>
              <w:bottom w:type="dxa" w:w="80"/>
              <w:right w:type="dxa" w:w="110"/>
            </w:tcMar>
          </w:tcPr>
          <w:p>
            <w:pPr>
              <w:spacing w:after="40"/>
            </w:pPr>
            <w:r>
              <w:rPr>
                <w:rFonts w:ascii="Arial" w:cs="Arial" w:eastAsia="Arial" w:hAnsi="Arial"/>
                <w:b/>
                <w:bCs/>
                <w:i w:val="false"/>
                <w:iCs w:val="false"/>
                <w:color w:val="1B1B1E"/>
                <w:sz w:val="18"/>
                <w:szCs w:val="18"/>
              </w:rPr>
              <w:t xml:space="preserve">Cómo se llama en este protocolo</w:t>
            </w:r>
          </w:p>
        </w:tc>
        <w:tc>
          <w:tcPr>
            <w:tcW w:type="dxa" w:w="4160"/>
            <w:shd w:fill="64C27B" w:color="auto" w:val="clear"/>
            <w:tcMar>
              <w:top w:type="dxa" w:w="80"/>
              <w:left w:type="dxa" w:w="110"/>
              <w:bottom w:type="dxa" w:w="80"/>
              <w:right w:type="dxa" w:w="110"/>
            </w:tcMar>
          </w:tcPr>
          <w:p>
            <w:pPr>
              <w:spacing w:after="40"/>
            </w:pPr>
            <w:r>
              <w:rPr>
                <w:rFonts w:ascii="Arial" w:cs="Arial" w:eastAsia="Arial" w:hAnsi="Arial"/>
                <w:b/>
                <w:bCs/>
                <w:i w:val="false"/>
                <w:iCs w:val="false"/>
                <w:color w:val="1B1B1E"/>
                <w:sz w:val="18"/>
                <w:szCs w:val="18"/>
              </w:rPr>
              <w:t xml:space="preserve">De dónde nace</w:t>
            </w:r>
          </w:p>
        </w:tc>
        <w:tc>
          <w:tcPr>
            <w:tcW w:type="dxa" w:w="1700"/>
            <w:shd w:fill="64C27B" w:color="auto" w:val="clear"/>
            <w:tcMar>
              <w:top w:type="dxa" w:w="80"/>
              <w:left w:type="dxa" w:w="110"/>
              <w:bottom w:type="dxa" w:w="80"/>
              <w:right w:type="dxa" w:w="110"/>
            </w:tcMar>
          </w:tcPr>
          <w:p>
            <w:pPr>
              <w:spacing w:after="40"/>
            </w:pPr>
            <w:r>
              <w:rPr>
                <w:rFonts w:ascii="Arial" w:cs="Arial" w:eastAsia="Arial" w:hAnsi="Arial"/>
                <w:b/>
                <w:bCs/>
                <w:i w:val="false"/>
                <w:iCs w:val="false"/>
                <w:color w:val="1B1B1E"/>
                <w:sz w:val="18"/>
                <w:szCs w:val="18"/>
              </w:rPr>
              <w:t xml:space="preserve">Qué se documenta</w:t>
            </w:r>
          </w:p>
        </w:tc>
      </w:tr>
      <w:tr>
        <w:tc>
          <w:tcPr>
            <w:tcW w:type="dxa" w:w="15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RCG 26 Bis</w:t>
            </w:r>
          </w:p>
        </w:tc>
        <w:tc>
          <w:tcPr>
            <w:tcW w:type="dxa" w:w="20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Aviso por sospecha</w:t>
            </w:r>
          </w:p>
        </w:tc>
        <w:tc>
          <w:tcPr>
            <w:tcW w:type="dxa" w:w="41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De lo que quien realiza la Actividad Vulnerable reconoce en la actividad, conducta o comportamiento del Cliente o Usuaria, contrastado con las características con que comúnmente se llevan a cabo los actos del artículo 17. El verbo del texto es «reconozca»</w:t>
            </w:r>
          </w:p>
        </w:tc>
        <w:tc>
          <w:tcPr>
            <w:tcW w:type="dxa" w:w="17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Qué se observó, cuándo y quién lo observó</w:t>
            </w:r>
          </w:p>
        </w:tc>
      </w:tr>
      <w:tr>
        <w:tc>
          <w:tcPr>
            <w:tcW w:type="dxa" w:w="15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RCG 26 Bis 1</w:t>
            </w:r>
          </w:p>
        </w:tc>
        <w:tc>
          <w:tcPr>
            <w:tcW w:type="dxa" w:w="20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Aviso por hechos o indicios</w:t>
            </w:r>
          </w:p>
        </w:tc>
        <w:tc>
          <w:tcPr>
            <w:tcW w:type="dxa" w:w="41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De información obtenida por otras fuentes públicas o privadas sobre alguno de sus Clientes o Usuarias. El verbo del texto es «conozca»</w:t>
            </w:r>
          </w:p>
        </w:tc>
        <w:tc>
          <w:tcPr>
            <w:tcW w:type="dxa" w:w="17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Cuándo se conoció, por qué medio y de qué fuente</w:t>
            </w:r>
          </w:p>
        </w:tc>
      </w:tr>
      <w:tr>
        <w:tc>
          <w:tcPr>
            <w:tcW w:type="dxa" w:w="15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RCG 27, segundo párrafo</w:t>
            </w:r>
          </w:p>
        </w:tc>
        <w:tc>
          <w:tcPr>
            <w:tcW w:type="dxa" w:w="20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Aviso por coincidencia con listas</w:t>
            </w:r>
          </w:p>
        </w:tc>
        <w:tc>
          <w:tcPr>
            <w:tcW w:type="dxa" w:w="41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De que la persona con quien se realiza o se intenta realizar el acto u operación está incluida en el listado a que se refiere el primer párrafo del artículo 38 de las Reglas</w:t>
            </w:r>
          </w:p>
        </w:tc>
        <w:tc>
          <w:tcPr>
            <w:tcW w:type="dxa" w:w="17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Fecha y hora de la consulta, lista consultada y resultado</w:t>
            </w:r>
          </w:p>
        </w:tc>
      </w:tr>
      <w:tr>
        <w:tc>
          <w:tcPr>
            <w:tcW w:type="dxa" w:w="15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RCG 26 Bis 2</w:t>
            </w:r>
          </w:p>
        </w:tc>
        <w:tc>
          <w:tcPr>
            <w:tcW w:type="dxa" w:w="20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No es un cuarto Aviso</w:t>
            </w:r>
          </w:p>
        </w:tc>
        <w:tc>
          <w:tcPr>
            <w:tcW w:type="dxa" w:w="41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Es la regla de alcance de los tres anteriores: se pueden enviar aunque el acto no cumpla el monto o la condición del artículo 17, e incluso cuando no se haya celebrado</w:t>
            </w:r>
          </w:p>
        </w:tc>
        <w:tc>
          <w:tcPr>
            <w:tcW w:type="dxa" w:w="17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w:t>
            </w:r>
          </w:p>
        </w:tc>
      </w:tr>
    </w:tbl>
    <w:p>
      <w:pPr>
        <w:spacing w:after="120" w:before="0"/>
      </w:pPr>
      <w:r>
        <w:rPr>
          <w:rFonts w:ascii="Arial" w:cs="Arial" w:eastAsia="Arial" w:hAnsi="Arial"/>
          <w:color w:val="1B1B1E"/>
          <w:sz w:val="20"/>
          <w:szCs w:val="20"/>
        </w:rPr>
        <w:t xml:space="preserve"/>
      </w:r>
    </w:p>
    <w:p>
      <w:pPr>
        <w:spacing w:after="120" w:before="0"/>
      </w:pPr>
      <w:r>
        <w:rPr>
          <w:rFonts w:ascii="Arial" w:cs="Arial" w:eastAsia="Arial" w:hAnsi="Arial"/>
          <w:color w:val="1B1B1E"/>
          <w:sz w:val="20"/>
          <w:szCs w:val="20"/>
        </w:rPr>
        <w:t xml:space="preserve">La diferencia de fondo entre los tres no es el plazo —los tres corren en veinticuatro horas— sino de dónde sale el deber. Los dos primeros dependen de una valoración de quien realiza la Actividad Vulnerable: hay que reconocer una conducta o conocer un hecho. El tercero es objetivo y no admite valoración: basta que la persona esté en el listado. Por eso el de coincidencia con listas es el más fácil de incumplir sin darse cuenta, y por eso su control no vive en el criterio de nadie sino en el mecanismo del artículo 37 Bis, fracción IX.</w:t>
      </w:r>
    </w:p>
    <w:p>
      <w:pPr>
        <w:spacing w:after="160" w:before="0"/>
      </w:pPr>
      <w:r>
        <w:rPr>
          <w:rFonts w:ascii="Arial" w:cs="Arial" w:eastAsia="Arial" w:hAnsi="Arial"/>
          <w:color w:val="1B1B1E"/>
          <w:sz w:val="20"/>
          <w:szCs w:val="20"/>
        </w:rPr>
        <w:t xml:space="preserve"/>
      </w:r>
    </w:p>
    <w:p>
      <w:pPr>
        <w:spacing w:after="120" w:before="0"/>
      </w:pPr>
      <w:r>
        <w:rPr>
          <w:rFonts w:ascii="Arial" w:cs="Arial" w:eastAsia="Arial" w:hAnsi="Arial"/>
          <w:color w:val="1B1B1E"/>
          <w:sz w:val="20"/>
          <w:szCs w:val="20"/>
        </w:rPr>
        <w:t xml:space="preserve">El segundo párrafo del artículo 26 Bis fija qué características hay que considerar al valorar el acto u operación: los montos, la frecuencia, las formas de pago, los periodos e instrumentos de pago, el área geográfica en la que se realizan, y el tipo o naturaleza del acto u operación. Son casi los mismos elementos del Perfil transaccional del artículo 3, fracción XI Sexties de las Reglas, y no es coincidencia: el Aviso de veinticuatro horas es lo que ocurre cuando la alerta del perfil no se puede descartar.</w:t>
      </w:r>
    </w:p>
    <w:p>
      <w:pPr>
        <w:pStyle w:val="Heading1"/>
        <w:spacing w:after="160" w:before="320"/>
      </w:pPr>
      <w:r>
        <w:rPr>
          <w:rFonts w:ascii="Arial" w:cs="Arial" w:eastAsia="Arial" w:hAnsi="Arial"/>
          <w:b/>
          <w:bCs/>
          <w:color w:val="64C27B"/>
          <w:sz w:val="26"/>
          <w:szCs w:val="26"/>
        </w:rPr>
        <w:t xml:space="preserve">3. Cuándo arranca el plazo</w:t>
      </w:r>
    </w:p>
    <w:tbl>
      <w:tblPr>
        <w:tblW w:type="dxa" w:w="9360"/>
        <w:tblBorders>
          <w:top w:val="single" w:color="64C27B" w:sz="6"/>
          <w:left w:val="single" w:color="64C27B" w:sz="6"/>
          <w:bottom w:val="single" w:color="64C27B" w:sz="6"/>
          <w:right w:val="single" w:color="64C27B" w:sz="6"/>
          <w:insideH w:val="none"/>
          <w:insideV w:val="none"/>
        </w:tblBorders>
      </w:tblPr>
      <w:tblGrid>
        <w:gridCol w:w="9360"/>
      </w:tblGrid>
      <w:tr>
        <w:tc>
          <w:tcPr>
            <w:tcW w:type="dxa" w:w="9360"/>
            <w:shd w:fill="FFF6DA" w:color="auto" w:val="clear"/>
            <w:tcMar>
              <w:top w:type="dxa" w:w="140"/>
              <w:left w:type="dxa" w:w="160"/>
              <w:bottom w:type="dxa" w:w="140"/>
              <w:right w:type="dxa" w:w="160"/>
            </w:tcMar>
          </w:tcPr>
          <w:p>
            <w:pPr>
              <w:spacing w:after="80"/>
            </w:pPr>
            <w:r>
              <w:rPr>
                <w:rFonts w:ascii="Arial" w:cs="Arial" w:eastAsia="Arial" w:hAnsi="Arial"/>
                <w:b/>
                <w:bCs/>
                <w:color w:val="1B1B1E"/>
                <w:sz w:val="20"/>
                <w:szCs w:val="20"/>
              </w:rPr>
              <w:t xml:space="preserve">La regla de oro de este protocolo</w:t>
            </w:r>
          </w:p>
          <w:p>
            <w:pPr>
              <w:spacing w:after="60"/>
            </w:pPr>
            <w:r>
              <w:rPr>
                <w:rFonts w:ascii="Arial" w:cs="Arial" w:eastAsia="Arial" w:hAnsi="Arial"/>
                <w:color w:val="1B1B1E"/>
                <w:sz w:val="19"/>
                <w:szCs w:val="19"/>
              </w:rPr>
              <w:t xml:space="preserve">Las veinticuatro horas no corren desde la operación. Corren desde el momento en que se reconoce la conducta inusitada o se conoce el hecho o indicio.</w:t>
            </w:r>
          </w:p>
          <w:p>
            <w:pPr>
              <w:spacing w:after="60"/>
            </w:pPr>
            <w:r>
              <w:rPr>
                <w:rFonts w:ascii="Arial" w:cs="Arial" w:eastAsia="Arial" w:hAnsi="Arial"/>
                <w:color w:val="1B1B1E"/>
                <w:sz w:val="19"/>
                <w:szCs w:val="19"/>
              </w:rPr>
              <w:t xml:space="preserve">Como ese momento sólo lo puede acreditar quien realiza la Actividad Vulnerable, el dato más importante de todo el registro es la fecha y la hora en que se supo. Sin ese dato no se puede demostrar que se llegó a tiempo, ni defenderse de la afirmación de que se llegó tarde.</w:t>
            </w:r>
          </w:p>
        </w:tc>
      </w:tr>
    </w:tbl>
    <w:p>
      <w:pPr>
        <w:spacing w:after="160" w:before="0"/>
      </w:pPr>
      <w:r>
        <w:rPr>
          <w:rFonts w:ascii="Arial" w:cs="Arial" w:eastAsia="Arial" w:hAnsi="Arial"/>
          <w:color w:val="1B1B1E"/>
          <w:sz w:val="20"/>
          <w:szCs w:val="20"/>
        </w:rPr>
        <w:t xml:space="preserve"/>
      </w:r>
    </w:p>
    <w:p>
      <w:pPr>
        <w:spacing w:after="120" w:before="0"/>
      </w:pPr>
      <w:r>
        <w:rPr>
          <w:rFonts w:ascii="Arial" w:cs="Arial" w:eastAsia="Arial" w:hAnsi="Arial"/>
          <w:color w:val="1B1B1E"/>
          <w:sz w:val="20"/>
          <w:szCs w:val="20"/>
        </w:rPr>
        <w:t xml:space="preserve">Las Reglas no fijan una regla especial de cómputo para este plazo. El artículo 36 Bis, que define días y horas hábiles, está redactado para las actuaciones y diligencias que se llevan a cabo ante el Servicio de Administración Tributaria y para los plazos fijados en días, de modo que no alarga este plazo. Criterio de esta plantilla: contar veinticuatro horas naturales desde el registro del momento de conocimiento, y dejar constancia de la hora.</w:t>
      </w:r>
    </w:p>
    <w:p>
      <w:pPr>
        <w:pStyle w:val="Heading1"/>
        <w:spacing w:after="160" w:before="320"/>
      </w:pPr>
      <w:r>
        <w:rPr>
          <w:rFonts w:ascii="Arial" w:cs="Arial" w:eastAsia="Arial" w:hAnsi="Arial"/>
          <w:b/>
          <w:bCs/>
          <w:color w:val="64C27B"/>
          <w:sz w:val="26"/>
          <w:szCs w:val="26"/>
        </w:rPr>
        <w:t xml:space="preserve">4. El acto que no se celebró, y el que no llega al umbral</w:t>
      </w:r>
    </w:p>
    <w:p>
      <w:pPr>
        <w:spacing w:after="120" w:before="0"/>
      </w:pPr>
      <w:r>
        <w:rPr>
          <w:rFonts w:ascii="Arial" w:cs="Arial" w:eastAsia="Arial" w:hAnsi="Arial"/>
          <w:color w:val="1B1B1E"/>
          <w:sz w:val="20"/>
          <w:szCs w:val="20"/>
        </w:rPr>
        <w:t xml:space="preserve">Son dos supuestos distintos, los dos resueltos por texto expreso, y no tienen la misma fuerza. Conviene no confundirlos, porque uno es deber y el otro es facultad.</w:t>
      </w:r>
    </w:p>
    <w:tbl>
      <w:tblPr>
        <w:tblW w:type="dxa" w:w="9360"/>
        <w:tblBorders>
          <w:top w:val="single" w:color="D9D9D9" w:sz="2"/>
          <w:left w:val="single" w:color="D9D9D9" w:sz="2"/>
          <w:bottom w:val="single" w:color="D9D9D9" w:sz="2"/>
          <w:right w:val="single" w:color="D9D9D9" w:sz="2"/>
          <w:insideH w:val="single" w:color="D9D9D9" w:sz="2"/>
          <w:insideV w:val="single" w:color="D9D9D9" w:sz="2"/>
        </w:tblBorders>
      </w:tblPr>
      <w:tblGrid>
        <w:gridCol w:w="2400"/>
        <w:gridCol w:w="5160"/>
        <w:gridCol w:w="1800"/>
      </w:tblGrid>
      <w:tr>
        <w:trPr>
          <w:tblHeader/>
        </w:trPr>
        <w:tc>
          <w:tcPr>
            <w:tcW w:type="dxa" w:w="2400"/>
            <w:shd w:fill="64C27B" w:color="auto" w:val="clear"/>
            <w:tcMar>
              <w:top w:type="dxa" w:w="80"/>
              <w:left w:type="dxa" w:w="110"/>
              <w:bottom w:type="dxa" w:w="80"/>
              <w:right w:type="dxa" w:w="110"/>
            </w:tcMar>
          </w:tcPr>
          <w:p>
            <w:pPr>
              <w:spacing w:after="40"/>
            </w:pPr>
            <w:r>
              <w:rPr>
                <w:rFonts w:ascii="Arial" w:cs="Arial" w:eastAsia="Arial" w:hAnsi="Arial"/>
                <w:b/>
                <w:bCs/>
                <w:i w:val="false"/>
                <w:iCs w:val="false"/>
                <w:color w:val="1B1B1E"/>
                <w:sz w:val="18"/>
                <w:szCs w:val="18"/>
              </w:rPr>
              <w:t xml:space="preserve">Supuesto</w:t>
            </w:r>
          </w:p>
        </w:tc>
        <w:tc>
          <w:tcPr>
            <w:tcW w:type="dxa" w:w="5160"/>
            <w:shd w:fill="64C27B" w:color="auto" w:val="clear"/>
            <w:tcMar>
              <w:top w:type="dxa" w:w="80"/>
              <w:left w:type="dxa" w:w="110"/>
              <w:bottom w:type="dxa" w:w="80"/>
              <w:right w:type="dxa" w:w="110"/>
            </w:tcMar>
          </w:tcPr>
          <w:p>
            <w:pPr>
              <w:spacing w:after="40"/>
            </w:pPr>
            <w:r>
              <w:rPr>
                <w:rFonts w:ascii="Arial" w:cs="Arial" w:eastAsia="Arial" w:hAnsi="Arial"/>
                <w:b/>
                <w:bCs/>
                <w:i w:val="false"/>
                <w:iCs w:val="false"/>
                <w:color w:val="1B1B1E"/>
                <w:sz w:val="18"/>
                <w:szCs w:val="18"/>
              </w:rPr>
              <w:t xml:space="preserve">Qué dice el texto</w:t>
            </w:r>
          </w:p>
        </w:tc>
        <w:tc>
          <w:tcPr>
            <w:tcW w:type="dxa" w:w="1800"/>
            <w:shd w:fill="64C27B" w:color="auto" w:val="clear"/>
            <w:tcMar>
              <w:top w:type="dxa" w:w="80"/>
              <w:left w:type="dxa" w:w="110"/>
              <w:bottom w:type="dxa" w:w="80"/>
              <w:right w:type="dxa" w:w="110"/>
            </w:tcMar>
          </w:tcPr>
          <w:p>
            <w:pPr>
              <w:spacing w:after="40"/>
            </w:pPr>
            <w:r>
              <w:rPr>
                <w:rFonts w:ascii="Arial" w:cs="Arial" w:eastAsia="Arial" w:hAnsi="Arial"/>
                <w:b/>
                <w:bCs/>
                <w:i w:val="false"/>
                <w:iCs w:val="false"/>
                <w:color w:val="1B1B1E"/>
                <w:sz w:val="18"/>
                <w:szCs w:val="18"/>
              </w:rPr>
              <w:t xml:space="preserve">Qué es</w:t>
            </w:r>
          </w:p>
        </w:tc>
      </w:tr>
      <w:tr>
        <w:tc>
          <w:tcPr>
            <w:tcW w:type="dxa" w:w="24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El acto NO se celebró</w:t>
            </w:r>
          </w:p>
        </w:tc>
        <w:tc>
          <w:tcPr>
            <w:tcW w:type="dxa" w:w="51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La Ley ordena presentar Aviso «incluso si el acto u operación no se celebró» y el Reglamento dice que «se presentará aunque el acto u operación no se haya celebrado», cuando se cuente con los datos que identifiquen a quien intentó llevarlo a cabo. L 18 fr. VI, segundo párrafo, y R 7 Bis</w:t>
            </w:r>
          </w:p>
        </w:tc>
        <w:tc>
          <w:tcPr>
            <w:tcW w:type="dxa" w:w="18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Imperativo. Se presenta.</w:t>
            </w:r>
          </w:p>
        </w:tc>
      </w:tr>
      <w:tr>
        <w:tc>
          <w:tcPr>
            <w:tcW w:type="dxa" w:w="24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El acto sí se celebró pero NO alcanza el umbral</w:t>
            </w:r>
          </w:p>
        </w:tc>
        <w:tc>
          <w:tcPr>
            <w:tcW w:type="dxa" w:w="51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Las Reglas dicen que los Avisos «se podrán enviar» aunque el acto no cumpla con el monto o la condición del artículo 17. RCG 26 Bis 2</w:t>
            </w:r>
          </w:p>
        </w:tc>
        <w:tc>
          <w:tcPr>
            <w:tcW w:type="dxa" w:w="18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Facultad. Hay margen de valoración, y lo que se defiende después es la razón escrita de haberla ejercido o no.</w:t>
            </w:r>
          </w:p>
        </w:tc>
      </w:tr>
    </w:tbl>
    <w:p>
      <w:pPr>
        <w:spacing w:after="120" w:before="0"/>
      </w:pPr>
      <w:r>
        <w:rPr>
          <w:rFonts w:ascii="Arial" w:cs="Arial" w:eastAsia="Arial" w:hAnsi="Arial"/>
          <w:color w:val="1B1B1E"/>
          <w:sz w:val="20"/>
          <w:szCs w:val="20"/>
        </w:rPr>
        <w:t xml:space="preserve"/>
      </w:r>
    </w:p>
    <w:p>
      <w:pPr>
        <w:spacing w:after="120" w:before="0"/>
      </w:pPr>
      <w:r>
        <w:rPr>
          <w:rFonts w:ascii="Arial" w:cs="Arial" w:eastAsia="Arial" w:hAnsi="Arial"/>
          <w:color w:val="1B1B1E"/>
          <w:sz w:val="20"/>
          <w:szCs w:val="20"/>
        </w:rPr>
        <w:t xml:space="preserve">En la práctica esto significa que la persona que llegó, preguntó y se retiró cuando se le pidió identificación no es un cliente perdido: es un intento, y si quedaron datos suficientes para identificarla, presentar el Aviso no es opcional. De ahí que este protocolo exija abrir registro antes de saber si la operación se va a celebrar.</w:t>
      </w:r>
    </w:p>
    <w:p>
      <w:pPr>
        <w:spacing w:after="120" w:before="0"/>
      </w:pPr>
      <w:r>
        <w:rPr>
          <w:rFonts w:ascii="Arial" w:cs="Arial" w:eastAsia="Arial" w:hAnsi="Arial"/>
          <w:color w:val="1B1B1E"/>
          <w:sz w:val="20"/>
          <w:szCs w:val="20"/>
        </w:rPr>
        <w:t xml:space="preserve">Y para el segundo supuesto, la consecuencia operativa es que el registro debe consignar la decisión en los dos sentidos: tanto cuando se decide enviar como cuando se decide no hacerlo. Una facultad ejercida sin constancia se lee, en revisión, igual que una facultad no ejercida.</w:t>
      </w:r>
    </w:p>
    <w:p>
      <w:pPr>
        <w:pStyle w:val="Heading1"/>
        <w:spacing w:after="160" w:before="320"/>
      </w:pPr>
      <w:r>
        <w:rPr>
          <w:rFonts w:ascii="Arial" w:cs="Arial" w:eastAsia="Arial" w:hAnsi="Arial"/>
          <w:b/>
          <w:bCs/>
          <w:color w:val="64C27B"/>
          <w:sz w:val="26"/>
          <w:szCs w:val="26"/>
        </w:rPr>
        <w:t xml:space="preserve">5. El diferimiento del envío, y lo que no está diferido</w:t>
      </w:r>
    </w:p>
    <w:tbl>
      <w:tblPr>
        <w:tblW w:type="dxa" w:w="9360"/>
        <w:tblBorders>
          <w:top w:val="single" w:color="64C27B" w:sz="6"/>
          <w:left w:val="single" w:color="64C27B" w:sz="6"/>
          <w:bottom w:val="single" w:color="64C27B" w:sz="6"/>
          <w:right w:val="single" w:color="64C27B" w:sz="6"/>
          <w:insideH w:val="none"/>
          <w:insideV w:val="none"/>
        </w:tblBorders>
      </w:tblPr>
      <w:tblGrid>
        <w:gridCol w:w="9360"/>
      </w:tblGrid>
      <w:tr>
        <w:tc>
          <w:tcPr>
            <w:tcW w:type="dxa" w:w="9360"/>
            <w:shd w:fill="E6F5EA" w:color="auto" w:val="clear"/>
            <w:tcMar>
              <w:top w:type="dxa" w:w="140"/>
              <w:left w:type="dxa" w:w="160"/>
              <w:bottom w:type="dxa" w:w="140"/>
              <w:right w:type="dxa" w:w="160"/>
            </w:tcMar>
          </w:tcPr>
          <w:p>
            <w:pPr>
              <w:spacing w:after="80"/>
            </w:pPr>
            <w:r>
              <w:rPr>
                <w:rFonts w:ascii="Arial" w:cs="Arial" w:eastAsia="Arial" w:hAnsi="Arial"/>
                <w:b/>
                <w:bCs/>
                <w:color w:val="1B1B1E"/>
                <w:sz w:val="20"/>
                <w:szCs w:val="20"/>
              </w:rPr>
              <w:t xml:space="preserve">Estado al 7 de septiembre de 2026 — verifíquelo antes de aplicar este apartado</w:t>
            </w:r>
          </w:p>
          <w:p>
            <w:pPr>
              <w:spacing w:after="60"/>
            </w:pPr>
            <w:r>
              <w:rPr>
                <w:rFonts w:ascii="Arial" w:cs="Arial" w:eastAsia="Arial" w:hAnsi="Arial"/>
                <w:color w:val="1B1B1E"/>
                <w:sz w:val="19"/>
                <w:szCs w:val="19"/>
              </w:rPr>
              <w:t xml:space="preserve">El artículo transitorio Quinto del Decreto de reforma al Reglamento (DOF 27-03-2026) sujeta la presentación del Aviso del artículo 7 Bis a que los Anexos de la Resolución de formatos oficiales sean actualizados y abarquen los escenarios del segundo párrafo de la fracción VI del artículo 18 de la Ley.</w:t>
            </w:r>
          </w:p>
          <w:p>
            <w:pPr>
              <w:spacing w:after="60"/>
            </w:pPr>
            <w:r>
              <w:rPr>
                <w:rFonts w:ascii="Arial" w:cs="Arial" w:eastAsia="Arial" w:hAnsi="Arial"/>
                <w:color w:val="1B1B1E"/>
                <w:sz w:val="19"/>
                <w:szCs w:val="19"/>
              </w:rPr>
              <w:t xml:space="preserve">El artículo transitorio Quinto del ACUERDO 115/2026 añade que el envío de los tres Avisos del apartado 2 —sospecha, hechos o indicios, y coincidencia con listas— podrá realizarse seis meses después de que entre en vigor esa Resolución.</w:t>
            </w:r>
          </w:p>
          <w:p>
            <w:pPr>
              <w:spacing w:after="60"/>
            </w:pPr>
            <w:r>
              <w:rPr>
                <w:rFonts w:ascii="Arial" w:cs="Arial" w:eastAsia="Arial" w:hAnsi="Arial"/>
                <w:color w:val="1B1B1E"/>
                <w:sz w:val="19"/>
                <w:szCs w:val="19"/>
              </w:rPr>
              <w:t xml:space="preserve">Lo diferido es el medio de envío. La obligación de detectar, analizar, decidir y documentar no está sujeta a ningún transitorio, y tampoco lo está el mecanismo de identificación de listas del artículo 37 Bis, fracción IX. El día en que exista el formato, el Aviso describirá hechos ocurridos antes, y lo único que los sostendrá será lo que se haya escrito el día en que ocurrieron.</w:t>
            </w:r>
          </w:p>
        </w:tc>
      </w:tr>
    </w:tbl>
    <w:p>
      <w:pPr>
        <w:spacing w:after="160" w:before="0"/>
      </w:pPr>
      <w:r>
        <w:rPr>
          <w:rFonts w:ascii="Arial" w:cs="Arial" w:eastAsia="Arial" w:hAnsi="Arial"/>
          <w:color w:val="1B1B1E"/>
          <w:sz w:val="20"/>
          <w:szCs w:val="20"/>
        </w:rPr>
        <w:t xml:space="preserve"/>
      </w:r>
    </w:p>
    <w:p>
      <w:pPr>
        <w:spacing w:after="120" w:before="0"/>
      </w:pPr>
      <w:r>
        <w:rPr>
          <w:rFonts w:ascii="Arial" w:cs="Arial" w:eastAsia="Arial" w:hAnsi="Arial"/>
          <w:color w:val="1B1B1E"/>
          <w:sz w:val="20"/>
          <w:szCs w:val="20"/>
        </w:rPr>
        <w:t xml:space="preserve">Mientras el formato no exista, la columna de estado de envío de la bitácora se llena con la leyenda «pendiente de envío: el formato oficial aún no contempla este escenario», y el expediente conserva el análisis completo. Publicada la Resolución, se actualiza este apartado con su fecha de entrada en vigor y se calcula el plazo de seis meses.</w:t>
      </w:r>
    </w:p>
    <w:p>
      <w:pPr>
        <w:pStyle w:val="Heading1"/>
        <w:spacing w:after="160" w:before="320"/>
      </w:pPr>
      <w:r>
        <w:rPr>
          <w:rFonts w:ascii="Arial" w:cs="Arial" w:eastAsia="Arial" w:hAnsi="Arial"/>
          <w:b/>
          <w:bCs/>
          <w:color w:val="64C27B"/>
          <w:sz w:val="26"/>
          <w:szCs w:val="26"/>
        </w:rPr>
        <w:t xml:space="preserve">6. Quién hace qué</w:t>
      </w:r>
    </w:p>
    <w:tbl>
      <w:tblPr>
        <w:tblW w:type="dxa" w:w="9360"/>
        <w:tblBorders>
          <w:top w:val="single" w:color="D9D9D9" w:sz="2"/>
          <w:left w:val="single" w:color="D9D9D9" w:sz="2"/>
          <w:bottom w:val="single" w:color="D9D9D9" w:sz="2"/>
          <w:right w:val="single" w:color="D9D9D9" w:sz="2"/>
          <w:insideH w:val="single" w:color="D9D9D9" w:sz="2"/>
          <w:insideV w:val="single" w:color="D9D9D9" w:sz="2"/>
        </w:tblBorders>
      </w:tblPr>
      <w:tblGrid>
        <w:gridCol w:w="1700"/>
        <w:gridCol w:w="2300"/>
        <w:gridCol w:w="3660"/>
        <w:gridCol w:w="1700"/>
      </w:tblGrid>
      <w:tr>
        <w:trPr>
          <w:tblHeader/>
        </w:trPr>
        <w:tc>
          <w:tcPr>
            <w:tcW w:type="dxa" w:w="1700"/>
            <w:shd w:fill="64C27B" w:color="auto" w:val="clear"/>
            <w:tcMar>
              <w:top w:type="dxa" w:w="80"/>
              <w:left w:type="dxa" w:w="110"/>
              <w:bottom w:type="dxa" w:w="80"/>
              <w:right w:type="dxa" w:w="110"/>
            </w:tcMar>
          </w:tcPr>
          <w:p>
            <w:pPr>
              <w:spacing w:after="40"/>
            </w:pPr>
            <w:r>
              <w:rPr>
                <w:rFonts w:ascii="Arial" w:cs="Arial" w:eastAsia="Arial" w:hAnsi="Arial"/>
                <w:b/>
                <w:bCs/>
                <w:i w:val="false"/>
                <w:iCs w:val="false"/>
                <w:color w:val="1B1B1E"/>
                <w:sz w:val="18"/>
                <w:szCs w:val="18"/>
              </w:rPr>
              <w:t xml:space="preserve">Función</w:t>
            </w:r>
          </w:p>
        </w:tc>
        <w:tc>
          <w:tcPr>
            <w:tcW w:type="dxa" w:w="2300"/>
            <w:shd w:fill="64C27B" w:color="auto" w:val="clear"/>
            <w:tcMar>
              <w:top w:type="dxa" w:w="80"/>
              <w:left w:type="dxa" w:w="110"/>
              <w:bottom w:type="dxa" w:w="80"/>
              <w:right w:type="dxa" w:w="110"/>
            </w:tcMar>
          </w:tcPr>
          <w:p>
            <w:pPr>
              <w:spacing w:after="40"/>
            </w:pPr>
            <w:r>
              <w:rPr>
                <w:rFonts w:ascii="Arial" w:cs="Arial" w:eastAsia="Arial" w:hAnsi="Arial"/>
                <w:b/>
                <w:bCs/>
                <w:i w:val="false"/>
                <w:iCs w:val="false"/>
                <w:color w:val="1B1B1E"/>
                <w:sz w:val="18"/>
                <w:szCs w:val="18"/>
              </w:rPr>
              <w:t xml:space="preserve">Quién</w:t>
            </w:r>
          </w:p>
        </w:tc>
        <w:tc>
          <w:tcPr>
            <w:tcW w:type="dxa" w:w="3660"/>
            <w:shd w:fill="64C27B" w:color="auto" w:val="clear"/>
            <w:tcMar>
              <w:top w:type="dxa" w:w="80"/>
              <w:left w:type="dxa" w:w="110"/>
              <w:bottom w:type="dxa" w:w="80"/>
              <w:right w:type="dxa" w:w="110"/>
            </w:tcMar>
          </w:tcPr>
          <w:p>
            <w:pPr>
              <w:spacing w:after="40"/>
            </w:pPr>
            <w:r>
              <w:rPr>
                <w:rFonts w:ascii="Arial" w:cs="Arial" w:eastAsia="Arial" w:hAnsi="Arial"/>
                <w:b/>
                <w:bCs/>
                <w:i w:val="false"/>
                <w:iCs w:val="false"/>
                <w:color w:val="1B1B1E"/>
                <w:sz w:val="18"/>
                <w:szCs w:val="18"/>
              </w:rPr>
              <w:t xml:space="preserve">Qué le toca</w:t>
            </w:r>
          </w:p>
        </w:tc>
        <w:tc>
          <w:tcPr>
            <w:tcW w:type="dxa" w:w="1700"/>
            <w:shd w:fill="64C27B" w:color="auto" w:val="clear"/>
            <w:tcMar>
              <w:top w:type="dxa" w:w="80"/>
              <w:left w:type="dxa" w:w="110"/>
              <w:bottom w:type="dxa" w:w="80"/>
              <w:right w:type="dxa" w:w="110"/>
            </w:tcMar>
          </w:tcPr>
          <w:p>
            <w:pPr>
              <w:spacing w:after="40"/>
            </w:pPr>
            <w:r>
              <w:rPr>
                <w:rFonts w:ascii="Arial" w:cs="Arial" w:eastAsia="Arial" w:hAnsi="Arial"/>
                <w:b/>
                <w:bCs/>
                <w:i w:val="false"/>
                <w:iCs w:val="false"/>
                <w:color w:val="1B1B1E"/>
                <w:sz w:val="18"/>
                <w:szCs w:val="18"/>
              </w:rPr>
              <w:t xml:space="preserve">Plazo interno propuesto</w:t>
            </w:r>
          </w:p>
        </w:tc>
      </w:tr>
      <w:tr>
        <w:tc>
          <w:tcPr>
            <w:tcW w:type="dxa" w:w="17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Detección</w:t>
            </w:r>
          </w:p>
        </w:tc>
        <w:tc>
          <w:tcPr>
            <w:tcW w:type="dxa" w:w="23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Toda persona que atiende público, integra expedientes, opera el sistema de alertas o presenta Avisos</w:t>
            </w:r>
          </w:p>
        </w:tc>
        <w:tc>
          <w:tcPr>
            <w:tcW w:type="dxa" w:w="36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Abrir registro en cuanto observa la conducta o conoce el hecho. No valorar si «amerita»: eso no le toca</w:t>
            </w:r>
          </w:p>
        </w:tc>
        <w:tc>
          <w:tcPr>
            <w:tcW w:type="dxa" w:w="17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Inmediato, el mismo día</w:t>
            </w:r>
          </w:p>
        </w:tc>
      </w:tr>
      <w:tr>
        <w:tc>
          <w:tcPr>
            <w:tcW w:type="dxa" w:w="17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Escalamiento</w:t>
            </w:r>
          </w:p>
        </w:tc>
        <w:tc>
          <w:tcPr>
            <w:tcW w:type="dxa" w:w="23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[cargo del área de cumplimiento]</w:t>
            </w:r>
          </w:p>
        </w:tc>
        <w:tc>
          <w:tcPr>
            <w:tcW w:type="dxa" w:w="36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Recibir el registro, completar los campos faltantes y elevarlo a la persona Representante Encargada de Cumplimiento</w:t>
            </w:r>
          </w:p>
        </w:tc>
        <w:tc>
          <w:tcPr>
            <w:tcW w:type="dxa" w:w="17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Dentro de las 4 horas siguientes</w:t>
            </w:r>
          </w:p>
        </w:tc>
      </w:tr>
      <w:tr>
        <w:tc>
          <w:tcPr>
            <w:tcW w:type="dxa" w:w="17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Análisis</w:t>
            </w:r>
          </w:p>
        </w:tc>
        <w:tc>
          <w:tcPr>
            <w:tcW w:type="dxa" w:w="23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[cargo del área de cumplimiento]</w:t>
            </w:r>
          </w:p>
        </w:tc>
        <w:tc>
          <w:tcPr>
            <w:tcW w:type="dxa" w:w="36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Revisar expediente, perfil transaccional, operaciones previas y fuentes de consulta; dejar por escrito qué se revisó</w:t>
            </w:r>
          </w:p>
        </w:tc>
        <w:tc>
          <w:tcPr>
            <w:tcW w:type="dxa" w:w="17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Dentro de las 8 horas siguientes</w:t>
            </w:r>
          </w:p>
        </w:tc>
      </w:tr>
      <w:tr>
        <w:tc>
          <w:tcPr>
            <w:tcW w:type="dxa" w:w="17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Decisión</w:t>
            </w:r>
          </w:p>
        </w:tc>
        <w:tc>
          <w:tcPr>
            <w:tcW w:type="dxa" w:w="23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Persona Representante Encargada de Cumplimiento</w:t>
            </w:r>
          </w:p>
        </w:tc>
        <w:tc>
          <w:tcPr>
            <w:tcW w:type="dxa" w:w="36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Resolver entre las tres salidas del apartado 8 y firmar la razón escrita</w:t>
            </w:r>
          </w:p>
        </w:tc>
        <w:tc>
          <w:tcPr>
            <w:tcW w:type="dxa" w:w="17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Dentro de las 16 horas siguientes al momento de conocimiento</w:t>
            </w:r>
          </w:p>
        </w:tc>
      </w:tr>
      <w:tr>
        <w:tc>
          <w:tcPr>
            <w:tcW w:type="dxa" w:w="17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Envío</w:t>
            </w:r>
          </w:p>
        </w:tc>
        <w:tc>
          <w:tcPr>
            <w:tcW w:type="dxa" w:w="23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Persona Representante Encargada de Cumplimiento</w:t>
            </w:r>
          </w:p>
        </w:tc>
        <w:tc>
          <w:tcPr>
            <w:tcW w:type="dxa" w:w="36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Presentar el Aviso por el Portal en Internet, con la e.firma asociada al RFC de quien realiza la Actividad Vulnerable</w:t>
            </w:r>
          </w:p>
        </w:tc>
        <w:tc>
          <w:tcPr>
            <w:tcW w:type="dxa" w:w="17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Dentro de las 24 horas</w:t>
            </w:r>
          </w:p>
        </w:tc>
      </w:tr>
      <w:tr>
        <w:tc>
          <w:tcPr>
            <w:tcW w:type="dxa" w:w="17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Resguardo</w:t>
            </w:r>
          </w:p>
        </w:tc>
        <w:tc>
          <w:tcPr>
            <w:tcW w:type="dxa" w:w="23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[cargo responsable del archivo]</w:t>
            </w:r>
          </w:p>
        </w:tc>
        <w:tc>
          <w:tcPr>
            <w:tcW w:type="dxa" w:w="36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Integrar el expediente del caso y conservarlo diez años</w:t>
            </w:r>
          </w:p>
        </w:tc>
        <w:tc>
          <w:tcPr>
            <w:tcW w:type="dxa" w:w="17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El mismo día del cierre</w:t>
            </w:r>
          </w:p>
        </w:tc>
      </w:tr>
    </w:tbl>
    <w:p>
      <w:pPr>
        <w:spacing w:after="160" w:before="0"/>
      </w:pPr>
      <w:r>
        <w:rPr>
          <w:rFonts w:ascii="Arial" w:cs="Arial" w:eastAsia="Arial" w:hAnsi="Arial"/>
          <w:color w:val="1B1B1E"/>
          <w:sz w:val="20"/>
          <w:szCs w:val="20"/>
        </w:rPr>
        <w:t xml:space="preserve"/>
      </w:r>
    </w:p>
    <w:p>
      <w:pPr>
        <w:spacing w:after="120" w:before="0"/>
      </w:pPr>
      <w:r>
        <w:rPr>
          <w:rFonts w:ascii="Arial" w:cs="Arial" w:eastAsia="Arial" w:hAnsi="Arial"/>
          <w:color w:val="1B1B1E"/>
          <w:sz w:val="20"/>
          <w:szCs w:val="20"/>
        </w:rPr>
        <w:t xml:space="preserve">Los plazos internos de esta tabla son propuesta y suman menos de veinticuatro horas a propósito, para que el plazo legal no se consuma en el trayecto. Ajústelos a su operación y déjelos escritos: un plazo interno que nadie fijó es un plazo que nadie incumple y que nadie cumple.</w:t>
      </w:r>
    </w:p>
    <w:p>
      <w:pPr>
        <w:spacing w:after="120" w:before="0"/>
      </w:pPr>
      <w:r>
        <w:rPr>
          <w:rFonts w:ascii="Arial" w:cs="Arial" w:eastAsia="Arial" w:hAnsi="Arial"/>
          <w:color w:val="1B1B1E"/>
          <w:sz w:val="20"/>
          <w:szCs w:val="20"/>
        </w:rPr>
        <w:t xml:space="preserve">Mientras no haya persona Representante Encargada de Cumplimiento o la designación no sea aceptada, la decisión corresponde a los integrantes del órgano de administración o a quien funja como administrador único, conforme al segundo párrafo del artículo 20 de la Ley.</w:t>
      </w:r>
    </w:p>
    <w:p>
      <w:pPr>
        <w:pStyle w:val="Heading1"/>
        <w:spacing w:after="160" w:before="320"/>
      </w:pPr>
      <w:r>
        <w:rPr>
          <w:rFonts w:ascii="Arial" w:cs="Arial" w:eastAsia="Arial" w:hAnsi="Arial"/>
          <w:b/>
          <w:bCs/>
          <w:color w:val="64C27B"/>
          <w:sz w:val="26"/>
          <w:szCs w:val="26"/>
        </w:rPr>
        <w:t xml:space="preserve">7. El procedimiento, paso a paso</w:t>
      </w:r>
    </w:p>
    <w:p>
      <w:pPr>
        <w:pStyle w:val="ListParagraph"/>
        <w:numPr>
          <w:ilvl w:val="0"/>
          <w:numId w:val="3"/>
        </w:numPr>
        <w:spacing w:after="80"/>
      </w:pPr>
      <w:r>
        <w:rPr>
          <w:rFonts w:ascii="Arial" w:cs="Arial" w:eastAsia="Arial" w:hAnsi="Arial"/>
          <w:color w:val="1B1B1E"/>
          <w:sz w:val="20"/>
          <w:szCs w:val="20"/>
        </w:rPr>
        <w:t xml:space="preserve">Se abre registro. Cualquiera que detecte la conducta o conozca el hecho abre el registro en la bitácora que corresponda, con la fecha y la hora en que se supo. Este paso no admite filtro previo.</w:t>
      </w:r>
    </w:p>
    <w:p>
      <w:pPr>
        <w:pStyle w:val="ListParagraph"/>
        <w:numPr>
          <w:ilvl w:val="0"/>
          <w:numId w:val="3"/>
        </w:numPr>
        <w:spacing w:after="80"/>
      </w:pPr>
      <w:r>
        <w:rPr>
          <w:rFonts w:ascii="Arial" w:cs="Arial" w:eastAsia="Arial" w:hAnsi="Arial"/>
          <w:color w:val="1B1B1E"/>
          <w:sz w:val="20"/>
          <w:szCs w:val="20"/>
        </w:rPr>
        <w:t xml:space="preserve">Se escala. El registro llega al área de cumplimiento con los datos que haya. La falta de datos no detiene el escalamiento.</w:t>
      </w:r>
    </w:p>
    <w:p>
      <w:pPr>
        <w:pStyle w:val="ListParagraph"/>
        <w:numPr>
          <w:ilvl w:val="0"/>
          <w:numId w:val="3"/>
        </w:numPr>
        <w:spacing w:after="80"/>
      </w:pPr>
      <w:r>
        <w:rPr>
          <w:rFonts w:ascii="Arial" w:cs="Arial" w:eastAsia="Arial" w:hAnsi="Arial"/>
          <w:color w:val="1B1B1E"/>
          <w:sz w:val="20"/>
          <w:szCs w:val="20"/>
        </w:rPr>
        <w:t xml:space="preserve">Se analiza. Se revisan expediente único de identificación, Perfil transaccional, operaciones de los últimos seis meses, Grado de Riesgo asignado, condición de Persona Políticamente Expuesta y coincidencias con el listado del artículo 38 de las Reglas. Se anota qué se revisó, no sólo la conclusión.</w:t>
      </w:r>
    </w:p>
    <w:p>
      <w:pPr>
        <w:pStyle w:val="ListParagraph"/>
        <w:numPr>
          <w:ilvl w:val="0"/>
          <w:numId w:val="3"/>
        </w:numPr>
        <w:spacing w:after="80"/>
      </w:pPr>
      <w:r>
        <w:rPr>
          <w:rFonts w:ascii="Arial" w:cs="Arial" w:eastAsia="Arial" w:hAnsi="Arial"/>
          <w:color w:val="1B1B1E"/>
          <w:sz w:val="20"/>
          <w:szCs w:val="20"/>
        </w:rPr>
        <w:t xml:space="preserve">Se decide. La persona Representante Encargada de Cumplimiento resuelve entre las tres salidas del apartado 8 y firma la razón escrita. Una decisión sin razón escrita no acredita nada.</w:t>
      </w:r>
    </w:p>
    <w:p>
      <w:pPr>
        <w:pStyle w:val="ListParagraph"/>
        <w:numPr>
          <w:ilvl w:val="0"/>
          <w:numId w:val="3"/>
        </w:numPr>
        <w:spacing w:after="80"/>
      </w:pPr>
      <w:r>
        <w:rPr>
          <w:rFonts w:ascii="Arial" w:cs="Arial" w:eastAsia="Arial" w:hAnsi="Arial"/>
          <w:color w:val="1B1B1E"/>
          <w:sz w:val="20"/>
          <w:szCs w:val="20"/>
        </w:rPr>
        <w:t xml:space="preserve">Se envía o se deja constancia del diferimiento, según el apartado 5.</w:t>
      </w:r>
    </w:p>
    <w:p>
      <w:pPr>
        <w:pStyle w:val="ListParagraph"/>
        <w:numPr>
          <w:ilvl w:val="0"/>
          <w:numId w:val="3"/>
        </w:numPr>
        <w:spacing w:after="80"/>
      </w:pPr>
      <w:r>
        <w:rPr>
          <w:rFonts w:ascii="Arial" w:cs="Arial" w:eastAsia="Arial" w:hAnsi="Arial"/>
          <w:color w:val="1B1B1E"/>
          <w:sz w:val="20"/>
          <w:szCs w:val="20"/>
        </w:rPr>
        <w:t xml:space="preserve">Se cierra y se resguarda. Se integra el expediente del caso con el registro, el análisis, la decisión y, en su caso, el acuse.</w:t>
      </w:r>
    </w:p>
    <w:p>
      <w:pPr>
        <w:pStyle w:val="Heading1"/>
        <w:spacing w:after="160" w:before="320"/>
      </w:pPr>
      <w:r>
        <w:rPr>
          <w:rFonts w:ascii="Arial" w:cs="Arial" w:eastAsia="Arial" w:hAnsi="Arial"/>
          <w:b/>
          <w:bCs/>
          <w:color w:val="64C27B"/>
          <w:sz w:val="26"/>
          <w:szCs w:val="26"/>
        </w:rPr>
        <w:t xml:space="preserve">8. Las tres salidas</w:t>
      </w:r>
    </w:p>
    <w:p>
      <w:pPr>
        <w:spacing w:after="120" w:before="0"/>
      </w:pPr>
      <w:r>
        <w:rPr>
          <w:rFonts w:ascii="Arial" w:cs="Arial" w:eastAsia="Arial" w:hAnsi="Arial"/>
          <w:color w:val="1B1B1E"/>
          <w:sz w:val="20"/>
          <w:szCs w:val="20"/>
        </w:rPr>
        <w:t xml:space="preserve">Una alerta o un registro de intento puede terminar en tres lugares, y sólo uno de ellos es el Aviso. Confundir «alerta» con «aviso» es lo que lleva a no generar alertas, que es el peor de los mundos posibles.</w:t>
      </w:r>
    </w:p>
    <w:tbl>
      <w:tblPr>
        <w:tblW w:type="dxa" w:w="9360"/>
        <w:tblBorders>
          <w:top w:val="single" w:color="D9D9D9" w:sz="2"/>
          <w:left w:val="single" w:color="D9D9D9" w:sz="2"/>
          <w:bottom w:val="single" w:color="D9D9D9" w:sz="2"/>
          <w:right w:val="single" w:color="D9D9D9" w:sz="2"/>
          <w:insideH w:val="single" w:color="D9D9D9" w:sz="2"/>
          <w:insideV w:val="single" w:color="D9D9D9" w:sz="2"/>
        </w:tblBorders>
      </w:tblPr>
      <w:tblGrid>
        <w:gridCol w:w="2300"/>
        <w:gridCol w:w="3830"/>
        <w:gridCol w:w="3230"/>
      </w:tblGrid>
      <w:tr>
        <w:trPr>
          <w:tblHeader/>
        </w:trPr>
        <w:tc>
          <w:tcPr>
            <w:tcW w:type="dxa" w:w="2300"/>
            <w:shd w:fill="64C27B" w:color="auto" w:val="clear"/>
            <w:tcMar>
              <w:top w:type="dxa" w:w="80"/>
              <w:left w:type="dxa" w:w="110"/>
              <w:bottom w:type="dxa" w:w="80"/>
              <w:right w:type="dxa" w:w="110"/>
            </w:tcMar>
          </w:tcPr>
          <w:p>
            <w:pPr>
              <w:spacing w:after="40"/>
            </w:pPr>
            <w:r>
              <w:rPr>
                <w:rFonts w:ascii="Arial" w:cs="Arial" w:eastAsia="Arial" w:hAnsi="Arial"/>
                <w:b/>
                <w:bCs/>
                <w:i w:val="false"/>
                <w:iCs w:val="false"/>
                <w:color w:val="1B1B1E"/>
                <w:sz w:val="18"/>
                <w:szCs w:val="18"/>
              </w:rPr>
              <w:t xml:space="preserve">Salida</w:t>
            </w:r>
          </w:p>
        </w:tc>
        <w:tc>
          <w:tcPr>
            <w:tcW w:type="dxa" w:w="3830"/>
            <w:shd w:fill="64C27B" w:color="auto" w:val="clear"/>
            <w:tcMar>
              <w:top w:type="dxa" w:w="80"/>
              <w:left w:type="dxa" w:w="110"/>
              <w:bottom w:type="dxa" w:w="80"/>
              <w:right w:type="dxa" w:w="110"/>
            </w:tcMar>
          </w:tcPr>
          <w:p>
            <w:pPr>
              <w:spacing w:after="40"/>
            </w:pPr>
            <w:r>
              <w:rPr>
                <w:rFonts w:ascii="Arial" w:cs="Arial" w:eastAsia="Arial" w:hAnsi="Arial"/>
                <w:b/>
                <w:bCs/>
                <w:i w:val="false"/>
                <w:iCs w:val="false"/>
                <w:color w:val="1B1B1E"/>
                <w:sz w:val="18"/>
                <w:szCs w:val="18"/>
              </w:rPr>
              <w:t xml:space="preserve">Cuándo procede</w:t>
            </w:r>
          </w:p>
        </w:tc>
        <w:tc>
          <w:tcPr>
            <w:tcW w:type="dxa" w:w="3230"/>
            <w:shd w:fill="64C27B" w:color="auto" w:val="clear"/>
            <w:tcMar>
              <w:top w:type="dxa" w:w="80"/>
              <w:left w:type="dxa" w:w="110"/>
              <w:bottom w:type="dxa" w:w="80"/>
              <w:right w:type="dxa" w:w="110"/>
            </w:tcMar>
          </w:tcPr>
          <w:p>
            <w:pPr>
              <w:spacing w:after="40"/>
            </w:pPr>
            <w:r>
              <w:rPr>
                <w:rFonts w:ascii="Arial" w:cs="Arial" w:eastAsia="Arial" w:hAnsi="Arial"/>
                <w:b/>
                <w:bCs/>
                <w:i w:val="false"/>
                <w:iCs w:val="false"/>
                <w:color w:val="1B1B1E"/>
                <w:sz w:val="18"/>
                <w:szCs w:val="18"/>
              </w:rPr>
              <w:t xml:space="preserve">Qué queda documentado</w:t>
            </w:r>
          </w:p>
        </w:tc>
      </w:tr>
      <w:tr>
        <w:tc>
          <w:tcPr>
            <w:tcW w:type="dxa" w:w="23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Se descarta</w:t>
            </w:r>
          </w:p>
        </w:tc>
        <w:tc>
          <w:tcPr>
            <w:tcW w:type="dxa" w:w="383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Cuando el análisis explica la conducta o el hecho de manera razonable y consistente con el expediente y el Perfil transaccional</w:t>
            </w:r>
          </w:p>
        </w:tc>
        <w:tc>
          <w:tcPr>
            <w:tcW w:type="dxa" w:w="323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La razón escrita, quién la firmó y qué se revisó para llegar a ella. Es la salida más frecuente y es legítima</w:t>
            </w:r>
          </w:p>
        </w:tc>
      </w:tr>
      <w:tr>
        <w:tc>
          <w:tcPr>
            <w:tcW w:type="dxa" w:w="23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Actualiza el expediente o el Perfil transaccional</w:t>
            </w:r>
          </w:p>
        </w:tc>
        <w:tc>
          <w:tcPr>
            <w:tcW w:type="dxa" w:w="383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Cuando el acto se apartó del perfil por una causa real y verificada, y hay cambio significativo. Es el supuesto de la fracción IV del artículo 23 Ter de las Reglas</w:t>
            </w:r>
          </w:p>
        </w:tc>
        <w:tc>
          <w:tcPr>
            <w:tcW w:type="dxa" w:w="323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El soporte del cambio, el perfil anterior y el nuevo, y la fecha. El histórico se conserva diez años conforme al artículo 41, fracción IV</w:t>
            </w:r>
          </w:p>
        </w:tc>
      </w:tr>
      <w:tr>
        <w:tc>
          <w:tcPr>
            <w:tcW w:type="dxa" w:w="23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Se convierte en Aviso de 24 horas</w:t>
            </w:r>
          </w:p>
        </w:tc>
        <w:tc>
          <w:tcPr>
            <w:tcW w:type="dxa" w:w="383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Cuando subsiste la sospecha, o cuando el hecho o indicio no se desvirtúa</w:t>
            </w:r>
          </w:p>
        </w:tc>
        <w:tc>
          <w:tcPr>
            <w:tcW w:type="dxa" w:w="323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El registro completo, el análisis, la decisión firmada y el acuse cuando exista formato</w:t>
            </w:r>
          </w:p>
        </w:tc>
      </w:tr>
    </w:tbl>
    <w:p>
      <w:pPr>
        <w:spacing w:after="160" w:before="0"/>
      </w:pPr>
      <w:r>
        <w:rPr>
          <w:rFonts w:ascii="Arial" w:cs="Arial" w:eastAsia="Arial" w:hAnsi="Arial"/>
          <w:color w:val="1B1B1E"/>
          <w:sz w:val="20"/>
          <w:szCs w:val="20"/>
        </w:rPr>
        <w:t xml:space="preserve"/>
      </w:r>
    </w:p>
    <w:tbl>
      <w:tblPr>
        <w:tblW w:type="dxa" w:w="9360"/>
        <w:tblBorders>
          <w:top w:val="single" w:color="64C27B" w:sz="6"/>
          <w:left w:val="single" w:color="64C27B" w:sz="6"/>
          <w:bottom w:val="single" w:color="64C27B" w:sz="6"/>
          <w:right w:val="single" w:color="64C27B" w:sz="6"/>
          <w:insideH w:val="none"/>
          <w:insideV w:val="none"/>
        </w:tblBorders>
      </w:tblPr>
      <w:tblGrid>
        <w:gridCol w:w="9360"/>
      </w:tblGrid>
      <w:tr>
        <w:tc>
          <w:tcPr>
            <w:tcW w:type="dxa" w:w="9360"/>
            <w:shd w:fill="FFF6DA" w:color="auto" w:val="clear"/>
            <w:tcMar>
              <w:top w:type="dxa" w:w="140"/>
              <w:left w:type="dxa" w:w="160"/>
              <w:bottom w:type="dxa" w:w="140"/>
              <w:right w:type="dxa" w:w="160"/>
            </w:tcMar>
          </w:tcPr>
          <w:p>
            <w:pPr>
              <w:spacing w:after="80"/>
            </w:pPr>
            <w:r>
              <w:rPr>
                <w:rFonts w:ascii="Arial" w:cs="Arial" w:eastAsia="Arial" w:hAnsi="Arial"/>
                <w:b/>
                <w:bCs/>
                <w:color w:val="1B1B1E"/>
                <w:sz w:val="20"/>
                <w:szCs w:val="20"/>
              </w:rPr>
              <w:t xml:space="preserve">La frase que conviene tener escrita en el Manual</w:t>
            </w:r>
          </w:p>
          <w:p>
            <w:pPr>
              <w:spacing w:after="60"/>
            </w:pPr>
            <w:r>
              <w:rPr>
                <w:rFonts w:ascii="Arial" w:cs="Arial" w:eastAsia="Arial" w:hAnsi="Arial"/>
                <w:color w:val="1B1B1E"/>
                <w:sz w:val="19"/>
                <w:szCs w:val="19"/>
              </w:rPr>
              <w:t xml:space="preserve">Una alerta no es una confesión: es la prueba de que el control existe y de que alguien lo está mirando. El periodo que no generó una sola alerta no acredita ausencia de riesgo; acredita ausencia de monitoreo.</w:t>
            </w:r>
          </w:p>
        </w:tc>
      </w:tr>
    </w:tbl>
    <w:p>
      <w:pPr>
        <w:pStyle w:val="Heading1"/>
        <w:spacing w:after="160" w:before="320"/>
      </w:pPr>
      <w:r>
        <w:rPr>
          <w:rFonts w:ascii="Arial" w:cs="Arial" w:eastAsia="Arial" w:hAnsi="Arial"/>
          <w:b/>
          <w:bCs/>
          <w:color w:val="64C27B"/>
          <w:sz w:val="26"/>
          <w:szCs w:val="26"/>
        </w:rPr>
        <w:t xml:space="preserve">9. Qué se documenta, como mínimo</w:t>
      </w:r>
    </w:p>
    <w:p>
      <w:pPr>
        <w:spacing w:after="120" w:before="0"/>
      </w:pPr>
      <w:r>
        <w:rPr>
          <w:rFonts w:ascii="Arial" w:cs="Arial" w:eastAsia="Arial" w:hAnsi="Arial"/>
          <w:color w:val="1B1B1E"/>
          <w:sz w:val="20"/>
          <w:szCs w:val="20"/>
        </w:rPr>
        <w:t xml:space="preserve">Seis campos. La bitácora corta se llena y la larga no; ésa es toda la razón de que sean seis.</w:t>
      </w:r>
    </w:p>
    <w:tbl>
      <w:tblPr>
        <w:tblW w:type="dxa" w:w="9360"/>
        <w:tblBorders>
          <w:top w:val="single" w:color="D9D9D9" w:sz="2"/>
          <w:left w:val="single" w:color="D9D9D9" w:sz="2"/>
          <w:bottom w:val="single" w:color="D9D9D9" w:sz="2"/>
          <w:right w:val="single" w:color="D9D9D9" w:sz="2"/>
          <w:insideH w:val="single" w:color="D9D9D9" w:sz="2"/>
          <w:insideV w:val="single" w:color="D9D9D9" w:sz="2"/>
        </w:tblBorders>
      </w:tblPr>
      <w:tblGrid>
        <w:gridCol w:w="600"/>
        <w:gridCol w:w="3060"/>
        <w:gridCol w:w="5700"/>
      </w:tblGrid>
      <w:tr>
        <w:trPr>
          <w:tblHeader/>
        </w:trPr>
        <w:tc>
          <w:tcPr>
            <w:tcW w:type="dxa" w:w="600"/>
            <w:shd w:fill="64C27B" w:color="auto" w:val="clear"/>
            <w:tcMar>
              <w:top w:type="dxa" w:w="80"/>
              <w:left w:type="dxa" w:w="110"/>
              <w:bottom w:type="dxa" w:w="80"/>
              <w:right w:type="dxa" w:w="110"/>
            </w:tcMar>
          </w:tcPr>
          <w:p>
            <w:pPr>
              <w:spacing w:after="40"/>
            </w:pPr>
            <w:r>
              <w:rPr>
                <w:rFonts w:ascii="Arial" w:cs="Arial" w:eastAsia="Arial" w:hAnsi="Arial"/>
                <w:b/>
                <w:bCs/>
                <w:i w:val="false"/>
                <w:iCs w:val="false"/>
                <w:color w:val="1B1B1E"/>
                <w:sz w:val="18"/>
                <w:szCs w:val="18"/>
              </w:rPr>
              <w:t xml:space="preserve">#</w:t>
            </w:r>
          </w:p>
        </w:tc>
        <w:tc>
          <w:tcPr>
            <w:tcW w:type="dxa" w:w="3060"/>
            <w:shd w:fill="64C27B" w:color="auto" w:val="clear"/>
            <w:tcMar>
              <w:top w:type="dxa" w:w="80"/>
              <w:left w:type="dxa" w:w="110"/>
              <w:bottom w:type="dxa" w:w="80"/>
              <w:right w:type="dxa" w:w="110"/>
            </w:tcMar>
          </w:tcPr>
          <w:p>
            <w:pPr>
              <w:spacing w:after="40"/>
            </w:pPr>
            <w:r>
              <w:rPr>
                <w:rFonts w:ascii="Arial" w:cs="Arial" w:eastAsia="Arial" w:hAnsi="Arial"/>
                <w:b/>
                <w:bCs/>
                <w:i w:val="false"/>
                <w:iCs w:val="false"/>
                <w:color w:val="1B1B1E"/>
                <w:sz w:val="18"/>
                <w:szCs w:val="18"/>
              </w:rPr>
              <w:t xml:space="preserve">Campo</w:t>
            </w:r>
          </w:p>
        </w:tc>
        <w:tc>
          <w:tcPr>
            <w:tcW w:type="dxa" w:w="5700"/>
            <w:shd w:fill="64C27B" w:color="auto" w:val="clear"/>
            <w:tcMar>
              <w:top w:type="dxa" w:w="80"/>
              <w:left w:type="dxa" w:w="110"/>
              <w:bottom w:type="dxa" w:w="80"/>
              <w:right w:type="dxa" w:w="110"/>
            </w:tcMar>
          </w:tcPr>
          <w:p>
            <w:pPr>
              <w:spacing w:after="40"/>
            </w:pPr>
            <w:r>
              <w:rPr>
                <w:rFonts w:ascii="Arial" w:cs="Arial" w:eastAsia="Arial" w:hAnsi="Arial"/>
                <w:b/>
                <w:bCs/>
                <w:i w:val="false"/>
                <w:iCs w:val="false"/>
                <w:color w:val="1B1B1E"/>
                <w:sz w:val="18"/>
                <w:szCs w:val="18"/>
              </w:rPr>
              <w:t xml:space="preserve">Por qué</w:t>
            </w:r>
          </w:p>
        </w:tc>
      </w:tr>
      <w:tr>
        <w:tc>
          <w:tcPr>
            <w:tcW w:type="dxa" w:w="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1</w:t>
            </w:r>
          </w:p>
        </w:tc>
        <w:tc>
          <w:tcPr>
            <w:tcW w:type="dxa" w:w="30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Quién detectó</w:t>
            </w:r>
          </w:p>
        </w:tc>
        <w:tc>
          <w:tcPr>
            <w:tcW w:type="dxa" w:w="57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Acredita que el mecanismo alcanzó al personal que tiene contacto con el Cliente o Usuaria</w:t>
            </w:r>
          </w:p>
        </w:tc>
      </w:tr>
      <w:tr>
        <w:tc>
          <w:tcPr>
            <w:tcW w:type="dxa" w:w="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2</w:t>
            </w:r>
          </w:p>
        </w:tc>
        <w:tc>
          <w:tcPr>
            <w:tcW w:type="dxa" w:w="30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Qué detectó</w:t>
            </w:r>
          </w:p>
        </w:tc>
        <w:tc>
          <w:tcPr>
            <w:tcW w:type="dxa" w:w="57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Es el hecho, descrito sin calificarlo. La calificación viene después</w:t>
            </w:r>
          </w:p>
        </w:tc>
      </w:tr>
      <w:tr>
        <w:tc>
          <w:tcPr>
            <w:tcW w:type="dxa" w:w="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3</w:t>
            </w:r>
          </w:p>
        </w:tc>
        <w:tc>
          <w:tcPr>
            <w:tcW w:type="dxa" w:w="30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A qué hora se supo</w:t>
            </w:r>
          </w:p>
        </w:tc>
        <w:tc>
          <w:tcPr>
            <w:tcW w:type="dxa" w:w="57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Es el dato del que depende el plazo. Sin él no hay cumplimiento demostrable</w:t>
            </w:r>
          </w:p>
        </w:tc>
      </w:tr>
      <w:tr>
        <w:tc>
          <w:tcPr>
            <w:tcW w:type="dxa" w:w="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4</w:t>
            </w:r>
          </w:p>
        </w:tc>
        <w:tc>
          <w:tcPr>
            <w:tcW w:type="dxa" w:w="30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Qué se revisó</w:t>
            </w:r>
          </w:p>
        </w:tc>
        <w:tc>
          <w:tcPr>
            <w:tcW w:type="dxa" w:w="57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Es lo que convierte una corazonada en un análisis</w:t>
            </w:r>
          </w:p>
        </w:tc>
      </w:tr>
      <w:tr>
        <w:tc>
          <w:tcPr>
            <w:tcW w:type="dxa" w:w="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5</w:t>
            </w:r>
          </w:p>
        </w:tc>
        <w:tc>
          <w:tcPr>
            <w:tcW w:type="dxa" w:w="30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Quién decidió y con qué razón</w:t>
            </w:r>
          </w:p>
        </w:tc>
        <w:tc>
          <w:tcPr>
            <w:tcW w:type="dxa" w:w="57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Es lo que hace defendible la decisión de no avisar</w:t>
            </w:r>
          </w:p>
        </w:tc>
      </w:tr>
      <w:tr>
        <w:tc>
          <w:tcPr>
            <w:tcW w:type="dxa" w:w="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6</w:t>
            </w:r>
          </w:p>
        </w:tc>
        <w:tc>
          <w:tcPr>
            <w:tcW w:type="dxa" w:w="30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En qué terminó y dónde queda el soporte</w:t>
            </w:r>
          </w:p>
        </w:tc>
        <w:tc>
          <w:tcPr>
            <w:tcW w:type="dxa" w:w="57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Es lo que permite reconstruir el caso años después</w:t>
            </w:r>
          </w:p>
        </w:tc>
      </w:tr>
    </w:tbl>
    <w:p>
      <w:pPr>
        <w:pStyle w:val="Heading1"/>
        <w:spacing w:after="160" w:before="320"/>
      </w:pPr>
      <w:r>
        <w:rPr>
          <w:rFonts w:ascii="Arial" w:cs="Arial" w:eastAsia="Arial" w:hAnsi="Arial"/>
          <w:b/>
          <w:bCs/>
          <w:color w:val="64C27B"/>
          <w:sz w:val="26"/>
          <w:szCs w:val="26"/>
        </w:rPr>
        <w:t xml:space="preserve">10. Confidencialidad</w:t>
      </w:r>
    </w:p>
    <w:p>
      <w:pPr>
        <w:spacing w:after="120" w:before="0"/>
      </w:pPr>
      <w:r>
        <w:rPr>
          <w:rFonts w:ascii="Arial" w:cs="Arial" w:eastAsia="Arial" w:hAnsi="Arial"/>
          <w:color w:val="1B1B1E"/>
          <w:sz w:val="20"/>
          <w:szCs w:val="20"/>
        </w:rPr>
        <w:t xml:space="preserve">No se informa al Cliente o Usuaria, ni a terceros, que se abrió un registro, que se analizó una operación o que se presentó un Aviso. El artículo 38 de la Ley declara confidencial y reservada la información y documentación soporte de los Avisos y la identidad de quien los presenta; el artículo 31 de las Reglas extiende el deber a consejeros, administradores, representantes, directivos, funcionarios, la persona Representante Encargada de Cumplimiento, empleados sin distinción de esquema de contratación, apoderados y factores, e incluye expresamente la documentación relativa a la identificación y estructura de control del Beneficiario Controlador.</w:t>
      </w:r>
    </w:p>
    <w:p>
      <w:pPr>
        <w:spacing w:after="120" w:before="0"/>
      </w:pPr>
      <w:r>
        <w:rPr>
          <w:rFonts w:ascii="Arial" w:cs="Arial" w:eastAsia="Arial" w:hAnsi="Arial"/>
          <w:color w:val="1B1B1E"/>
          <w:sz w:val="20"/>
          <w:szCs w:val="20"/>
        </w:rPr>
        <w:t xml:space="preserve">Revelar o divulgar, por cualquier medio y sin autorización, información que vincule a una persona con un Aviso, está tipificado como delito en la fracción II del artículo 63 de la Ley, con prisión de cuatro a diez años, exista o no el Aviso.</w:t>
      </w:r>
    </w:p>
    <w:p>
      <w:pPr>
        <w:pStyle w:val="Heading1"/>
        <w:spacing w:after="160" w:before="320"/>
      </w:pPr>
      <w:r>
        <w:rPr>
          <w:rFonts w:ascii="Arial" w:cs="Arial" w:eastAsia="Arial" w:hAnsi="Arial"/>
          <w:b/>
          <w:bCs/>
          <w:color w:val="64C27B"/>
          <w:sz w:val="26"/>
          <w:szCs w:val="26"/>
        </w:rPr>
        <w:t xml:space="preserve">11. Conservación</w:t>
      </w:r>
    </w:p>
    <w:tbl>
      <w:tblPr>
        <w:tblW w:type="dxa" w:w="9360"/>
        <w:tblBorders>
          <w:top w:val="single" w:color="D9D9D9" w:sz="2"/>
          <w:left w:val="single" w:color="D9D9D9" w:sz="2"/>
          <w:bottom w:val="single" w:color="D9D9D9" w:sz="2"/>
          <w:right w:val="single" w:color="D9D9D9" w:sz="2"/>
          <w:insideH w:val="single" w:color="D9D9D9" w:sz="2"/>
          <w:insideV w:val="single" w:color="D9D9D9" w:sz="2"/>
        </w:tblBorders>
      </w:tblPr>
      <w:tblGrid>
        <w:gridCol w:w="3400"/>
        <w:gridCol w:w="1500"/>
        <w:gridCol w:w="2660"/>
        <w:gridCol w:w="1800"/>
      </w:tblGrid>
      <w:tr>
        <w:trPr>
          <w:tblHeader/>
        </w:trPr>
        <w:tc>
          <w:tcPr>
            <w:tcW w:type="dxa" w:w="3400"/>
            <w:shd w:fill="64C27B" w:color="auto" w:val="clear"/>
            <w:tcMar>
              <w:top w:type="dxa" w:w="80"/>
              <w:left w:type="dxa" w:w="110"/>
              <w:bottom w:type="dxa" w:w="80"/>
              <w:right w:type="dxa" w:w="110"/>
            </w:tcMar>
          </w:tcPr>
          <w:p>
            <w:pPr>
              <w:spacing w:after="40"/>
            </w:pPr>
            <w:r>
              <w:rPr>
                <w:rFonts w:ascii="Arial" w:cs="Arial" w:eastAsia="Arial" w:hAnsi="Arial"/>
                <w:b/>
                <w:bCs/>
                <w:i w:val="false"/>
                <w:iCs w:val="false"/>
                <w:color w:val="1B1B1E"/>
                <w:sz w:val="18"/>
                <w:szCs w:val="18"/>
              </w:rPr>
              <w:t xml:space="preserve">Qué se conserva</w:t>
            </w:r>
          </w:p>
        </w:tc>
        <w:tc>
          <w:tcPr>
            <w:tcW w:type="dxa" w:w="1500"/>
            <w:shd w:fill="64C27B" w:color="auto" w:val="clear"/>
            <w:tcMar>
              <w:top w:type="dxa" w:w="80"/>
              <w:left w:type="dxa" w:w="110"/>
              <w:bottom w:type="dxa" w:w="80"/>
              <w:right w:type="dxa" w:w="110"/>
            </w:tcMar>
          </w:tcPr>
          <w:p>
            <w:pPr>
              <w:spacing w:after="40"/>
            </w:pPr>
            <w:r>
              <w:rPr>
                <w:rFonts w:ascii="Arial" w:cs="Arial" w:eastAsia="Arial" w:hAnsi="Arial"/>
                <w:b/>
                <w:bCs/>
                <w:i w:val="false"/>
                <w:iCs w:val="false"/>
                <w:color w:val="1B1B1E"/>
                <w:sz w:val="18"/>
                <w:szCs w:val="18"/>
              </w:rPr>
              <w:t xml:space="preserve">Cuánto</w:t>
            </w:r>
          </w:p>
        </w:tc>
        <w:tc>
          <w:tcPr>
            <w:tcW w:type="dxa" w:w="2660"/>
            <w:shd w:fill="64C27B" w:color="auto" w:val="clear"/>
            <w:tcMar>
              <w:top w:type="dxa" w:w="80"/>
              <w:left w:type="dxa" w:w="110"/>
              <w:bottom w:type="dxa" w:w="80"/>
              <w:right w:type="dxa" w:w="110"/>
            </w:tcMar>
          </w:tcPr>
          <w:p>
            <w:pPr>
              <w:spacing w:after="40"/>
            </w:pPr>
            <w:r>
              <w:rPr>
                <w:rFonts w:ascii="Arial" w:cs="Arial" w:eastAsia="Arial" w:hAnsi="Arial"/>
                <w:b/>
                <w:bCs/>
                <w:i w:val="false"/>
                <w:iCs w:val="false"/>
                <w:color w:val="1B1B1E"/>
                <w:sz w:val="18"/>
                <w:szCs w:val="18"/>
              </w:rPr>
              <w:t xml:space="preserve">Desde cuándo</w:t>
            </w:r>
          </w:p>
        </w:tc>
        <w:tc>
          <w:tcPr>
            <w:tcW w:type="dxa" w:w="1800"/>
            <w:shd w:fill="64C27B" w:color="auto" w:val="clear"/>
            <w:tcMar>
              <w:top w:type="dxa" w:w="80"/>
              <w:left w:type="dxa" w:w="110"/>
              <w:bottom w:type="dxa" w:w="80"/>
              <w:right w:type="dxa" w:w="110"/>
            </w:tcMar>
          </w:tcPr>
          <w:p>
            <w:pPr>
              <w:spacing w:after="40"/>
            </w:pPr>
            <w:r>
              <w:rPr>
                <w:rFonts w:ascii="Arial" w:cs="Arial" w:eastAsia="Arial" w:hAnsi="Arial"/>
                <w:b/>
                <w:bCs/>
                <w:i w:val="false"/>
                <w:iCs w:val="false"/>
                <w:color w:val="1B1B1E"/>
                <w:sz w:val="18"/>
                <w:szCs w:val="18"/>
              </w:rPr>
              <w:t xml:space="preserve">Fundamento</w:t>
            </w:r>
          </w:p>
        </w:tc>
      </w:tr>
      <w:tr>
        <w:tc>
          <w:tcPr>
            <w:tcW w:type="dxa" w:w="34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Registros, análisis, decisiones y soporte del caso</w:t>
            </w:r>
          </w:p>
        </w:tc>
        <w:tc>
          <w:tcPr>
            <w:tcW w:type="dxa" w:w="15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Diez años</w:t>
            </w:r>
          </w:p>
        </w:tc>
        <w:tc>
          <w:tcPr>
            <w:tcW w:type="dxa" w:w="26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Desde la realización de la Actividad Vulnerable</w:t>
            </w:r>
          </w:p>
        </w:tc>
        <w:tc>
          <w:tcPr>
            <w:tcW w:type="dxa" w:w="18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L 18 fr. IV, segundo párrafo</w:t>
            </w:r>
          </w:p>
        </w:tc>
      </w:tr>
      <w:tr>
        <w:tc>
          <w:tcPr>
            <w:tcW w:type="dxa" w:w="34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Copia de los Avisos e Informes, su documentación soporte y los acuses electrónicos</w:t>
            </w:r>
          </w:p>
        </w:tc>
        <w:tc>
          <w:tcPr>
            <w:tcW w:type="dxa" w:w="15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Diez años</w:t>
            </w:r>
          </w:p>
        </w:tc>
        <w:tc>
          <w:tcPr>
            <w:tcW w:type="dxa" w:w="26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Desde la presentación del Aviso y la emisión del acuse</w:t>
            </w:r>
          </w:p>
        </w:tc>
        <w:tc>
          <w:tcPr>
            <w:tcW w:type="dxa" w:w="18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 20</w:t>
            </w:r>
          </w:p>
        </w:tc>
      </w:tr>
      <w:tr>
        <w:tc>
          <w:tcPr>
            <w:tcW w:type="dxa" w:w="34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Registros históricos del Grado de Riesgo y del Perfil transaccional</w:t>
            </w:r>
          </w:p>
        </w:tc>
        <w:tc>
          <w:tcPr>
            <w:tcW w:type="dxa" w:w="15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No menos de diez años</w:t>
            </w:r>
          </w:p>
        </w:tc>
        <w:tc>
          <w:tcPr>
            <w:tcW w:type="dxa" w:w="26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Desde cada modificación</w:t>
            </w:r>
          </w:p>
        </w:tc>
        <w:tc>
          <w:tcPr>
            <w:tcW w:type="dxa" w:w="18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RCG 41 fr. IV</w:t>
            </w:r>
          </w:p>
        </w:tc>
      </w:tr>
    </w:tbl>
    <w:p>
      <w:pPr>
        <w:spacing w:after="160" w:before="0"/>
      </w:pPr>
      <w:r>
        <w:rPr>
          <w:rFonts w:ascii="Arial" w:cs="Arial" w:eastAsia="Arial" w:hAnsi="Arial"/>
          <w:color w:val="1B1B1E"/>
          <w:sz w:val="20"/>
          <w:szCs w:val="20"/>
        </w:rPr>
        <w:t xml:space="preserve"/>
      </w:r>
    </w:p>
    <w:p>
      <w:pPr>
        <w:spacing w:after="120" w:before="0"/>
      </w:pPr>
      <w:r>
        <w:rPr>
          <w:rFonts w:ascii="Arial" w:cs="Arial" w:eastAsia="Arial" w:hAnsi="Arial"/>
          <w:color w:val="1B1B1E"/>
          <w:sz w:val="20"/>
          <w:szCs w:val="20"/>
        </w:rPr>
        <w:t xml:space="preserve">El cómputo del artículo 20 del Reglamento se contabiliza a partir de los actos u operaciones realizados el 17 de julio de 2025, conforme al artículo transitorio Séptimo del Decreto de 27 de marzo de 2026.</w:t>
      </w:r>
    </w:p>
    <w:p>
      <w:pPr>
        <w:pStyle w:val="Heading1"/>
        <w:spacing w:after="160" w:before="320"/>
      </w:pPr>
      <w:r>
        <w:rPr>
          <w:rFonts w:ascii="Arial" w:cs="Arial" w:eastAsia="Arial" w:hAnsi="Arial"/>
          <w:b/>
          <w:bCs/>
          <w:color w:val="64C27B"/>
          <w:sz w:val="26"/>
          <w:szCs w:val="26"/>
        </w:rPr>
        <w:t xml:space="preserve">12. Cláusulas modelo para el Manual de Políticas Internas</w:t>
      </w:r>
    </w:p>
    <w:p>
      <w:pPr>
        <w:spacing w:after="120" w:before="0"/>
      </w:pPr>
      <w:r>
        <w:rPr>
          <w:rFonts w:ascii="Arial" w:cs="Arial" w:eastAsia="Arial" w:hAnsi="Arial"/>
          <w:color w:val="1B1B1E"/>
          <w:sz w:val="20"/>
          <w:szCs w:val="20"/>
        </w:rPr>
        <w:t xml:space="preserve">Los tres párrafos siguientes se pueden insertar tal cual en el apartado del Manual que desarrolla las fracciones V y VI del artículo 37 Bis de las Reglas. Sustituya lo que va entre corchetes.</w:t>
      </w:r>
    </w:p>
    <w:p>
      <w:pPr>
        <w:spacing w:after="120" w:before="0"/>
        <w:ind w:left="360"/>
      </w:pPr>
      <w:r>
        <w:rPr>
          <w:rFonts w:ascii="Arial" w:cs="Arial" w:eastAsia="Arial" w:hAnsi="Arial"/>
          <w:b/>
          <w:bCs/>
          <w:color w:val="1B1B1E"/>
          <w:sz w:val="20"/>
          <w:szCs w:val="20"/>
        </w:rPr>
        <w:t xml:space="preserve">Detección. </w:t>
      </w:r>
      <w:r>
        <w:rPr>
          <w:rFonts w:ascii="Arial" w:cs="Arial" w:eastAsia="Arial" w:hAnsi="Arial"/>
          <w:color w:val="1B1B1E"/>
          <w:sz w:val="20"/>
          <w:szCs w:val="20"/>
        </w:rPr>
        <w:t xml:space="preserve">[Nombre] cuenta con un sistema de alertas que da seguimiento al comportamiento y al Perfil transaccional de cada Cliente o Usuaria, y genera alerta al menos en los cuatro supuestos del artículo 41, fracción V de las Reglas. Toda persona del personal que observe una actividad, conducta o comportamiento inusitado, o que conozca un hecho o indicio relacionado con un Cliente o Usuaria, abre registro el mismo día, con la fecha y la hora en que se supo, sin valorar previamente si amerita Aviso.</w:t>
      </w:r>
    </w:p>
    <w:p>
      <w:pPr>
        <w:spacing w:after="120" w:before="0"/>
        <w:ind w:left="360"/>
      </w:pPr>
      <w:r>
        <w:rPr>
          <w:rFonts w:ascii="Arial" w:cs="Arial" w:eastAsia="Arial" w:hAnsi="Arial"/>
          <w:b/>
          <w:bCs/>
          <w:color w:val="1B1B1E"/>
          <w:sz w:val="20"/>
          <w:szCs w:val="20"/>
        </w:rPr>
        <w:t xml:space="preserve">Análisis y decisión. </w:t>
      </w:r>
      <w:r>
        <w:rPr>
          <w:rFonts w:ascii="Arial" w:cs="Arial" w:eastAsia="Arial" w:hAnsi="Arial"/>
          <w:color w:val="1B1B1E"/>
          <w:sz w:val="20"/>
          <w:szCs w:val="20"/>
        </w:rPr>
        <w:t xml:space="preserve">El registro se escala al área de cumplimiento y se resuelve por la persona Representante Encargada de Cumplimiento dentro de los plazos internos del protocolo de Aviso de 24 horas, que forma parte de este Manual. Toda decisión consta por escrito con la razón que la sustenta y con la relación de lo que se revisó, cualquiera que sea su sentido.</w:t>
      </w:r>
    </w:p>
    <w:p>
      <w:pPr>
        <w:spacing w:after="120" w:before="0"/>
        <w:ind w:left="360"/>
      </w:pPr>
      <w:r>
        <w:rPr>
          <w:rFonts w:ascii="Arial" w:cs="Arial" w:eastAsia="Arial" w:hAnsi="Arial"/>
          <w:b/>
          <w:bCs/>
          <w:color w:val="1B1B1E"/>
          <w:sz w:val="20"/>
          <w:szCs w:val="20"/>
        </w:rPr>
        <w:t xml:space="preserve">Presentación. </w:t>
      </w:r>
      <w:r>
        <w:rPr>
          <w:rFonts w:ascii="Arial" w:cs="Arial" w:eastAsia="Arial" w:hAnsi="Arial"/>
          <w:color w:val="1B1B1E"/>
          <w:sz w:val="20"/>
          <w:szCs w:val="20"/>
        </w:rPr>
        <w:t xml:space="preserve">Cuando subsista la sospecha, o cuando el hecho o indicio no se desvirtúe, se presenta Aviso dentro de las veinticuatro horas siguientes al momento de conocimiento, aunque el acto u operación no se haya celebrado y aunque no alcance el monto o la condición de Aviso del artículo 17 de la Ley. Mientras no se encuentre disponible el formato oficial que contemple estos escenarios, se deja constancia del análisis y de la fecha, y se presenta el Aviso en cuanto el formato esté disponible.</w:t>
      </w:r>
    </w:p>
    <w:p>
      <w:pPr>
        <w:spacing w:after="200" w:before="0"/>
      </w:pPr>
      <w:r>
        <w:rPr>
          <w:rFonts w:ascii="Arial" w:cs="Arial" w:eastAsia="Arial" w:hAnsi="Arial"/>
          <w:color w:val="1B1B1E"/>
          <w:sz w:val="20"/>
          <w:szCs w:val="20"/>
        </w:rPr>
        <w:t xml:space="preserve"/>
      </w:r>
    </w:p>
    <w:p>
      <w:pPr>
        <w:spacing w:after="120" w:before="0"/>
      </w:pPr>
      <w:r>
        <w:rPr>
          <w:rFonts w:ascii="Arial" w:cs="Arial" w:eastAsia="Arial" w:hAnsi="Arial"/>
          <w:color w:val="1B1B1E"/>
          <w:sz w:val="20"/>
          <w:szCs w:val="20"/>
        </w:rPr>
        <w:t xml:space="preserve">Si alguno de estos supuestos no aplica a su operación, no lo borre en silencio: el artículo 37 Bis 2 de las Reglas contempla la exención declarada, y lo que se espera es que quede escrito por qué no aplica.</w:t>
      </w:r>
    </w:p>
    <w:p>
      <w:r>
        <w:br w:type="page"/>
      </w:r>
    </w:p>
    <w:p>
      <w:pPr>
        <w:pStyle w:val="Heading1"/>
        <w:spacing w:after="160" w:before="320"/>
      </w:pPr>
      <w:r>
        <w:rPr>
          <w:rFonts w:ascii="Arial" w:cs="Arial" w:eastAsia="Arial" w:hAnsi="Arial"/>
          <w:b/>
          <w:bCs/>
          <w:color w:val="64C27B"/>
          <w:sz w:val="26"/>
          <w:szCs w:val="26"/>
        </w:rPr>
        <w:t xml:space="preserve">13. Formato de registro · una hoja por caso</w:t>
      </w:r>
    </w:p>
    <w:p>
      <w:pPr>
        <w:spacing w:after="120" w:before="0"/>
      </w:pPr>
      <w:r>
        <w:rPr>
          <w:rFonts w:ascii="Arial" w:cs="Arial" w:eastAsia="Arial" w:hAnsi="Arial"/>
          <w:i/>
          <w:iCs/>
          <w:color w:val="4D4D4D"/>
          <w:sz w:val="20"/>
          <w:szCs w:val="20"/>
        </w:rPr>
        <w:t xml:space="preserve">Para imprimir o para llenar en pantalla. Es el mismo contenido de las bitácoras del archivo de anexos, en forma de ficha.</w:t>
      </w:r>
    </w:p>
    <w:tbl>
      <w:tblPr>
        <w:tblW w:type="dxa" w:w="9360"/>
        <w:tblBorders>
          <w:top w:val="single" w:color="D9D9D9" w:sz="2"/>
          <w:left w:val="single" w:color="D9D9D9" w:sz="2"/>
          <w:bottom w:val="single" w:color="D9D9D9" w:sz="2"/>
          <w:right w:val="single" w:color="D9D9D9" w:sz="2"/>
          <w:insideH w:val="single" w:color="D9D9D9" w:sz="2"/>
          <w:insideV w:val="single" w:color="D9D9D9" w:sz="2"/>
        </w:tblBorders>
      </w:tblPr>
      <w:tblGrid>
        <w:gridCol w:w="3600"/>
        <w:gridCol w:w="5760"/>
      </w:tblGrid>
      <w:tr>
        <w:trPr>
          <w:tblHeader/>
        </w:trPr>
        <w:tc>
          <w:tcPr>
            <w:tcW w:type="dxa" w:w="3600"/>
            <w:shd w:fill="64C27B" w:color="auto" w:val="clear"/>
            <w:tcMar>
              <w:top w:type="dxa" w:w="80"/>
              <w:left w:type="dxa" w:w="110"/>
              <w:bottom w:type="dxa" w:w="80"/>
              <w:right w:type="dxa" w:w="110"/>
            </w:tcMar>
          </w:tcPr>
          <w:p>
            <w:pPr>
              <w:spacing w:after="40"/>
            </w:pPr>
            <w:r>
              <w:rPr>
                <w:rFonts w:ascii="Arial" w:cs="Arial" w:eastAsia="Arial" w:hAnsi="Arial"/>
                <w:b/>
                <w:bCs/>
                <w:i w:val="false"/>
                <w:iCs w:val="false"/>
                <w:color w:val="1B1B1E"/>
                <w:sz w:val="18"/>
                <w:szCs w:val="18"/>
              </w:rPr>
              <w:t xml:space="preserve">Campo</w:t>
            </w:r>
          </w:p>
        </w:tc>
        <w:tc>
          <w:tcPr>
            <w:tcW w:type="dxa" w:w="5760"/>
            <w:shd w:fill="64C27B" w:color="auto" w:val="clear"/>
            <w:tcMar>
              <w:top w:type="dxa" w:w="80"/>
              <w:left w:type="dxa" w:w="110"/>
              <w:bottom w:type="dxa" w:w="80"/>
              <w:right w:type="dxa" w:w="110"/>
            </w:tcMar>
          </w:tcPr>
          <w:p>
            <w:pPr>
              <w:spacing w:after="40"/>
            </w:pPr>
            <w:r>
              <w:rPr>
                <w:rFonts w:ascii="Arial" w:cs="Arial" w:eastAsia="Arial" w:hAnsi="Arial"/>
                <w:b/>
                <w:bCs/>
                <w:i w:val="false"/>
                <w:iCs w:val="false"/>
                <w:color w:val="1B1B1E"/>
                <w:sz w:val="18"/>
                <w:szCs w:val="18"/>
              </w:rPr>
              <w:t xml:space="preserve">Contenido</w:t>
            </w:r>
          </w:p>
        </w:tc>
      </w:tr>
      <w:tr>
        <w:tc>
          <w:tcPr>
            <w:tcW w:type="dxa" w:w="3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Folio</w:t>
            </w:r>
          </w:p>
        </w:tc>
        <w:tc>
          <w:tcPr>
            <w:tcW w:type="dxa" w:w="5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
            </w:r>
          </w:p>
        </w:tc>
      </w:tr>
      <w:tr>
        <w:tc>
          <w:tcPr>
            <w:tcW w:type="dxa" w:w="3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Fecha y hora en que se supo</w:t>
            </w:r>
          </w:p>
        </w:tc>
        <w:tc>
          <w:tcPr>
            <w:tcW w:type="dxa" w:w="5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
            </w:r>
          </w:p>
        </w:tc>
      </w:tr>
      <w:tr>
        <w:tc>
          <w:tcPr>
            <w:tcW w:type="dxa" w:w="3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Quién detectó (nombre y cargo)</w:t>
            </w:r>
          </w:p>
        </w:tc>
        <w:tc>
          <w:tcPr>
            <w:tcW w:type="dxa" w:w="5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
            </w:r>
          </w:p>
        </w:tc>
      </w:tr>
      <w:tr>
        <w:tc>
          <w:tcPr>
            <w:tcW w:type="dxa" w:w="3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Cliente o Usuaria, o persona que intentó la operación</w:t>
            </w:r>
          </w:p>
        </w:tc>
        <w:tc>
          <w:tcPr>
            <w:tcW w:type="dxa" w:w="5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
            </w:r>
          </w:p>
        </w:tc>
      </w:tr>
      <w:tr>
        <w:tc>
          <w:tcPr>
            <w:tcW w:type="dxa" w:w="3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¿Se celebró el acto u operación?</w:t>
            </w:r>
          </w:p>
        </w:tc>
        <w:tc>
          <w:tcPr>
            <w:tcW w:type="dxa" w:w="5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Sí ____   No ____</w:t>
            </w:r>
          </w:p>
        </w:tc>
      </w:tr>
      <w:tr>
        <w:tc>
          <w:tcPr>
            <w:tcW w:type="dxa" w:w="3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Acto u operación de que se trata, y monto aproximado</w:t>
            </w:r>
          </w:p>
        </w:tc>
        <w:tc>
          <w:tcPr>
            <w:tcW w:type="dxa" w:w="5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
            </w:r>
          </w:p>
        </w:tc>
      </w:tr>
      <w:tr>
        <w:tc>
          <w:tcPr>
            <w:tcW w:type="dxa" w:w="3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Tipo de Aviso</w:t>
            </w:r>
          </w:p>
        </w:tc>
        <w:tc>
          <w:tcPr>
            <w:tcW w:type="dxa" w:w="5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RCG 26 Bis (sospecha) ____   RCG 26 Bis 1 (hechos o indicios) ____</w:t>
            </w:r>
          </w:p>
        </w:tc>
      </w:tr>
      <w:tr>
        <w:tc>
          <w:tcPr>
            <w:tcW w:type="dxa" w:w="3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Qué se observó o qué se conoció, descrito sin calificarlo</w:t>
            </w:r>
          </w:p>
        </w:tc>
        <w:tc>
          <w:tcPr>
            <w:tcW w:type="dxa" w:w="5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
            </w:r>
          </w:p>
        </w:tc>
      </w:tr>
      <w:tr>
        <w:tc>
          <w:tcPr>
            <w:tcW w:type="dxa" w:w="3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Características consideradas (montos, frecuencia, formas y periodos de pago, instrumentos, área geográfica, tipo de acto)</w:t>
            </w:r>
          </w:p>
        </w:tc>
        <w:tc>
          <w:tcPr>
            <w:tcW w:type="dxa" w:w="5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
            </w:r>
          </w:p>
        </w:tc>
      </w:tr>
      <w:tr>
        <w:tc>
          <w:tcPr>
            <w:tcW w:type="dxa" w:w="3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Qué se revisó (expediente, perfil, operaciones previas, listas, fuentes)</w:t>
            </w:r>
          </w:p>
        </w:tc>
        <w:tc>
          <w:tcPr>
            <w:tcW w:type="dxa" w:w="5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
            </w:r>
          </w:p>
        </w:tc>
      </w:tr>
      <w:tr>
        <w:tc>
          <w:tcPr>
            <w:tcW w:type="dxa" w:w="3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Datos con que se puede identificar a la persona</w:t>
            </w:r>
          </w:p>
        </w:tc>
        <w:tc>
          <w:tcPr>
            <w:tcW w:type="dxa" w:w="5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
            </w:r>
          </w:p>
        </w:tc>
      </w:tr>
      <w:tr>
        <w:tc>
          <w:tcPr>
            <w:tcW w:type="dxa" w:w="3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Resolución</w:t>
            </w:r>
          </w:p>
        </w:tc>
        <w:tc>
          <w:tcPr>
            <w:tcW w:type="dxa" w:w="5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Se descarta ____   Actualiza expediente o perfil ____   Aviso de 24 horas ____</w:t>
            </w:r>
          </w:p>
        </w:tc>
      </w:tr>
      <w:tr>
        <w:tc>
          <w:tcPr>
            <w:tcW w:type="dxa" w:w="3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Razón escrita de la resolución</w:t>
            </w:r>
          </w:p>
        </w:tc>
        <w:tc>
          <w:tcPr>
            <w:tcW w:type="dxa" w:w="5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
            </w:r>
          </w:p>
        </w:tc>
      </w:tr>
      <w:tr>
        <w:tc>
          <w:tcPr>
            <w:tcW w:type="dxa" w:w="3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Quién decidió (nombre, cargo y firma)</w:t>
            </w:r>
          </w:p>
        </w:tc>
        <w:tc>
          <w:tcPr>
            <w:tcW w:type="dxa" w:w="5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
            </w:r>
          </w:p>
        </w:tc>
      </w:tr>
      <w:tr>
        <w:tc>
          <w:tcPr>
            <w:tcW w:type="dxa" w:w="3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Fecha y hora de la decisión</w:t>
            </w:r>
          </w:p>
        </w:tc>
        <w:tc>
          <w:tcPr>
            <w:tcW w:type="dxa" w:w="5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
            </w:r>
          </w:p>
        </w:tc>
      </w:tr>
      <w:tr>
        <w:tc>
          <w:tcPr>
            <w:tcW w:type="dxa" w:w="3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Estado del envío y, en su caso, acuse</w:t>
            </w:r>
          </w:p>
        </w:tc>
        <w:tc>
          <w:tcPr>
            <w:tcW w:type="dxa" w:w="5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
            </w:r>
          </w:p>
        </w:tc>
      </w:tr>
      <w:tr>
        <w:tc>
          <w:tcPr>
            <w:tcW w:type="dxa" w:w="3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Dónde queda el soporte</w:t>
            </w:r>
          </w:p>
        </w:tc>
        <w:tc>
          <w:tcPr>
            <w:tcW w:type="dxa" w:w="5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
            </w:r>
          </w:p>
        </w:tc>
      </w:tr>
    </w:tbl>
    <w:p>
      <w:r>
        <w:br w:type="page"/>
      </w:r>
    </w:p>
    <w:p>
      <w:pPr>
        <w:pStyle w:val="Heading1"/>
        <w:spacing w:after="160" w:before="320"/>
      </w:pPr>
      <w:r>
        <w:rPr>
          <w:rFonts w:ascii="Arial" w:cs="Arial" w:eastAsia="Arial" w:hAnsi="Arial"/>
          <w:b/>
          <w:bCs/>
          <w:color w:val="64C27B"/>
          <w:sz w:val="26"/>
          <w:szCs w:val="26"/>
        </w:rPr>
        <w:t xml:space="preserve">14. Fundamentos citados</w:t>
      </w:r>
    </w:p>
    <w:p>
      <w:pPr>
        <w:spacing w:after="120" w:before="0"/>
      </w:pPr>
      <w:r>
        <w:rPr>
          <w:rFonts w:ascii="Arial" w:cs="Arial" w:eastAsia="Arial" w:hAnsi="Arial"/>
          <w:i/>
          <w:iCs/>
          <w:color w:val="4D4D4D"/>
          <w:sz w:val="20"/>
          <w:szCs w:val="20"/>
        </w:rPr>
        <w:t xml:space="preserve">Cita: L = Ley Federal para la Prevención e Identificación de Operaciones con Recursos de Procedencia Ilícita, última reforma DOF 16-07-2025 · R = su Reglamento, reforma DOF 27-03-2026 · RCG = Reglas de Carácter General, con la reforma del ACUERDO 115/2026, DOF 07-08-2026. Ante discrepancia entre el texto compilado y el Diario Oficial, manda el Diario Oficial.</w:t>
      </w:r>
    </w:p>
    <w:tbl>
      <w:tblPr>
        <w:tblW w:type="dxa" w:w="9360"/>
        <w:tblBorders>
          <w:top w:val="single" w:color="D9D9D9" w:sz="2"/>
          <w:left w:val="single" w:color="D9D9D9" w:sz="2"/>
          <w:bottom w:val="single" w:color="D9D9D9" w:sz="2"/>
          <w:right w:val="single" w:color="D9D9D9" w:sz="2"/>
          <w:insideH w:val="single" w:color="D9D9D9" w:sz="2"/>
          <w:insideV w:val="single" w:color="D9D9D9" w:sz="2"/>
        </w:tblBorders>
      </w:tblPr>
      <w:tblGrid>
        <w:gridCol w:w="2600"/>
        <w:gridCol w:w="6760"/>
      </w:tblGrid>
      <w:tr>
        <w:trPr>
          <w:tblHeader/>
        </w:trPr>
        <w:tc>
          <w:tcPr>
            <w:tcW w:type="dxa" w:w="2600"/>
            <w:shd w:fill="64C27B" w:color="auto" w:val="clear"/>
            <w:tcMar>
              <w:top w:type="dxa" w:w="80"/>
              <w:left w:type="dxa" w:w="110"/>
              <w:bottom w:type="dxa" w:w="80"/>
              <w:right w:type="dxa" w:w="110"/>
            </w:tcMar>
          </w:tcPr>
          <w:p>
            <w:pPr>
              <w:spacing w:after="40"/>
            </w:pPr>
            <w:r>
              <w:rPr>
                <w:rFonts w:ascii="Arial" w:cs="Arial" w:eastAsia="Arial" w:hAnsi="Arial"/>
                <w:b/>
                <w:bCs/>
                <w:i w:val="false"/>
                <w:iCs w:val="false"/>
                <w:color w:val="1B1B1E"/>
                <w:sz w:val="18"/>
                <w:szCs w:val="18"/>
              </w:rPr>
              <w:t xml:space="preserve">Precepto</w:t>
            </w:r>
          </w:p>
        </w:tc>
        <w:tc>
          <w:tcPr>
            <w:tcW w:type="dxa" w:w="6760"/>
            <w:shd w:fill="64C27B" w:color="auto" w:val="clear"/>
            <w:tcMar>
              <w:top w:type="dxa" w:w="80"/>
              <w:left w:type="dxa" w:w="110"/>
              <w:bottom w:type="dxa" w:w="80"/>
              <w:right w:type="dxa" w:w="110"/>
            </w:tcMar>
          </w:tcPr>
          <w:p>
            <w:pPr>
              <w:spacing w:after="40"/>
            </w:pPr>
            <w:r>
              <w:rPr>
                <w:rFonts w:ascii="Arial" w:cs="Arial" w:eastAsia="Arial" w:hAnsi="Arial"/>
                <w:b/>
                <w:bCs/>
                <w:i w:val="false"/>
                <w:iCs w:val="false"/>
                <w:color w:val="1B1B1E"/>
                <w:sz w:val="18"/>
                <w:szCs w:val="18"/>
              </w:rPr>
              <w:t xml:space="preserve">Materia</w:t>
            </w:r>
          </w:p>
        </w:tc>
      </w:tr>
      <w:tr>
        <w:tc>
          <w:tcPr>
            <w:tcW w:type="dxa" w:w="2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L 18 fr. IV</w:t>
            </w:r>
          </w:p>
        </w:tc>
        <w:tc>
          <w:tcPr>
            <w:tcW w:type="dxa" w:w="6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Conservación por diez años desde la realización de la Actividad Vulnerable</w:t>
            </w:r>
          </w:p>
        </w:tc>
      </w:tr>
      <w:tr>
        <w:tc>
          <w:tcPr>
            <w:tcW w:type="dxa" w:w="2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L 18 fr. VI, segundo párrafo</w:t>
            </w:r>
          </w:p>
        </w:tc>
        <w:tc>
          <w:tcPr>
            <w:tcW w:type="dxa" w:w="6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El Aviso dentro de las 24 horas, incluso si el acto no se celebró</w:t>
            </w:r>
          </w:p>
        </w:tc>
      </w:tr>
      <w:tr>
        <w:tc>
          <w:tcPr>
            <w:tcW w:type="dxa" w:w="2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L 18 fr. X</w:t>
            </w:r>
          </w:p>
        </w:tc>
        <w:tc>
          <w:tcPr>
            <w:tcW w:type="dxa" w:w="6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Mecanismos automatizados y seguimiento intensificado</w:t>
            </w:r>
          </w:p>
        </w:tc>
      </w:tr>
      <w:tr>
        <w:tc>
          <w:tcPr>
            <w:tcW w:type="dxa" w:w="2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L 20, segundo párrafo</w:t>
            </w:r>
          </w:p>
        </w:tc>
        <w:tc>
          <w:tcPr>
            <w:tcW w:type="dxa" w:w="6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A quién corresponde el cumplimiento mientras no haya Representante aceptada</w:t>
            </w:r>
          </w:p>
        </w:tc>
      </w:tr>
      <w:tr>
        <w:tc>
          <w:tcPr>
            <w:tcW w:type="dxa" w:w="2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L 38 y L 63 fr. II</w:t>
            </w:r>
          </w:p>
        </w:tc>
        <w:tc>
          <w:tcPr>
            <w:tcW w:type="dxa" w:w="6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Confidencialidad y el delito de divulgación</w:t>
            </w:r>
          </w:p>
        </w:tc>
      </w:tr>
      <w:tr>
        <w:tc>
          <w:tcPr>
            <w:tcW w:type="dxa" w:w="2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 7 Bis</w:t>
            </w:r>
          </w:p>
        </w:tc>
        <w:tc>
          <w:tcPr>
            <w:tcW w:type="dxa" w:w="6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El Aviso se presenta aunque el acto no se haya celebrado</w:t>
            </w:r>
          </w:p>
        </w:tc>
      </w:tr>
      <w:tr>
        <w:tc>
          <w:tcPr>
            <w:tcW w:type="dxa" w:w="2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 20 y R Trans. Séptimo</w:t>
            </w:r>
          </w:p>
        </w:tc>
        <w:tc>
          <w:tcPr>
            <w:tcW w:type="dxa" w:w="6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Conservación de Avisos, soporte y acuses, y su cómputo</w:t>
            </w:r>
          </w:p>
        </w:tc>
      </w:tr>
      <w:tr>
        <w:tc>
          <w:tcPr>
            <w:tcW w:type="dxa" w:w="2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 Trans. Quinto</w:t>
            </w:r>
          </w:p>
        </w:tc>
        <w:tc>
          <w:tcPr>
            <w:tcW w:type="dxa" w:w="6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La presentación del Aviso del 7 Bis queda sujeta a la actualización de los Anexos</w:t>
            </w:r>
          </w:p>
        </w:tc>
      </w:tr>
      <w:tr>
        <w:tc>
          <w:tcPr>
            <w:tcW w:type="dxa" w:w="2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RCG 23 Ter fr. IV</w:t>
            </w:r>
          </w:p>
        </w:tc>
        <w:tc>
          <w:tcPr>
            <w:tcW w:type="dxa" w:w="6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Cuándo el apartamiento del perfil obliga a revisar y actualizar el expediente</w:t>
            </w:r>
          </w:p>
        </w:tc>
      </w:tr>
      <w:tr>
        <w:tc>
          <w:tcPr>
            <w:tcW w:type="dxa" w:w="2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RCG 23 Ter 2</w:t>
            </w:r>
          </w:p>
        </w:tc>
        <w:tc>
          <w:tcPr>
            <w:tcW w:type="dxa" w:w="6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El sistema de alertas</w:t>
            </w:r>
          </w:p>
        </w:tc>
      </w:tr>
      <w:tr>
        <w:tc>
          <w:tcPr>
            <w:tcW w:type="dxa" w:w="2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RCG 26 Bis y 26 Bis 1</w:t>
            </w:r>
          </w:p>
        </w:tc>
        <w:tc>
          <w:tcPr>
            <w:tcW w:type="dxa" w:w="6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Los dos Avisos y el momento en que arranca el plazo</w:t>
            </w:r>
          </w:p>
        </w:tc>
      </w:tr>
      <w:tr>
        <w:tc>
          <w:tcPr>
            <w:tcW w:type="dxa" w:w="2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RCG 26 Bis 2</w:t>
            </w:r>
          </w:p>
        </w:tc>
        <w:tc>
          <w:tcPr>
            <w:tcW w:type="dxa" w:w="6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Envío aunque no se alcance el umbral y aunque no se haya celebrado</w:t>
            </w:r>
          </w:p>
        </w:tc>
      </w:tr>
      <w:tr>
        <w:tc>
          <w:tcPr>
            <w:tcW w:type="dxa" w:w="2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RCG 27, segundo párrafo</w:t>
            </w:r>
          </w:p>
        </w:tc>
        <w:tc>
          <w:tcPr>
            <w:tcW w:type="dxa" w:w="6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Aviso cuando la persona está en el listado del artículo 38</w:t>
            </w:r>
          </w:p>
        </w:tc>
      </w:tr>
      <w:tr>
        <w:tc>
          <w:tcPr>
            <w:tcW w:type="dxa" w:w="2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RCG 31</w:t>
            </w:r>
          </w:p>
        </w:tc>
        <w:tc>
          <w:tcPr>
            <w:tcW w:type="dxa" w:w="6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Confidencialidad, incluida la estructura de control del Beneficiario Controlador</w:t>
            </w:r>
          </w:p>
        </w:tc>
      </w:tr>
      <w:tr>
        <w:tc>
          <w:tcPr>
            <w:tcW w:type="dxa" w:w="2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RCG 36 Bis</w:t>
            </w:r>
          </w:p>
        </w:tc>
        <w:tc>
          <w:tcPr>
            <w:tcW w:type="dxa" w:w="6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Días y horas hábiles ante el SAT</w:t>
            </w:r>
          </w:p>
        </w:tc>
      </w:tr>
      <w:tr>
        <w:tc>
          <w:tcPr>
            <w:tcW w:type="dxa" w:w="2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RCG 37 Bis fr. V y VI</w:t>
            </w:r>
          </w:p>
        </w:tc>
        <w:tc>
          <w:tcPr>
            <w:tcW w:type="dxa" w:w="6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Los dos renglones del Manual que este protocolo desarrolla</w:t>
            </w:r>
          </w:p>
        </w:tc>
      </w:tr>
      <w:tr>
        <w:tc>
          <w:tcPr>
            <w:tcW w:type="dxa" w:w="2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RCG 37 Bis fr. IX</w:t>
            </w:r>
          </w:p>
        </w:tc>
        <w:tc>
          <w:tcPr>
            <w:tcW w:type="dxa" w:w="6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El mecanismo para identificar a las personas de las listas. No está diferido</w:t>
            </w:r>
          </w:p>
        </w:tc>
      </w:tr>
      <w:tr>
        <w:tc>
          <w:tcPr>
            <w:tcW w:type="dxa" w:w="2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RCG 37 Bis 2</w:t>
            </w:r>
          </w:p>
        </w:tc>
        <w:tc>
          <w:tcPr>
            <w:tcW w:type="dxa" w:w="6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La exención declarada de lo que no aplica</w:t>
            </w:r>
          </w:p>
        </w:tc>
      </w:tr>
      <w:tr>
        <w:tc>
          <w:tcPr>
            <w:tcW w:type="dxa" w:w="2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RCG 41 fr. IV y V</w:t>
            </w:r>
          </w:p>
        </w:tc>
        <w:tc>
          <w:tcPr>
            <w:tcW w:type="dxa" w:w="6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Histórico de diez años y los cuatro supuestos de alerta</w:t>
            </w:r>
          </w:p>
        </w:tc>
      </w:tr>
      <w:tr>
        <w:tc>
          <w:tcPr>
            <w:tcW w:type="dxa" w:w="260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RCG Trans. Quinto</w:t>
            </w:r>
          </w:p>
        </w:tc>
        <w:tc>
          <w:tcPr>
            <w:tcW w:type="dxa" w:w="6760"/>
            <w:tcMar>
              <w:top w:type="dxa" w:w="80"/>
              <w:left w:type="dxa" w:w="110"/>
              <w:bottom w:type="dxa" w:w="80"/>
              <w:right w:type="dxa" w:w="110"/>
            </w:tcMar>
          </w:tcPr>
          <w:p>
            <w:pPr>
              <w:spacing w:after="40"/>
            </w:pPr>
            <w:r>
              <w:rPr>
                <w:rFonts w:ascii="Arial" w:cs="Arial" w:eastAsia="Arial" w:hAnsi="Arial"/>
                <w:b w:val="false"/>
                <w:bCs w:val="false"/>
                <w:i w:val="false"/>
                <w:iCs w:val="false"/>
                <w:color w:val="1B1B1E"/>
                <w:sz w:val="18"/>
                <w:szCs w:val="18"/>
              </w:rPr>
              <w:t xml:space="preserve">Los seis meses posteriores a la Resolución de formatos</w:t>
            </w:r>
          </w:p>
        </w:tc>
      </w:tr>
    </w:tbl>
    <w:p>
      <w:pPr>
        <w:spacing w:after="240" w:before="0"/>
      </w:pPr>
      <w:r>
        <w:rPr>
          <w:rFonts w:ascii="Arial" w:cs="Arial" w:eastAsia="Arial" w:hAnsi="Arial"/>
          <w:color w:val="1B1B1E"/>
          <w:sz w:val="20"/>
          <w:szCs w:val="20"/>
        </w:rPr>
        <w:t xml:space="preserve"/>
      </w:r>
    </w:p>
    <w:tbl>
      <w:tblPr>
        <w:tblW w:type="dxa" w:w="9360"/>
        <w:tblBorders>
          <w:top w:val="single" w:color="64C27B" w:sz="6"/>
          <w:left w:val="single" w:color="64C27B" w:sz="6"/>
          <w:bottom w:val="single" w:color="64C27B" w:sz="6"/>
          <w:right w:val="single" w:color="64C27B" w:sz="6"/>
          <w:insideH w:val="none"/>
          <w:insideV w:val="none"/>
        </w:tblBorders>
      </w:tblPr>
      <w:tblGrid>
        <w:gridCol w:w="9360"/>
      </w:tblGrid>
      <w:tr>
        <w:tc>
          <w:tcPr>
            <w:tcW w:type="dxa" w:w="9360"/>
            <w:shd w:fill="FFF6DA" w:color="auto" w:val="clear"/>
            <w:tcMar>
              <w:top w:type="dxa" w:w="140"/>
              <w:left w:type="dxa" w:w="160"/>
              <w:bottom w:type="dxa" w:w="140"/>
              <w:right w:type="dxa" w:w="160"/>
            </w:tcMar>
          </w:tcPr>
          <w:p>
            <w:pPr>
              <w:spacing w:after="80"/>
            </w:pPr>
            <w:r>
              <w:rPr>
                <w:rFonts w:ascii="Arial" w:cs="Arial" w:eastAsia="Arial" w:hAnsi="Arial"/>
                <w:b/>
                <w:bCs/>
                <w:color w:val="1B1B1E"/>
                <w:sz w:val="20"/>
                <w:szCs w:val="20"/>
              </w:rPr>
              <w:t xml:space="preserve">Control de versiones</w:t>
            </w:r>
          </w:p>
          <w:p>
            <w:pPr>
              <w:spacing w:after="60"/>
            </w:pPr>
            <w:r>
              <w:rPr>
                <w:rFonts w:ascii="Arial" w:cs="Arial" w:eastAsia="Arial" w:hAnsi="Arial"/>
                <w:color w:val="1B1B1E"/>
                <w:sz w:val="19"/>
                <w:szCs w:val="19"/>
              </w:rPr>
              <w:t xml:space="preserve">Versión 1.0 · 8 de septiembre de 2026 · Elaborada para el Taller Antilavado 360, sesión 4, GMC360 / 360Educa.</w:t>
            </w:r>
          </w:p>
          <w:p>
            <w:pPr>
              <w:spacing w:after="60"/>
            </w:pPr>
            <w:r>
              <w:rPr>
                <w:rFonts w:ascii="Arial" w:cs="Arial" w:eastAsia="Arial" w:hAnsi="Arial"/>
                <w:color w:val="1B1B1E"/>
                <w:sz w:val="19"/>
                <w:szCs w:val="19"/>
              </w:rPr>
              <w:t xml:space="preserve">Actualícela cuando se publique la Resolución que modifique los formatos oficiales de Avisos e Informes, y cada vez que cambie su Manual de Políticas Internas o su modelo de evaluación de Riesgos.</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4D4D4D"/>
        <w:sz w:val="16"/>
        <w:szCs w:val="16"/>
      </w:rPr>
      <w:t xml:space="preserve">Protocolo del Aviso de 24 horas · Plantilla 04 · Taller Antilavado 360 · GMC360 / 360Educa · página </w:t>
    </w:r>
    <w:r>
      <w:rPr>
        <w:rFonts w:ascii="Arial" w:cs="Arial" w:eastAsia="Arial" w:hAnsi="Arial"/>
        <w:color w:val="4D4D4D"/>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abstractNum w:abstractNumId="3"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1B1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2026-09-08T11:48:50.634Z</dcterms:created>
  <dcterms:modified xsi:type="dcterms:W3CDTF">2026-09-08T11:48:50.634Z</dcterms:modified>
</cp:coreProperties>
</file>

<file path=docProps/custom.xml><?xml version="1.0" encoding="utf-8"?>
<Properties xmlns="http://schemas.openxmlformats.org/officeDocument/2006/custom-properties" xmlns:vt="http://schemas.openxmlformats.org/officeDocument/2006/docPropsVTypes"/>
</file>