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2224A" w:val="clear"/>
        <w:spacing w:after="0"/>
      </w:pPr>
      <w:r>
        <w:rPr>
          <w:rFonts w:ascii="Arial" w:cs="Arial" w:eastAsia="Arial" w:hAnsi="Arial"/>
          <w:sz w:val="16"/>
          <w:szCs w:val="16"/>
        </w:rPr>
        <w:t xml:space="preserve"> </w:t>
      </w:r>
    </w:p>
    <w:p>
      <w:pPr>
        <w:spacing w:after="320"/>
      </w:pPr>
      <w:r>
        <w:rPr>
          <w:rFonts w:ascii="Arial" w:cs="Arial" w:eastAsia="Arial" w:hAnsi="Arial"/>
          <w:sz w:val="20"/>
          <w:szCs w:val="20"/>
        </w:rPr>
        <w:t xml:space="preserve"/>
      </w:r>
    </w:p>
    <w:p>
      <w:pPr>
        <w:spacing w:after="80"/>
      </w:pPr>
      <w:r>
        <w:rPr>
          <w:rFonts w:ascii="Arial" w:cs="Arial" w:eastAsia="Arial" w:hAnsi="Arial"/>
          <w:b/>
          <w:bCs/>
          <w:color w:val="F2A541"/>
          <w:sz w:val="18"/>
          <w:szCs w:val="18"/>
        </w:rPr>
        <w:t xml:space="preserve">PLANTILLA 03 DEL KIT · SESIÓN 3</w:t>
      </w:r>
    </w:p>
    <w:p>
      <w:pPr>
        <w:spacing w:after="120"/>
      </w:pPr>
      <w:r>
        <w:rPr>
          <w:rFonts w:ascii="Arial" w:cs="Arial" w:eastAsia="Arial" w:hAnsi="Arial"/>
          <w:b/>
          <w:bCs/>
          <w:color w:val="12224A"/>
          <w:sz w:val="52"/>
          <w:szCs w:val="52"/>
        </w:rPr>
        <w:t xml:space="preserve">Manual de Políticas Internas</w:t>
      </w:r>
    </w:p>
    <w:p>
      <w:pPr>
        <w:spacing w:after="260"/>
      </w:pPr>
      <w:r>
        <w:rPr>
          <w:rFonts w:ascii="Arial" w:cs="Arial" w:eastAsia="Arial" w:hAnsi="Arial"/>
          <w:color w:val="374151"/>
          <w:sz w:val="22"/>
          <w:szCs w:val="22"/>
        </w:rPr>
        <w:t xml:space="preserve">Documento editable, mapeado apartado por apartado contra el contenido mínimo del ACUERDO 115/2026</w:t>
      </w:r>
    </w:p>
    <w:p>
      <w:pPr>
        <w:spacing w:after="100" w:line="276"/>
      </w:pPr>
      <w:r>
        <w:rPr>
          <w:rFonts w:ascii="Arial" w:cs="Arial" w:eastAsia="Arial" w:hAnsi="Arial"/>
          <w:b/>
          <w:bCs/>
          <w:color w:val="1F2937"/>
          <w:sz w:val="19"/>
          <w:szCs w:val="19"/>
        </w:rPr>
        <w:t xml:space="preserve">Fundamento: </w:t>
      </w:r>
      <w:r>
        <w:rPr>
          <w:rFonts w:ascii="Arial" w:cs="Arial" w:eastAsia="Arial" w:hAnsi="Arial"/>
          <w:color w:val="1F2937"/>
          <w:sz w:val="19"/>
          <w:szCs w:val="19"/>
        </w:rPr>
        <w:t xml:space="preserve">L 18 fr. VIII · RCG 37 · RCG 37 Bis fr. I a XIV · RCG 37 Bis 1 · RCG 37 Bis 2 · RCG 37 Bis 3</w:t>
      </w:r>
    </w:p>
    <w:p>
      <w:pPr>
        <w:spacing w:after="100" w:line="276"/>
      </w:pPr>
      <w:r>
        <w:rPr>
          <w:rFonts w:ascii="Arial" w:cs="Arial" w:eastAsia="Arial" w:hAnsi="Arial"/>
          <w:b/>
          <w:bCs/>
          <w:color w:val="1F2937"/>
          <w:sz w:val="19"/>
          <w:szCs w:val="19"/>
        </w:rPr>
        <w:t xml:space="preserve">Plazo para tenerlo: </w:t>
      </w:r>
      <w:r>
        <w:rPr>
          <w:rFonts w:ascii="Arial" w:cs="Arial" w:eastAsia="Arial" w:hAnsi="Arial"/>
          <w:color w:val="1F2937"/>
          <w:sz w:val="19"/>
          <w:szCs w:val="19"/>
        </w:rPr>
        <w:t xml:space="preserve">noventa días naturales contados del alta y registro (RCG 37).</w:t>
      </w:r>
    </w:p>
    <w:p>
      <w:pPr>
        <w:spacing w:after="300" w:line="276"/>
      </w:pPr>
      <w:r>
        <w:rPr>
          <w:rFonts w:ascii="Arial" w:cs="Arial" w:eastAsia="Arial" w:hAnsi="Arial"/>
          <w:b/>
          <w:bCs/>
          <w:color w:val="1F2937"/>
          <w:sz w:val="19"/>
          <w:szCs w:val="19"/>
        </w:rPr>
        <w:t xml:space="preserve">Con la metodología incluida: </w:t>
      </w:r>
      <w:r>
        <w:rPr>
          <w:rFonts w:ascii="Arial" w:cs="Arial" w:eastAsia="Arial" w:hAnsi="Arial"/>
          <w:color w:val="1F2937"/>
          <w:sz w:val="19"/>
          <w:szCs w:val="19"/>
        </w:rPr>
        <w:t xml:space="preserve">a partir del 1 de marzo de 2027, a disposición de la autoridad previo requerimiento (RCG Trans. Tercero).</w:t>
      </w:r>
    </w:p>
    <w:p>
      <w:pPr>
        <w:pBdr>
          <w:top w:val="single" w:color="F2A541" w:sz="6"/>
        </w:pBdr>
        <w:spacing w:after="60"/>
      </w:pPr>
      <w:r>
        <w:rPr>
          <w:rFonts w:ascii="Arial" w:cs="Arial" w:eastAsia="Arial" w:hAnsi="Arial"/>
          <w:sz w:val="10"/>
          <w:szCs w:val="10"/>
        </w:rPr>
        <w:t xml:space="preserve"/>
      </w:r>
    </w:p>
    <w:p>
      <w:pPr>
        <w:spacing w:after="40" w:line="276"/>
      </w:pPr>
      <w:r>
        <w:rPr>
          <w:rFonts w:ascii="Arial" w:cs="Arial" w:eastAsia="Arial" w:hAnsi="Arial"/>
          <w:b/>
          <w:bCs/>
          <w:color w:val="12224A"/>
          <w:sz w:val="19"/>
          <w:szCs w:val="19"/>
        </w:rPr>
        <w:t xml:space="preserve">Taller Antilavado 360: de la Ley a la práctica</w:t>
      </w:r>
    </w:p>
    <w:p>
      <w:pPr>
        <w:spacing w:after="40" w:line="276"/>
      </w:pPr>
      <w:r>
        <w:rPr>
          <w:rFonts w:ascii="Arial" w:cs="Arial" w:eastAsia="Arial" w:hAnsi="Arial"/>
          <w:color w:val="6B7280"/>
          <w:sz w:val="18"/>
          <w:szCs w:val="18"/>
        </w:rPr>
        <w:t xml:space="preserve">GMC360 · 360Educa · ASONOC · LEXQUO</w:t>
      </w:r>
    </w:p>
    <w:p>
      <w:pPr>
        <w:spacing w:after="40" w:line="276"/>
      </w:pPr>
      <w:r>
        <w:rPr>
          <w:rFonts w:ascii="Arial" w:cs="Arial" w:eastAsia="Arial" w:hAnsi="Arial"/>
          <w:color w:val="6B7280"/>
          <w:sz w:val="18"/>
          <w:szCs w:val="18"/>
        </w:rPr>
        <w:t xml:space="preserve">Sesión 3 · Martes 1 de septiembre de 2026 · Imparte: Maribel Vázquez Menchaca</w:t>
      </w:r>
    </w:p>
    <w:p>
      <w:pPr>
        <w:spacing w:after="0" w:line="276"/>
      </w:pPr>
      <w:r>
        <w:rPr>
          <w:rFonts w:ascii="Arial" w:cs="Arial" w:eastAsia="Arial" w:hAnsi="Arial"/>
          <w:color w:val="6B7280"/>
          <w:sz w:val="17"/>
          <w:szCs w:val="17"/>
        </w:rPr>
        <w:t xml:space="preserve">Citas: L = Ley · R = Reglamento · RCG = ACUERDO 115/2026 · CPF = Código Penal Federal</w:t>
      </w:r>
    </w:p>
    <w:p>
      <w:pPr>
        <w:pStyle w:val="Heading1"/>
        <w:pageBreakBefore/>
        <w:spacing w:after="60" w:before="0"/>
      </w:pPr>
      <w:r>
        <w:rPr>
          <w:rFonts w:ascii="Arial" w:cs="Arial" w:eastAsia="Arial" w:hAnsi="Arial"/>
          <w:b/>
          <w:bCs/>
          <w:color w:val="12224A"/>
          <w:sz w:val="26"/>
          <w:szCs w:val="26"/>
        </w:rPr>
        <w:t xml:space="preserve">Antes de escribir una sola línea</w:t>
      </w:r>
    </w:p>
    <w:p>
      <w:pPr>
        <w:spacing w:after="120" w:line="276"/>
      </w:pPr>
      <w:r>
        <w:rPr>
          <w:rFonts w:ascii="Arial" w:cs="Arial" w:eastAsia="Arial" w:hAnsi="Arial"/>
          <w:color w:val="1F2937"/>
          <w:sz w:val="20"/>
          <w:szCs w:val="20"/>
        </w:rPr>
        <w:t xml:space="preserve">Este documento no es un manual llenado; es el andamio del suyo. Cada apartado trae tres cosas: el fundamento textual que lo obliga, la redacción base que puede adoptar sustituyendo lo que está entre corchetes, y la evidencia con la que después va a tener que demostrar que el apartado se aplica y no sólo existe. Ese último bloque es el que separa un manual de un adorno.</w:t>
      </w:r>
    </w:p>
    <w:p>
      <w:pPr>
        <w:pStyle w:val="Heading2"/>
        <w:keepNext/>
        <w:spacing w:after="80" w:before="240"/>
      </w:pPr>
      <w:r>
        <w:rPr>
          <w:rFonts w:ascii="Arial" w:cs="Arial" w:eastAsia="Arial" w:hAnsi="Arial"/>
          <w:b/>
          <w:bCs/>
          <w:color w:val="12224A"/>
          <w:sz w:val="22"/>
          <w:szCs w:val="22"/>
        </w:rPr>
        <w:t xml:space="preserve">Cinco cosas que conviene saber antes</w:t>
      </w:r>
    </w:p>
    <w:p>
      <w:pPr>
        <w:keepNext/>
        <w:spacing w:after="60" w:before="160"/>
      </w:pPr>
      <w:r>
        <w:rPr>
          <w:rFonts w:ascii="Arial" w:cs="Arial" w:eastAsia="Arial" w:hAnsi="Arial"/>
          <w:b/>
          <w:bCs/>
          <w:color w:val="374151"/>
          <w:sz w:val="19"/>
          <w:szCs w:val="19"/>
        </w:rPr>
        <w:t xml:space="preserve">1. El Manual no se elabora: se elabora y se observa</w:t>
      </w:r>
    </w:p>
    <w:p>
      <w:pPr>
        <w:spacing w:after="120" w:line="276"/>
      </w:pPr>
      <w:r>
        <w:rPr>
          <w:rFonts w:ascii="Arial" w:cs="Arial" w:eastAsia="Arial" w:hAnsi="Arial"/>
          <w:color w:val="1F2937"/>
          <w:sz w:val="20"/>
          <w:szCs w:val="20"/>
        </w:rPr>
        <w:t xml:space="preserve">El texto del L 18 fr. VIII dice «elaborar y observar». Son dos obligaciones en una fracción. La primera se acredita con el documento; la segunda, con la evidencia de que se aplicó. El SAT puede pedir las dos.</w:t>
      </w:r>
    </w:p>
    <w:p>
      <w:pPr>
        <w:keepNext/>
        <w:spacing w:after="60" w:before="160"/>
      </w:pPr>
      <w:r>
        <w:rPr>
          <w:rFonts w:ascii="Arial" w:cs="Arial" w:eastAsia="Arial" w:hAnsi="Arial"/>
          <w:b/>
          <w:bCs/>
          <w:color w:val="374151"/>
          <w:sz w:val="19"/>
          <w:szCs w:val="19"/>
        </w:rPr>
        <w:t xml:space="preserve">2. El plazo son noventa días naturales, no un año</w:t>
      </w:r>
    </w:p>
    <w:p>
      <w:pPr>
        <w:spacing w:after="120" w:line="276"/>
      </w:pPr>
      <w:r>
        <w:rPr>
          <w:rFonts w:ascii="Arial" w:cs="Arial" w:eastAsia="Arial" w:hAnsi="Arial"/>
          <w:color w:val="1F2937"/>
          <w:sz w:val="20"/>
          <w:szCs w:val="20"/>
        </w:rPr>
        <w:t xml:space="preserve">El RCG 37 lo cuenta desde el alta y registro del artículo 4 de las propias Reglas. Quien ya está de alta y ya dejó correr ese plazo no tiene noventa días por delante: tiene una fecha, el 1 de marzo de 2027, para que el Manual esté completo con la metodología incorporada y a disposición de la autoridad previo requerimiento.</w:t>
      </w:r>
    </w:p>
    <w:p>
      <w:pPr>
        <w:spacing w:after="140" w:line="240"/>
      </w:pPr>
      <w:r>
        <w:rPr>
          <w:rFonts w:ascii="Arial" w:cs="Arial" w:eastAsia="Arial" w:hAnsi="Arial"/>
          <w:i/>
          <w:iCs/>
          <w:color w:val="6B7280"/>
          <w:sz w:val="16"/>
          <w:szCs w:val="16"/>
        </w:rPr>
        <w:t xml:space="preserve">RCG Trans. Tercero — «deberán contar con su Manual de Políticas Internas en el que incluyan la metodología a que se refiere el Capítulo II Quáter de estas reglas, a partir del primero de marzo de dos mil veintisiete y ponerlo a disposición de las autoridades competentes previo requerimiento.»</w:t>
      </w:r>
    </w:p>
    <w:p>
      <w:pPr>
        <w:keepNext/>
        <w:spacing w:after="60" w:before="160"/>
      </w:pPr>
      <w:r>
        <w:rPr>
          <w:rFonts w:ascii="Arial" w:cs="Arial" w:eastAsia="Arial" w:hAnsi="Arial"/>
          <w:b/>
          <w:bCs/>
          <w:color w:val="374151"/>
          <w:sz w:val="19"/>
          <w:szCs w:val="19"/>
        </w:rPr>
        <w:t xml:space="preserve">3. El Manual no puede ser mejor que su metodología</w:t>
      </w:r>
    </w:p>
    <w:p>
      <w:pPr>
        <w:spacing w:after="120" w:line="276"/>
      </w:pPr>
      <w:r>
        <w:rPr>
          <w:rFonts w:ascii="Arial" w:cs="Arial" w:eastAsia="Arial" w:hAnsi="Arial"/>
          <w:color w:val="1F2937"/>
          <w:sz w:val="20"/>
          <w:szCs w:val="20"/>
        </w:rPr>
        <w:t xml:space="preserve">El RCG 37 exige que las políticas gestionen los Riesgos «de acuerdo con los resultados de la implementación de la metodología» del Capítulo II Quáter, y el tercer párrafo obliga a incluir el diseño de esa metodología. Sin la matriz de la sesión 2, cuatro apartados de éstos —II, III, IV y V— quedan escritos en el aire. Ése es el orden y por eso el Manual viene después.</w:t>
      </w:r>
    </w:p>
    <w:p>
      <w:pPr>
        <w:keepNext/>
        <w:spacing w:after="60" w:before="160"/>
      </w:pPr>
      <w:r>
        <w:rPr>
          <w:rFonts w:ascii="Arial" w:cs="Arial" w:eastAsia="Arial" w:hAnsi="Arial"/>
          <w:b/>
          <w:bCs/>
          <w:color w:val="374151"/>
          <w:sz w:val="19"/>
          <w:szCs w:val="19"/>
        </w:rPr>
        <w:t xml:space="preserve">4. Lo que usted no hace, se declara</w:t>
      </w:r>
    </w:p>
    <w:p>
      <w:pPr>
        <w:spacing w:after="120" w:line="276"/>
      </w:pPr>
      <w:r>
        <w:rPr>
          <w:rFonts w:ascii="Arial" w:cs="Arial" w:eastAsia="Arial" w:hAnsi="Arial"/>
          <w:color w:val="1F2937"/>
          <w:sz w:val="20"/>
          <w:szCs w:val="20"/>
        </w:rPr>
        <w:t xml:space="preserve">El RCG 37 Bis 2 es el artículo más útil de este capítulo y el menos conocido. Si usted determina que no va a realizar actos u operaciones bajo ciertos supuestos, queda exento de tener políticas para ésos, siempre que lo haga constar en el Manual. La exención deja de aplicar en el momento en que decida realizarlos, y la política tiene que estar escrita antes de la primera operación. El apartado 18 de este documento es el lugar para hacerlo constar.</w:t>
      </w:r>
    </w:p>
    <w:p>
      <w:pPr>
        <w:keepNext/>
        <w:spacing w:after="60" w:before="160"/>
      </w:pPr>
      <w:r>
        <w:rPr>
          <w:rFonts w:ascii="Arial" w:cs="Arial" w:eastAsia="Arial" w:hAnsi="Arial"/>
          <w:b/>
          <w:bCs/>
          <w:color w:val="374151"/>
          <w:sz w:val="19"/>
          <w:szCs w:val="19"/>
        </w:rPr>
        <w:t xml:space="preserve">5. El Manual puede vivir en varios documentos, pero el Manual manda</w:t>
      </w:r>
    </w:p>
    <w:p>
      <w:pPr>
        <w:spacing w:after="120" w:line="276"/>
      </w:pPr>
      <w:r>
        <w:rPr>
          <w:rFonts w:ascii="Arial" w:cs="Arial" w:eastAsia="Arial" w:hAnsi="Arial"/>
          <w:color w:val="1F2937"/>
          <w:sz w:val="20"/>
          <w:szCs w:val="20"/>
        </w:rPr>
        <w:t xml:space="preserve">El segundo párrafo del RCG 37 admite que criterios, medidas y procedimientos queden en documentos distintos. Lo que no admite es que el Manual no los mencione: hay que incluir las referencias. Si su procedimiento de conservación vive en una política de archivo, el apartado 8 de este Manual dice dónde vive y cómo se llama.</w:t>
      </w:r>
    </w:p>
    <w:p>
      <w:pPr>
        <w:pStyle w:val="Heading2"/>
        <w:keepNext/>
        <w:spacing w:after="80" w:before="240"/>
      </w:pPr>
      <w:r>
        <w:rPr>
          <w:rFonts w:ascii="Arial" w:cs="Arial" w:eastAsia="Arial" w:hAnsi="Arial"/>
          <w:b/>
          <w:bCs/>
          <w:color w:val="12224A"/>
          <w:sz w:val="22"/>
          <w:szCs w:val="22"/>
        </w:rPr>
        <w:t xml:space="preserve">Cómo se llena</w:t>
      </w:r>
    </w:p>
    <w:p>
      <w:pPr>
        <w:spacing w:after="120" w:line="276"/>
      </w:pPr>
      <w:r>
        <w:rPr>
          <w:rFonts w:ascii="Arial" w:cs="Arial" w:eastAsia="Arial" w:hAnsi="Arial"/>
          <w:color w:val="1F2937"/>
          <w:sz w:val="20"/>
          <w:szCs w:val="20"/>
        </w:rPr>
        <w:t xml:space="preserve">Sustituya todo lo que aparece entre corchetes. Un corchete que sobrevive a la revisión es un hallazgo de auditoría, no un detalle de formato. Si un apartado no le aplica, no lo borre: use el apartado 18 y déjelo declarado.</w:t>
      </w:r>
    </w:p>
    <w:p>
      <w:pPr>
        <w:spacing w:after="120" w:line="276"/>
      </w:pPr>
      <w:r>
        <w:rPr>
          <w:rFonts w:ascii="Arial" w:cs="Arial" w:eastAsia="Arial" w:hAnsi="Arial"/>
          <w:color w:val="1F2937"/>
          <w:sz w:val="20"/>
          <w:szCs w:val="20"/>
        </w:rPr>
        <w:t xml:space="preserve">Los recuadros con filete ámbar son redacción base pensada para que funcione en cualquiera de las fracciones del artículo 17 de la Ley. Léalos con su giro en la cabeza y córtelos: un manual que describe operaciones que usted no hace es tan malo como uno que omite las que sí hace.</w:t>
      </w:r>
    </w:p>
    <w:p>
      <w:pPr>
        <w:pStyle w:val="Heading2"/>
        <w:keepNext/>
        <w:spacing w:after="80" w:before="240"/>
      </w:pPr>
      <w:r>
        <w:rPr>
          <w:rFonts w:ascii="Arial" w:cs="Arial" w:eastAsia="Arial" w:hAnsi="Arial"/>
          <w:b/>
          <w:bCs/>
          <w:color w:val="12224A"/>
          <w:sz w:val="22"/>
          <w:szCs w:val="22"/>
        </w:rPr>
        <w:t xml:space="preserve">Advertencia sobre la aprobación del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SE VERIFICÓ Y NO EXISTE</w:t>
            </w:r>
          </w:p>
          <w:p>
            <w:pPr>
              <w:spacing w:after="80" w:line="264"/>
            </w:pPr>
            <w:r>
              <w:rPr>
                <w:rFonts w:ascii="Arial" w:cs="Arial" w:eastAsia="Arial" w:hAnsi="Arial"/>
                <w:color w:val="1F2937"/>
                <w:sz w:val="19"/>
                <w:szCs w:val="19"/>
              </w:rPr>
              <w:t xml:space="preserve">Circula en el gremio la idea de que el órgano de administración debe aprobar formalmente el Manual mediante acta. Se cotejaron el RCG 37, el 37 Bis, el 37 Bis 1, el 37 Bis 2, el 37 Bis 3, el artículo 18 de la Ley y el Reglamento: ninguna disposición lo exige.</w:t>
            </w:r>
          </w:p>
          <w:p>
            <w:pPr>
              <w:spacing w:after="80" w:line="264"/>
            </w:pPr>
            <w:r>
              <w:rPr>
                <w:rFonts w:ascii="Arial" w:cs="Arial" w:eastAsia="Arial" w:hAnsi="Arial"/>
                <w:color w:val="1F2937"/>
                <w:sz w:val="19"/>
                <w:szCs w:val="19"/>
              </w:rPr>
              <w:t xml:space="preserve">Lo que sí exige la norma respecto de órganos y directivos es otra cosa. Primero, la aprobación de un directivo o su equivalente para operar con un Cliente que sea Persona Políticamente Expuesta y además tenga Grado de Riesgo alto (RCG 23 Ter 5) — ése es el formato que se entrega aparte en esta sesión. Segundo, la presentación al consejo de administración, administrador único, dirección general u órgano equivalente de los resultados de la auditoría, a manera de dictamen (RCG 42, segundo párrafo).</w:t>
            </w:r>
          </w:p>
          <w:p>
            <w:pPr>
              <w:spacing w:after="80" w:line="264"/>
            </w:pPr>
            <w:r>
              <w:rPr>
                <w:rFonts w:ascii="Arial" w:cs="Arial" w:eastAsia="Arial" w:hAnsi="Arial"/>
                <w:color w:val="1F2937"/>
                <w:sz w:val="19"/>
                <w:szCs w:val="19"/>
              </w:rPr>
              <w:t xml:space="preserve">Si usted quiere que su consejo apruebe el Manual por gobierno corporativo, hágalo. Pero no lo cite con artículo, porque no lo hay.</w:t>
            </w:r>
          </w:p>
        </w:tc>
      </w:tr>
    </w:tbl>
    <w:p>
      <w:pPr>
        <w:pStyle w:val="Heading1"/>
        <w:pageBreakBefore/>
        <w:spacing w:after="60" w:before="0"/>
      </w:pPr>
      <w:r>
        <w:rPr>
          <w:rFonts w:ascii="Arial" w:cs="Arial" w:eastAsia="Arial" w:hAnsi="Arial"/>
          <w:b/>
          <w:bCs/>
          <w:color w:val="12224A"/>
          <w:sz w:val="26"/>
          <w:szCs w:val="26"/>
        </w:rPr>
        <w:t xml:space="preserve">Mapa de correspondencia</w:t>
      </w:r>
    </w:p>
    <w:p>
      <w:pPr>
        <w:spacing w:after="120" w:line="276"/>
      </w:pPr>
      <w:r>
        <w:rPr>
          <w:rFonts w:ascii="Arial" w:cs="Arial" w:eastAsia="Arial" w:hAnsi="Arial"/>
          <w:color w:val="1F2937"/>
          <w:sz w:val="20"/>
          <w:szCs w:val="20"/>
        </w:rPr>
        <w:t xml:space="preserve">Cada apartado de este Manual contra la fracción que lo obliga. Ésta es la tabla que conviene tener a la mano en una visita: permite responder «¿dónde tiene usted esto?» señalando un número de apartado.</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100"/>
        <w:gridCol w:w="2060"/>
      </w:tblGrid>
      <w:tr>
        <w:trPr>
          <w:cantSplit/>
          <w:tblHeader/>
        </w:trPr>
        <w:tc>
          <w:tcPr>
            <w:tcW w:type="dxa" w:w="4200"/>
            <w:shd w:fill="12224A" w:val="clear"/>
            <w:tcMar>
              <w:top w:type="dxa" w:w="80"/>
              <w:left w:type="dxa" w:w="110"/>
              <w:bottom w:type="dxa" w:w="80"/>
              <w:right w:type="dxa" w:w="110"/>
            </w:tcMar>
          </w:tcPr>
          <w:p>
            <w:r>
              <w:rPr>
                <w:rFonts w:ascii="Arial" w:cs="Arial" w:eastAsia="Arial" w:hAnsi="Arial"/>
                <w:b/>
                <w:bCs/>
                <w:color w:val="FFFFFF"/>
                <w:sz w:val="17"/>
                <w:szCs w:val="17"/>
              </w:rPr>
              <w:t xml:space="preserve">Apartado de este Manual</w:t>
            </w:r>
          </w:p>
        </w:tc>
        <w:tc>
          <w:tcPr>
            <w:tcW w:type="dxa" w:w="3100"/>
            <w:shd w:fill="12224A" w:val="clear"/>
            <w:tcMar>
              <w:top w:type="dxa" w:w="80"/>
              <w:left w:type="dxa" w:w="110"/>
              <w:bottom w:type="dxa" w:w="80"/>
              <w:right w:type="dxa" w:w="110"/>
            </w:tcMar>
          </w:tcPr>
          <w:p>
            <w:r>
              <w:rPr>
                <w:rFonts w:ascii="Arial" w:cs="Arial" w:eastAsia="Arial" w:hAnsi="Arial"/>
                <w:b/>
                <w:bCs/>
                <w:color w:val="FFFFFF"/>
                <w:sz w:val="17"/>
                <w:szCs w:val="17"/>
              </w:rPr>
              <w:t xml:space="preserve">Fundamento</w:t>
            </w:r>
          </w:p>
        </w:tc>
        <w:tc>
          <w:tcPr>
            <w:tcW w:type="dxa" w:w="2060"/>
            <w:shd w:fill="12224A" w:val="clear"/>
            <w:tcMar>
              <w:top w:type="dxa" w:w="80"/>
              <w:left w:type="dxa" w:w="110"/>
              <w:bottom w:type="dxa" w:w="80"/>
              <w:right w:type="dxa" w:w="110"/>
            </w:tcMar>
          </w:tcPr>
          <w:p>
            <w:r>
              <w:rPr>
                <w:rFonts w:ascii="Arial" w:cs="Arial" w:eastAsia="Arial" w:hAnsi="Arial"/>
                <w:b/>
                <w:bCs/>
                <w:color w:val="FFFFFF"/>
                <w:sz w:val="17"/>
                <w:szCs w:val="17"/>
              </w:rPr>
              <w:t xml:space="preserve">Vigencia relevante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0 · Identificación de quien realiza la Actividad Vulnerable</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4 · R 12</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Alta vigente</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 · Objeto, alcance y marco normativo</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L 18 fr. VIII · RCG 37</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2 · Criterios de identificación y conocimiento</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 · Mecanismos de clasificación de Riesgo</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II · RCG 23 Bis</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Operaciones desde 1 mar 2027</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4 · Debida diligencia por Grado de Riesgo</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III · RCG 23 Ter a 23 Ter 5</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Operaciones desde 1 mar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5 · Personas Políticamente Expuestas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IV · RCG 23 Quáter · 23 Ter 5</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 · Consulta PEP 2.0 el 30 ago 2027</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6 · Perfil transaccional y desviaciones</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 · L 18 fr. X</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Mecanismos automatizados: 1 jun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7 · Avisos e Informes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VI · L 17 · L 18 fr. VI</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8 · Conservación de información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VII · L 18 fr. IV párr. 2 · R 20</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Vigente. R 20 cuenta desde 17 jul 2025</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9 · Acumulación de operaciones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VIII · L 17 penúltimo párr. · R 7</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10 · Listas de personas y organizaciones</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IX · RCG 38</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11 · Representante Encargada de Cumplimiento</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 · L 20 · RCG 10 · L 41 Bis</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12 · Programas de capacitación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 · L 18 fr. IX · RCG 39 Bis y 39 Bis 1</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Primer periodo: 1 ene – 31 dic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13 · Control interno, supervisión y auditoría</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XII · L 18 fr. XI · RCG 42 a 47</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Primera revisión: 1 ene – 31 dic 2028</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14 · Confidencialidad de la información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XIII · L 38 · L 41 · L 41 Bis</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15 · Actualización del Manual</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XIV · RCG 37 Bis 3</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16 · Diseño de la metodología de Riesgos</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tercer párr. · RCG Cap. II Quáter</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A disposición el 1 mar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17 · Apertura, limitación y terminación de relaciones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tercer párr. · L 21</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18 · Supuestos que no se realizan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2</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19 · Grupo empresarial</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1 · L 18 fr. VIII párr. 2</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20 · Selección de personal</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39 Bis 2 · L 18 fr. IX</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Contrataciones desde 1 mar 2027</w:t>
            </w:r>
          </w:p>
        </w:tc>
      </w:tr>
    </w:tbl>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D1D5DB" w:sz="2"/>
              <w:left w:val="single" w:color="D1D5DB" w:sz="2"/>
              <w:bottom w:val="single" w:color="D1D5DB" w:sz="2"/>
              <w:right w:val="single" w:color="D1D5DB" w:sz="2"/>
            </w:tcBorders>
            <w:shd w:fill="F3F4F6"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SANCIÓN, PARA DIMENSIONAR</w:t>
            </w:r>
          </w:p>
          <w:p>
            <w:pPr>
              <w:spacing w:after="80" w:line="264"/>
            </w:pPr>
            <w:r>
              <w:rPr>
                <w:rFonts w:ascii="Arial" w:cs="Arial" w:eastAsia="Arial" w:hAnsi="Arial"/>
                <w:color w:val="1F2937"/>
                <w:sz w:val="19"/>
                <w:szCs w:val="19"/>
              </w:rPr>
              <w:t xml:space="preserve">El L 53 fr. II sanciona el incumplimiento de cualquiera de las obligaciones del artículo 18 de la Ley, y ahí están tanto la fracción VIII —el Manual— como la fracción IX —capacitación y selección de personal—. La multa del L 54 fr. I va de 200 a 2,000 veces el valor diario de la UMA.</w:t>
            </w:r>
          </w:p>
          <w:p>
            <w:pPr>
              <w:spacing w:after="80" w:line="264"/>
            </w:pPr>
            <w:r>
              <w:rPr>
                <w:rFonts w:ascii="Arial" w:cs="Arial" w:eastAsia="Arial" w:hAnsi="Arial"/>
                <w:color w:val="1F2937"/>
                <w:sz w:val="19"/>
                <w:szCs w:val="19"/>
              </w:rPr>
              <w:t xml:space="preserve">Con la UMA diaria de 2026, de 117.31 pesos, eso es de 23,462 a 234,620 pesos. Es multa por obligación incumplida, no por operación.</w:t>
            </w:r>
          </w:p>
        </w:tc>
      </w:tr>
    </w:tbl>
    <w:p>
      <w:pPr>
        <w:pStyle w:val="Heading1"/>
        <w:pageBreakBefore/>
        <w:spacing w:after="60" w:before="0"/>
      </w:pPr>
      <w:r>
        <w:rPr>
          <w:rFonts w:ascii="Arial" w:cs="Arial" w:eastAsia="Arial" w:hAnsi="Arial"/>
          <w:b/>
          <w:bCs/>
          <w:color w:val="12224A"/>
          <w:sz w:val="26"/>
          <w:szCs w:val="26"/>
        </w:rPr>
        <w:t xml:space="preserve">0. Identificación de quien realiza la Actividad Vulnerable</w:t>
      </w:r>
    </w:p>
    <w:p>
      <w:pPr>
        <w:spacing w:after="120" w:line="276"/>
      </w:pPr>
      <w:r>
        <w:rPr>
          <w:rFonts w:ascii="Arial" w:cs="Arial" w:eastAsia="Arial" w:hAnsi="Arial"/>
          <w:color w:val="1F2937"/>
          <w:sz w:val="20"/>
          <w:szCs w:val="20"/>
        </w:rPr>
        <w:t xml:space="preserve">Este apartado no lo pide el RCG 37 Bis; lo pide la sensatez. Es lo primero que le van a preguntar y lo primero que debe estar bien.</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60"/>
      </w:tblGrid>
      <w:tr>
        <w:trPr>
          <w:cantSplit/>
          <w:tblHeader/>
        </w:trPr>
        <w:tc>
          <w:tcPr>
            <w:tcW w:type="dxa" w:w="3800"/>
            <w:shd w:fill="12224A" w:val="clear"/>
            <w:tcMar>
              <w:top w:type="dxa" w:w="80"/>
              <w:left w:type="dxa" w:w="110"/>
              <w:bottom w:type="dxa" w:w="80"/>
              <w:right w:type="dxa" w:w="110"/>
            </w:tcMar>
          </w:tcPr>
          <w:p>
            <w:r>
              <w:rPr>
                <w:rFonts w:ascii="Arial" w:cs="Arial" w:eastAsia="Arial" w:hAnsi="Arial"/>
                <w:b/>
                <w:bCs/>
                <w:color w:val="FFFFFF"/>
                <w:sz w:val="17"/>
                <w:szCs w:val="17"/>
              </w:rPr>
              <w:t xml:space="preserve">Dato</w:t>
            </w:r>
          </w:p>
        </w:tc>
        <w:tc>
          <w:tcPr>
            <w:tcW w:type="dxa" w:w="5560"/>
            <w:shd w:fill="12224A" w:val="clear"/>
            <w:tcMar>
              <w:top w:type="dxa" w:w="80"/>
              <w:left w:type="dxa" w:w="110"/>
              <w:bottom w:type="dxa" w:w="80"/>
              <w:right w:type="dxa" w:w="110"/>
            </w:tcMar>
          </w:tcPr>
          <w:p>
            <w:r>
              <w:rPr>
                <w:rFonts w:ascii="Arial" w:cs="Arial" w:eastAsia="Arial" w:hAnsi="Arial"/>
                <w:b/>
                <w:bCs/>
                <w:color w:val="FFFFFF"/>
                <w:sz w:val="17"/>
                <w:szCs w:val="17"/>
              </w:rPr>
              <w:t xml:space="preserve">Contenido</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Denominación o nombre completo</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RFC</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Fracción o fracciones del artículo 17 de la Ley que realiza</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Fecha de alta y registro en el Padrón (RCG 4)</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Fecha en que vencieron los noventa días naturales del RCG 37</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Domicilio registrado ante la Secretaría para conservación</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Representante Encargada de Cumplimiento designada</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Fecha en que la RECC aceptó la designación en el Portal (RCG 10)</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¿Forma parte de un Grupo Empresarial?</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Sí / No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Versión de este Manual y fecha</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spacing w:after="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OJO CON EL RENGLÓN DE LA ACEPTACIÓN</w:t>
            </w:r>
          </w:p>
          <w:p>
            <w:pPr>
              <w:spacing w:after="80" w:line="264"/>
            </w:pPr>
            <w:r>
              <w:rPr>
                <w:rFonts w:ascii="Arial" w:cs="Arial" w:eastAsia="Arial" w:hAnsi="Arial"/>
                <w:color w:val="1F2937"/>
                <w:sz w:val="19"/>
                <w:szCs w:val="19"/>
              </w:rPr>
              <w:t xml:space="preserve">La fecha que importa no es la de la designación: es la de la aceptación. El RCG 10 exige que la persona designada entre al Portal con su propio RFC y su propia e.firma y acepte. Mientras eso no ocurra, y así lo dice el segundo párrafo del L 20, el cumplimiento de las obligaciones de la Ley corresponde a los integrantes del órgano de administración o a quien funja como administrador único. Si este renglón está vacío, el Manual describe una estructura que no existe.</w:t>
            </w:r>
          </w:p>
        </w:tc>
      </w:tr>
    </w:tbl>
    <w:p>
      <w:pPr>
        <w:pStyle w:val="Heading1"/>
        <w:pageBreakBefore/>
        <w:spacing w:after="60" w:before="0"/>
      </w:pPr>
      <w:r>
        <w:rPr>
          <w:rFonts w:ascii="Arial" w:cs="Arial" w:eastAsia="Arial" w:hAnsi="Arial"/>
          <w:b/>
          <w:bCs/>
          <w:color w:val="12224A"/>
          <w:sz w:val="26"/>
          <w:szCs w:val="26"/>
        </w:rPr>
        <w:t xml:space="preserve">1. Objeto, alcance y marco normativo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L 18 fr. VIII y RCG 37</w:t>
      </w:r>
      <w:r>
        <w:rPr>
          <w:rFonts w:ascii="Arial" w:cs="Arial" w:eastAsia="Arial" w:hAnsi="Arial"/>
          <w:i/>
          <w:iCs/>
          <w:color w:val="6B7280"/>
          <w:sz w:val="17"/>
          <w:szCs w:val="17"/>
        </w:rPr>
        <w:t xml:space="preserve"> — el encabezado que define qué es este documento y a quién obliga.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presente Manual de Políticas Internas desarrolla las políticas y lineamientos de identificación y conocimiento de Clientes o Usuarias, así como los criterios, medidas y procedimientos internos que [DENOMINACIÓN] adopta para dar cumplimiento a la Ley Federal para la Prevención e Identificación de Operaciones con Recursos de Procedencia Ilícita, su Reglamento, el ACUERDO 115/2026 y las demás disposiciones que de ellos emanen, y para gestionar los Riesgos a que está expuesta conforme a los resultados de la metodología prevista en el Capítulo II Quáter de las Reglas.</w:t>
            </w:r>
          </w:p>
          <w:p>
            <w:pPr>
              <w:spacing w:after="80" w:line="264"/>
            </w:pPr>
            <w:r>
              <w:rPr>
                <w:rFonts w:ascii="Arial" w:cs="Arial" w:eastAsia="Arial" w:hAnsi="Arial"/>
                <w:color w:val="1F2937"/>
                <w:sz w:val="19"/>
                <w:szCs w:val="19"/>
              </w:rPr>
              <w:t xml:space="preserve">Este Manual es de observancia obligatoria para [las personas integrantes del órgano de administración / la persona administradora única], las personas directivas y funcionarias, la persona Representante Encargada de Cumplimiento y el personal que tenga relación directa con Clientes o Usuarias, participe en su identificación o conocimiento, en el envío de Avisos o en actividades de auditoría.</w:t>
            </w:r>
          </w:p>
          <w:p>
            <w:pPr>
              <w:spacing w:after="80" w:line="264"/>
            </w:pPr>
            <w:r>
              <w:rPr>
                <w:rFonts w:ascii="Arial" w:cs="Arial" w:eastAsia="Arial" w:hAnsi="Arial"/>
                <w:color w:val="1F2937"/>
                <w:sz w:val="19"/>
                <w:szCs w:val="19"/>
              </w:rPr>
              <w:t xml:space="preserve">[DENOMINACIÓN] pondrá este Manual a disposición de la Unidad de Inteligencia Financiera o del Servicio de Administración Tributaria cuando se lo requieran.</w:t>
            </w:r>
          </w:p>
          <w:p>
            <w:pPr>
              <w:spacing w:after="80" w:line="264"/>
            </w:pPr>
            <w:r>
              <w:rPr>
                <w:rFonts w:ascii="Arial" w:cs="Arial" w:eastAsia="Arial" w:hAnsi="Arial"/>
                <w:color w:val="1F2937"/>
                <w:sz w:val="19"/>
                <w:szCs w:val="19"/>
              </w:rPr>
              <w:t xml:space="preserve">Los criterios, medidas y procedimientos que por su naturaleza consten en documento distinto se relacionan en el apartado 21 de este Manual, con su denominación y ubicación, en términos del segundo párrafo del artículo 37 de las Reglas.</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Constancia de que el Manual fue difundido al personal obligado, con acuse de recibo o registro de la plataforma.</w:t>
      </w:r>
    </w:p>
    <w:p>
      <w:pPr>
        <w:spacing w:after="60" w:line="264"/>
        <w:ind w:left="340" w:hanging="200"/>
      </w:pPr>
      <w:r>
        <w:rPr>
          <w:rFonts w:ascii="Arial" w:cs="Arial" w:eastAsia="Arial" w:hAnsi="Arial"/>
          <w:color w:val="1F2937"/>
          <w:sz w:val="20"/>
          <w:szCs w:val="20"/>
        </w:rPr>
        <w:t xml:space="preserve">· La versión vigente del Manual localizable en el domicilio registrado, en el momento en que se pida.</w:t>
      </w:r>
    </w:p>
    <w:p>
      <w:pPr>
        <w:pStyle w:val="Heading1"/>
        <w:pageBreakBefore/>
        <w:spacing w:after="60" w:before="0"/>
      </w:pPr>
      <w:r>
        <w:rPr>
          <w:rFonts w:ascii="Arial" w:cs="Arial" w:eastAsia="Arial" w:hAnsi="Arial"/>
          <w:b/>
          <w:bCs/>
          <w:color w:val="12224A"/>
          <w:sz w:val="26"/>
          <w:szCs w:val="26"/>
        </w:rPr>
        <w:t xml:space="preserve">2. Criterios de identificación y conocimiento de Clientes o Usuarias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w:t>
      </w:r>
      <w:r>
        <w:rPr>
          <w:rFonts w:ascii="Arial" w:cs="Arial" w:eastAsia="Arial" w:hAnsi="Arial"/>
          <w:i/>
          <w:iCs/>
          <w:color w:val="6B7280"/>
          <w:sz w:val="17"/>
          <w:szCs w:val="17"/>
        </w:rPr>
        <w:t xml:space="preserve"> — «Los criterios para la identificación y conocimiento de Clientes o Usuarias»</w:t>
      </w:r>
    </w:p>
    <w:p>
      <w:pPr>
        <w:pStyle w:val="Heading2"/>
        <w:keepNext/>
        <w:spacing w:after="80" w:before="240"/>
      </w:pPr>
      <w:r>
        <w:rPr>
          <w:rFonts w:ascii="Arial" w:cs="Arial" w:eastAsia="Arial" w:hAnsi="Arial"/>
          <w:b/>
          <w:bCs/>
          <w:color w:val="12224A"/>
          <w:sz w:val="22"/>
          <w:szCs w:val="22"/>
        </w:rPr>
        <w:t xml:space="preserve">2.1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identifica de manera directa y se verifica la identidad, y con qué documentos, distinguiendo persona física, persona moral, fideicomiso y otra figura jurídica (L 18 fr. I).</w:t>
      </w:r>
    </w:p>
    <w:p>
      <w:pPr>
        <w:spacing w:after="60" w:line="264"/>
        <w:ind w:left="340" w:hanging="200"/>
      </w:pPr>
      <w:r>
        <w:rPr>
          <w:rFonts w:ascii="Arial" w:cs="Arial" w:eastAsia="Arial" w:hAnsi="Arial"/>
          <w:color w:val="1F2937"/>
          <w:sz w:val="20"/>
          <w:szCs w:val="20"/>
        </w:rPr>
        <w:t xml:space="preserve">· Cuándo hay Relación de negocios y, por tanto, cuándo se solicita la información de actividad u ocupación contra el RFC (L 18 fr. II).</w:t>
      </w:r>
    </w:p>
    <w:p>
      <w:pPr>
        <w:spacing w:after="60" w:line="264"/>
        <w:ind w:left="340" w:hanging="200"/>
      </w:pPr>
      <w:r>
        <w:rPr>
          <w:rFonts w:ascii="Arial" w:cs="Arial" w:eastAsia="Arial" w:hAnsi="Arial"/>
          <w:color w:val="1F2937"/>
          <w:sz w:val="20"/>
          <w:szCs w:val="20"/>
        </w:rPr>
        <w:t xml:space="preserve">· Qué anexo del ACUERDO 115/2026 corresponde a cada tipo de Cliente. El anexo depende de quién es el Cliente, no de la fracción del artículo 17 que usted realiza.</w:t>
      </w:r>
    </w:p>
    <w:p>
      <w:pPr>
        <w:spacing w:after="60" w:line="264"/>
        <w:ind w:left="340" w:hanging="200"/>
      </w:pPr>
      <w:r>
        <w:rPr>
          <w:rFonts w:ascii="Arial" w:cs="Arial" w:eastAsia="Arial" w:hAnsi="Arial"/>
          <w:color w:val="1F2937"/>
          <w:sz w:val="20"/>
          <w:szCs w:val="20"/>
        </w:rPr>
        <w:t xml:space="preserve">· Los datos del Beneficiario Controlador que integran el expediente y, en persona física, la declaración de si tiene o no conocimiento de su existencia (L 18 fr. III).</w:t>
      </w:r>
    </w:p>
    <w:p>
      <w:pPr>
        <w:spacing w:after="60" w:line="264"/>
        <w:ind w:left="340" w:hanging="200"/>
      </w:pPr>
      <w:r>
        <w:rPr>
          <w:rFonts w:ascii="Arial" w:cs="Arial" w:eastAsia="Arial" w:hAnsi="Arial"/>
          <w:color w:val="1F2937"/>
          <w:sz w:val="20"/>
          <w:szCs w:val="20"/>
        </w:rPr>
        <w:t xml:space="preserve">· Qué se hace ante una identificación con tachaduras o enmendaduras y ante la negativa del Cliente a proporcionar información.</w:t>
      </w:r>
    </w:p>
    <w:p>
      <w:pPr>
        <w:spacing w:after="60" w:line="264"/>
        <w:ind w:left="340" w:hanging="200"/>
      </w:pPr>
      <w:r>
        <w:rPr>
          <w:rFonts w:ascii="Arial" w:cs="Arial" w:eastAsia="Arial" w:hAnsi="Arial"/>
          <w:color w:val="1F2937"/>
          <w:sz w:val="20"/>
          <w:szCs w:val="20"/>
        </w:rPr>
        <w:t xml:space="preserve">· Si se admite identificación por medios electrónicos o biométricos, y cómo se demuestra la verificación en operaciones no presenciales.</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identificará de manera directa a cada Cliente o Usuaria y verificará su identidad antes de celebrar el acto u operación, integrando el expediente con los datos y documentos del anexo que corresponda conforme al tipo de Cliente de que se trate.</w:t>
            </w:r>
          </w:p>
          <w:p>
            <w:pPr>
              <w:spacing w:after="80" w:line="264"/>
            </w:pPr>
            <w:r>
              <w:rPr>
                <w:rFonts w:ascii="Arial" w:cs="Arial" w:eastAsia="Arial" w:hAnsi="Arial"/>
                <w:color w:val="1F2937"/>
                <w:sz w:val="19"/>
                <w:szCs w:val="19"/>
              </w:rPr>
              <w:t xml:space="preserve">La identificación es la regla y el umbral es la excepción: la obligación de identificar puede existir sin que exista obligación de presentar Aviso, y el control de identificación de [DENOMINACIÓN] no se activa en el umbral de Aviso sino en el de identificación aplicable a su fracción, o desde la primera operación cuando su fracción no tenga umbral de identificación.</w:t>
            </w:r>
          </w:p>
          <w:p>
            <w:pPr>
              <w:spacing w:after="80" w:line="264"/>
            </w:pPr>
            <w:r>
              <w:rPr>
                <w:rFonts w:ascii="Arial" w:cs="Arial" w:eastAsia="Arial" w:hAnsi="Arial"/>
                <w:color w:val="1F2937"/>
                <w:sz w:val="19"/>
                <w:szCs w:val="19"/>
              </w:rPr>
              <w:t xml:space="preserve">Cuando se establezca una Relación de negocios, se solicitará a la persona Cliente o Usuaria la información sobre su actividad u ocupación, considerando entre otros los avisos de inscripción y actualización de actividades presentados para efectos del Registro Federal de Contribuyentes.</w:t>
            </w:r>
          </w:p>
          <w:p>
            <w:pPr>
              <w:spacing w:after="80" w:line="264"/>
            </w:pPr>
            <w:r>
              <w:rPr>
                <w:rFonts w:ascii="Arial" w:cs="Arial" w:eastAsia="Arial" w:hAnsi="Arial"/>
                <w:color w:val="1F2937"/>
                <w:sz w:val="19"/>
                <w:szCs w:val="19"/>
              </w:rPr>
              <w:t xml:space="preserve">Tratándose de personas morales, fideicomisos u otras figuras jurídicas, se recabarán los datos que permitan identificar a su Beneficiario Controlador. Tratándose de personas físicas, se recabará la declaración acerca de si tiene o no conocimiento de la existencia de una persona Beneficiario Controlador y, en su caso, la documentación que permita identificarla.</w:t>
            </w:r>
          </w:p>
          <w:p>
            <w:pPr>
              <w:spacing w:after="80" w:line="264"/>
            </w:pPr>
            <w:r>
              <w:rPr>
                <w:rFonts w:ascii="Arial" w:cs="Arial" w:eastAsia="Arial" w:hAnsi="Arial"/>
                <w:color w:val="1F2937"/>
                <w:sz w:val="19"/>
                <w:szCs w:val="19"/>
              </w:rPr>
              <w:t xml:space="preserve">Ante una identificación oficial con tachaduras o enmendaduras se solicitará otro medio de identificación y, a falta de éste, [DOS] referencias bancarias o comerciales y [DOS] referencias personales, que se verificarán antes de celebrar el acto u operación.</w:t>
            </w:r>
          </w:p>
          <w:p>
            <w:pPr>
              <w:spacing w:after="80" w:line="264"/>
            </w:pPr>
            <w:r>
              <w:rPr>
                <w:rFonts w:ascii="Arial" w:cs="Arial" w:eastAsia="Arial" w:hAnsi="Arial"/>
                <w:color w:val="1F2937"/>
                <w:sz w:val="19"/>
                <w:szCs w:val="19"/>
              </w:rPr>
              <w:t xml:space="preserve">Cuando la persona Cliente o Usuaria se niegue a proporcionar la información y documentación necesarias, [DENOMINACIÓN] se abstendrá de celebrar el acto u operación, sin responsabilidad alguna. La abstención no sustituye la evaluación de si procede además el Aviso dentro de las veinticuatro horas siguientes por sospecha.</w:t>
            </w:r>
          </w:p>
          <w:p>
            <w:pPr>
              <w:spacing w:after="80" w:line="264"/>
            </w:pPr>
            <w:r>
              <w:rPr>
                <w:rFonts w:ascii="Arial" w:cs="Arial" w:eastAsia="Arial" w:hAnsi="Arial"/>
                <w:color w:val="1F2937"/>
                <w:sz w:val="19"/>
                <w:szCs w:val="19"/>
              </w:rPr>
              <w:t xml:space="preserve">[Si se admiten medios electrónicos: La identificación podrá realizarse por medios electrónicos conforme al procedimiento descrito en [DOCUMENTO], en el entendido de que el expediente se integra previamente a la celebración del acto u operación.]</w:t>
            </w:r>
          </w:p>
        </w:tc>
      </w:tr>
    </w:tbl>
    <w:p>
      <w:pPr>
        <w:spacing w:after="140" w:line="240"/>
      </w:pPr>
      <w:r>
        <w:rPr>
          <w:rFonts w:ascii="Arial" w:cs="Arial" w:eastAsia="Arial" w:hAnsi="Arial"/>
          <w:i/>
          <w:iCs/>
          <w:color w:val="6B7280"/>
          <w:sz w:val="16"/>
          <w:szCs w:val="16"/>
        </w:rPr>
        <w:t xml:space="preserve">La verificación de actividad u ocupación contra el RFC es la fracción II del artículo 18, no la I, y sólo aplica cuando hay Relación de negocios.</w:t>
      </w:r>
    </w:p>
    <w:p>
      <w:pPr>
        <w:pStyle w:val="Heading2"/>
        <w:keepNext/>
        <w:spacing w:after="80" w:before="240"/>
      </w:pPr>
      <w:r>
        <w:rPr>
          <w:rFonts w:ascii="Arial" w:cs="Arial" w:eastAsia="Arial" w:hAnsi="Arial"/>
          <w:b/>
          <w:bCs/>
          <w:color w:val="12224A"/>
          <w:sz w:val="22"/>
          <w:szCs w:val="22"/>
        </w:rPr>
        <w:t xml:space="preserve">2.2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Expedientes íntegros, localizables por Cliente y no por operación.</w:t>
      </w:r>
    </w:p>
    <w:p>
      <w:pPr>
        <w:spacing w:after="60" w:line="264"/>
        <w:ind w:left="340" w:hanging="200"/>
      </w:pPr>
      <w:r>
        <w:rPr>
          <w:rFonts w:ascii="Arial" w:cs="Arial" w:eastAsia="Arial" w:hAnsi="Arial"/>
          <w:color w:val="1F2937"/>
          <w:sz w:val="20"/>
          <w:szCs w:val="20"/>
        </w:rPr>
        <w:t xml:space="preserve">· La constancia de verificación anual de que los expedientes de Clientes con Relación de negocios están completos.</w:t>
      </w:r>
    </w:p>
    <w:p>
      <w:pPr>
        <w:spacing w:after="60" w:line="264"/>
        <w:ind w:left="340" w:hanging="200"/>
      </w:pPr>
      <w:r>
        <w:rPr>
          <w:rFonts w:ascii="Arial" w:cs="Arial" w:eastAsia="Arial" w:hAnsi="Arial"/>
          <w:color w:val="1F2937"/>
          <w:sz w:val="20"/>
          <w:szCs w:val="20"/>
        </w:rPr>
        <w:t xml:space="preserve">· Registro de los casos en que se aplicó la abstención, con la fecha y quién la decidió.</w:t>
      </w:r>
    </w:p>
    <w:p>
      <w:pPr>
        <w:pStyle w:val="Heading1"/>
        <w:pageBreakBefore/>
        <w:spacing w:after="60" w:before="0"/>
      </w:pPr>
      <w:r>
        <w:rPr>
          <w:rFonts w:ascii="Arial" w:cs="Arial" w:eastAsia="Arial" w:hAnsi="Arial"/>
          <w:b/>
          <w:bCs/>
          <w:color w:val="12224A"/>
          <w:sz w:val="26"/>
          <w:szCs w:val="26"/>
        </w:rPr>
        <w:t xml:space="preserve">3. Mecanismos de clasificación de Riesgo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II</w:t>
      </w:r>
      <w:r>
        <w:rPr>
          <w:rFonts w:ascii="Arial" w:cs="Arial" w:eastAsia="Arial" w:hAnsi="Arial"/>
          <w:i/>
          <w:iCs/>
          <w:color w:val="6B7280"/>
          <w:sz w:val="17"/>
          <w:szCs w:val="17"/>
        </w:rPr>
        <w:t xml:space="preserve"> — «Los mecanismos de clasificación de Riesgo»</w:t>
      </w:r>
    </w:p>
    <w:p>
      <w:pPr>
        <w:pStyle w:val="Heading2"/>
        <w:keepNext/>
        <w:spacing w:after="80" w:before="240"/>
      </w:pPr>
      <w:r>
        <w:rPr>
          <w:rFonts w:ascii="Arial" w:cs="Arial" w:eastAsia="Arial" w:hAnsi="Arial"/>
          <w:b/>
          <w:bCs/>
          <w:color w:val="12224A"/>
          <w:sz w:val="22"/>
          <w:szCs w:val="22"/>
        </w:rPr>
        <w:t xml:space="preserve">3.1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Cuántos Grados de Riesgo maneja —el mínimo son tres— y qué nombre les da.</w:t>
      </w:r>
    </w:p>
    <w:p>
      <w:pPr>
        <w:spacing w:after="60" w:line="264"/>
        <w:ind w:left="340" w:hanging="200"/>
      </w:pPr>
      <w:r>
        <w:rPr>
          <w:rFonts w:ascii="Arial" w:cs="Arial" w:eastAsia="Arial" w:hAnsi="Arial"/>
          <w:color w:val="1F2937"/>
          <w:sz w:val="20"/>
          <w:szCs w:val="20"/>
        </w:rPr>
        <w:t xml:space="preserve">· Qué factores integran el modelo, con qué peso y con qué escala de calificación.</w:t>
      </w:r>
    </w:p>
    <w:p>
      <w:pPr>
        <w:spacing w:after="60" w:line="264"/>
        <w:ind w:left="340" w:hanging="200"/>
      </w:pPr>
      <w:r>
        <w:rPr>
          <w:rFonts w:ascii="Arial" w:cs="Arial" w:eastAsia="Arial" w:hAnsi="Arial"/>
          <w:color w:val="1F2937"/>
          <w:sz w:val="20"/>
          <w:szCs w:val="20"/>
        </w:rPr>
        <w:t xml:space="preserve">· Que el modelo sea coherente con la metodología del Capítulo II Quáter, que es un requisito de cumplimiento y no de estética.</w:t>
      </w:r>
    </w:p>
    <w:p>
      <w:pPr>
        <w:spacing w:after="60" w:line="264"/>
        <w:ind w:left="340" w:hanging="200"/>
      </w:pPr>
      <w:r>
        <w:rPr>
          <w:rFonts w:ascii="Arial" w:cs="Arial" w:eastAsia="Arial" w:hAnsi="Arial"/>
          <w:color w:val="1F2937"/>
          <w:sz w:val="20"/>
          <w:szCs w:val="20"/>
        </w:rPr>
        <w:t xml:space="preserve">· Cada cuánto se recalifica a los Clientes y qué hechos disparan una recalificación fuera de calendario.</w:t>
      </w:r>
    </w:p>
    <w:p>
      <w:pPr>
        <w:spacing w:after="60" w:line="264"/>
        <w:ind w:left="340" w:hanging="200"/>
      </w:pPr>
      <w:r>
        <w:rPr>
          <w:rFonts w:ascii="Arial" w:cs="Arial" w:eastAsia="Arial" w:hAnsi="Arial"/>
          <w:color w:val="1F2937"/>
          <w:sz w:val="20"/>
          <w:szCs w:val="20"/>
        </w:rPr>
        <w:t xml:space="preserve">· En qué casos el Grado de Riesgo alto es obligatorio con independencia del puntaje.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cuenta con un modelo de evaluación de Riesgos que clasifica a sus Clientes o Usuarias en los Grados de Riesgo [BAJO], [MEDIO] y [ALTO], coherente con la metodología prevista en el Capítulo II Quáter de las Reglas.</w:t>
            </w:r>
          </w:p>
          <w:p>
            <w:pPr>
              <w:spacing w:after="80" w:line="264"/>
            </w:pPr>
            <w:r>
              <w:rPr>
                <w:rFonts w:ascii="Arial" w:cs="Arial" w:eastAsia="Arial" w:hAnsi="Arial"/>
                <w:color w:val="1F2937"/>
                <w:sz w:val="19"/>
                <w:szCs w:val="19"/>
              </w:rPr>
              <w:t xml:space="preserve">El modelo agrupa sus factores en los cuatro elementos siguientes: a) actos u operaciones; b) tipo de personas Clientes o Usuarias; c) países y áreas geográficas; d) transacciones y canales de envío o distribución. A cada elemento se le asigna un valor en función de su importancia, conforme al diseño descrito en el apartado 16.</w:t>
            </w:r>
          </w:p>
          <w:p>
            <w:pPr>
              <w:spacing w:after="80" w:line="264"/>
            </w:pPr>
            <w:r>
              <w:rPr>
                <w:rFonts w:ascii="Arial" w:cs="Arial" w:eastAsia="Arial" w:hAnsi="Arial"/>
                <w:color w:val="1F2937"/>
                <w:sz w:val="19"/>
                <w:szCs w:val="19"/>
              </w:rPr>
              <w:t xml:space="preserve">La clasificación de cada Cliente o Usuaria se revisará cuando menos [SEMESTRALMENTE], y en todo caso cuando se presente un hecho que modifique de manera relevante su perfil, la operación pretendida o los datos que sirvieron de base para la calificación original.</w:t>
            </w:r>
          </w:p>
          <w:p>
            <w:pPr>
              <w:spacing w:after="80" w:line="264"/>
            </w:pPr>
            <w:r>
              <w:rPr>
                <w:rFonts w:ascii="Arial" w:cs="Arial" w:eastAsia="Arial" w:hAnsi="Arial"/>
                <w:color w:val="1F2937"/>
                <w:sz w:val="19"/>
                <w:szCs w:val="19"/>
              </w:rPr>
              <w:t xml:space="preserve">Se asignará Grado de Riesgo alto, con independencia del resultado del modelo, en los supuestos que [DENOMINACIÓN] identifica en [ANEXO], entre ellos la condición de Persona Políticamente Expuesta cuando así proceda conforme a las Reglas.</w:t>
            </w:r>
          </w:p>
          <w:p>
            <w:pPr>
              <w:spacing w:after="80" w:line="264"/>
            </w:pPr>
            <w:r>
              <w:rPr>
                <w:rFonts w:ascii="Arial" w:cs="Arial" w:eastAsia="Arial" w:hAnsi="Arial"/>
                <w:color w:val="1F2937"/>
                <w:sz w:val="19"/>
                <w:szCs w:val="19"/>
              </w:rPr>
              <w:t xml:space="preserve">El resultado de la clasificación, los factores considerados y la fecha de cada recalificación se conservan por [DIEZ] años.</w:t>
            </w:r>
          </w:p>
        </w:tc>
      </w:tr>
    </w:tbl>
    <w:p>
      <w:pPr>
        <w:pStyle w:val="Heading2"/>
        <w:keepNext/>
        <w:spacing w:after="80" w:before="240"/>
      </w:pPr>
      <w:r>
        <w:rPr>
          <w:rFonts w:ascii="Arial" w:cs="Arial" w:eastAsia="Arial" w:hAnsi="Arial"/>
          <w:b/>
          <w:bCs/>
          <w:color w:val="12224A"/>
          <w:sz w:val="22"/>
          <w:szCs w:val="22"/>
        </w:rPr>
        <w:t xml:space="preserve">3.2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matriz con la calificación de cada Cliente y la fecha en que se calculó.</w:t>
      </w:r>
    </w:p>
    <w:p>
      <w:pPr>
        <w:spacing w:after="60" w:line="264"/>
        <w:ind w:left="340" w:hanging="200"/>
      </w:pPr>
      <w:r>
        <w:rPr>
          <w:rFonts w:ascii="Arial" w:cs="Arial" w:eastAsia="Arial" w:hAnsi="Arial"/>
          <w:color w:val="1F2937"/>
          <w:sz w:val="20"/>
          <w:szCs w:val="20"/>
        </w:rPr>
        <w:t xml:space="preserve">· El histórico de cambios de Grado de Riesgo, que el mecanismo automatizado debe conservar por al menos diez años.</w:t>
      </w:r>
    </w:p>
    <w:p>
      <w:pPr>
        <w:spacing w:after="60" w:line="264"/>
        <w:ind w:left="340" w:hanging="200"/>
      </w:pPr>
      <w:r>
        <w:rPr>
          <w:rFonts w:ascii="Arial" w:cs="Arial" w:eastAsia="Arial" w:hAnsi="Arial"/>
          <w:color w:val="1F2937"/>
          <w:sz w:val="20"/>
          <w:szCs w:val="20"/>
        </w:rPr>
        <w:t xml:space="preserve">· La prueba de límite: llevar todos los factores de un Cliente al peor valor posible y verificar que el modelo alcanza el Grado alto. Un modelo que estructuralmente no puede reprobar a nadie no cumple.</w:t>
      </w:r>
    </w:p>
    <w:p>
      <w:pPr>
        <w:pStyle w:val="Heading1"/>
        <w:pageBreakBefore/>
        <w:spacing w:after="60" w:before="0"/>
      </w:pPr>
      <w:r>
        <w:rPr>
          <w:rFonts w:ascii="Arial" w:cs="Arial" w:eastAsia="Arial" w:hAnsi="Arial"/>
          <w:b/>
          <w:bCs/>
          <w:color w:val="12224A"/>
          <w:sz w:val="26"/>
          <w:szCs w:val="26"/>
        </w:rPr>
        <w:t xml:space="preserve">4. Medidas de debida diligencia aplicables conforme al Grado de Riesgo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III</w:t>
      </w:r>
      <w:r>
        <w:rPr>
          <w:rFonts w:ascii="Arial" w:cs="Arial" w:eastAsia="Arial" w:hAnsi="Arial"/>
          <w:i/>
          <w:iCs/>
          <w:color w:val="6B7280"/>
          <w:sz w:val="17"/>
          <w:szCs w:val="17"/>
        </w:rPr>
        <w:t xml:space="preserve"> — «Las medidas de debida diligencia aplicables conforme al Grado de Riesgo de cada Cliente o Usuaria»</w:t>
      </w:r>
    </w:p>
    <w:p>
      <w:pPr>
        <w:pStyle w:val="Heading2"/>
        <w:keepNext/>
        <w:spacing w:after="80" w:before="240"/>
      </w:pPr>
      <w:r>
        <w:rPr>
          <w:rFonts w:ascii="Arial" w:cs="Arial" w:eastAsia="Arial" w:hAnsi="Arial"/>
          <w:b/>
          <w:bCs/>
          <w:color w:val="12224A"/>
          <w:sz w:val="22"/>
          <w:szCs w:val="22"/>
        </w:rPr>
        <w:t xml:space="preserve">4.1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se hace de más en el Grado alto y qué se puede hacer de menos en el bajo.</w:t>
      </w:r>
    </w:p>
    <w:p>
      <w:pPr>
        <w:spacing w:after="60" w:line="264"/>
        <w:ind w:left="340" w:hanging="200"/>
      </w:pPr>
      <w:r>
        <w:rPr>
          <w:rFonts w:ascii="Arial" w:cs="Arial" w:eastAsia="Arial" w:hAnsi="Arial"/>
          <w:color w:val="1F2937"/>
          <w:sz w:val="20"/>
          <w:szCs w:val="20"/>
        </w:rPr>
        <w:t xml:space="preserve">· El cuestionario de origen y destino de recursos que el Grado alto obliga a aplicar.</w:t>
      </w:r>
    </w:p>
    <w:p>
      <w:pPr>
        <w:spacing w:after="60" w:line="264"/>
        <w:ind w:left="340" w:hanging="200"/>
      </w:pPr>
      <w:r>
        <w:rPr>
          <w:rFonts w:ascii="Arial" w:cs="Arial" w:eastAsia="Arial" w:hAnsi="Arial"/>
          <w:color w:val="1F2937"/>
          <w:sz w:val="20"/>
          <w:szCs w:val="20"/>
        </w:rPr>
        <w:t xml:space="preserve">· Para personas físicas de Grado alto, hasta dónde llega la información del cónyuge, dependientes económicos y sociedades con vínculos patrimoniales.</w:t>
      </w:r>
    </w:p>
    <w:p>
      <w:pPr>
        <w:spacing w:after="60" w:line="264"/>
        <w:ind w:left="340" w:hanging="200"/>
      </w:pPr>
      <w:r>
        <w:rPr>
          <w:rFonts w:ascii="Arial" w:cs="Arial" w:eastAsia="Arial" w:hAnsi="Arial"/>
          <w:color w:val="1F2937"/>
          <w:sz w:val="20"/>
          <w:szCs w:val="20"/>
        </w:rPr>
        <w:t xml:space="preserve">· Para personas morales de Grado alto, la consulta a los registros electrónicos de la Secretaría de Economía.</w:t>
      </w:r>
    </w:p>
    <w:p>
      <w:pPr>
        <w:spacing w:after="60" w:line="264"/>
        <w:ind w:left="340" w:hanging="200"/>
      </w:pPr>
      <w:r>
        <w:rPr>
          <w:rFonts w:ascii="Arial" w:cs="Arial" w:eastAsia="Arial" w:hAnsi="Arial"/>
          <w:color w:val="1F2937"/>
          <w:sz w:val="20"/>
          <w:szCs w:val="20"/>
        </w:rPr>
        <w:t xml:space="preserve">· Si se aplican medidas simplificadas y bajo qué condición.</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Tratándose de Clientes o Usuarias con Grado de Riesgo alto, [DENOMINACIÓN] requerirá mayor información sobre su actividad preponderante y realizará una revisión y monitoreo más estricto de su comportamiento transaccional.</w:t>
            </w:r>
          </w:p>
          <w:p>
            <w:pPr>
              <w:spacing w:after="80" w:line="264"/>
            </w:pPr>
            <w:r>
              <w:rPr>
                <w:rFonts w:ascii="Arial" w:cs="Arial" w:eastAsia="Arial" w:hAnsi="Arial"/>
                <w:color w:val="1F2937"/>
                <w:sz w:val="19"/>
                <w:szCs w:val="19"/>
              </w:rPr>
              <w:t xml:space="preserve">A esos Clientes, y a los nuevos que se clasifiquen como tales, se les aplicará el cuestionario de identificación contenido en [ANEXO], para obtener mayor información sobre el origen y destino de los recursos y de los actos u operaciones que realicen o pretendan llevar a cabo. El cuestionario podrá realizarse por medios digitales o electrónicos, en cuyo caso contendrá la Firma Electrónica de quien lo suscriba.</w:t>
            </w:r>
          </w:p>
          <w:p>
            <w:pPr>
              <w:spacing w:after="80" w:line="264"/>
            </w:pPr>
            <w:r>
              <w:rPr>
                <w:rFonts w:ascii="Arial" w:cs="Arial" w:eastAsia="Arial" w:hAnsi="Arial"/>
                <w:color w:val="1F2937"/>
                <w:sz w:val="19"/>
                <w:szCs w:val="19"/>
              </w:rPr>
              <w:t xml:space="preserve">En operaciones con personas físicas de Grado de Riesgo alto se adoptarán medidas reforzadas para conocer el origen y destino de los recursos y se obtendrán, en su caso, los datos del Capítulo III de las Reglas respecto del cónyuge y dependientes económicos, así como de las sociedades y asociaciones con las que mantenga vínculos patrimoniales.</w:t>
            </w:r>
          </w:p>
          <w:p>
            <w:pPr>
              <w:spacing w:after="80" w:line="264"/>
            </w:pPr>
            <w:r>
              <w:rPr>
                <w:rFonts w:ascii="Arial" w:cs="Arial" w:eastAsia="Arial" w:hAnsi="Arial"/>
                <w:color w:val="1F2937"/>
                <w:sz w:val="19"/>
                <w:szCs w:val="19"/>
              </w:rPr>
              <w:t xml:space="preserve">En operaciones con personas morales de Grado de Riesgo alto se obtendrá mayor información de sus principales accionistas o socios y se consultarán los registros electrónicos de la Secretaría de Economía para verificar la información proporcionada.</w:t>
            </w:r>
          </w:p>
          <w:p>
            <w:pPr>
              <w:spacing w:after="80" w:line="264"/>
            </w:pPr>
            <w:r>
              <w:rPr>
                <w:rFonts w:ascii="Arial" w:cs="Arial" w:eastAsia="Arial" w:hAnsi="Arial"/>
                <w:color w:val="1F2937"/>
                <w:sz w:val="19"/>
                <w:szCs w:val="19"/>
              </w:rPr>
              <w:t>[Si aplican medidas simplificadas: Cuando concurran las dos condiciones —que el Riesgo de [DENOMINACIÓN] haya sido evaluado como bajo conforme al artículo 15 del Reglamento, y que la persona Cliente o Usuaria esté clasificada como de bajo Riesgo conforme al Capítulo III Bis de las Reglas, en términos del artículo 17 de las mismas—, [DENOMINACIÓN] podrá integrar el expediente únicamente con los datos de los Anexos que correspondan y cumplir la obligación de recabar copia del documento de identificación oficial mediante el resguardo de los datos señalados en dicho documento, solicitando su exhibición en original o copia certificada.]</w:t>
            </w:r>
          </w:p>
        </w:tc>
      </w:tr>
    </w:tbl>
    <w:p>
      <w:pPr>
        <w:pStyle w:val="Heading2"/>
        <w:keepNext/>
        <w:spacing w:after="80" w:before="240"/>
      </w:pPr>
      <w:r>
        <w:rPr>
          <w:rFonts w:ascii="Arial" w:cs="Arial" w:eastAsia="Arial" w:hAnsi="Arial"/>
          <w:b/>
          <w:bCs/>
          <w:color w:val="12224A"/>
          <w:sz w:val="22"/>
          <w:szCs w:val="22"/>
        </w:rPr>
        <w:t xml:space="preserve">4.2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Los cuestionarios efectivamente aplicados, firmados, con fecha anterior o simultánea a la operación.</w:t>
      </w:r>
    </w:p>
    <w:p>
      <w:pPr>
        <w:spacing w:after="60" w:line="264"/>
        <w:ind w:left="340" w:hanging="200"/>
      </w:pPr>
      <w:r>
        <w:rPr>
          <w:rFonts w:ascii="Arial" w:cs="Arial" w:eastAsia="Arial" w:hAnsi="Arial"/>
          <w:color w:val="1F2937"/>
          <w:sz w:val="20"/>
          <w:szCs w:val="20"/>
        </w:rPr>
        <w:t xml:space="preserve">· La constancia de la consulta a los registros de la Secretaría de Economía, con fecha.</w:t>
      </w:r>
    </w:p>
    <w:p>
      <w:pPr>
        <w:spacing w:after="60" w:line="264"/>
        <w:ind w:left="340" w:hanging="200"/>
      </w:pPr>
      <w:r>
        <w:rPr>
          <w:rFonts w:ascii="Arial" w:cs="Arial" w:eastAsia="Arial" w:hAnsi="Arial"/>
          <w:color w:val="1F2937"/>
          <w:sz w:val="20"/>
          <w:szCs w:val="20"/>
        </w:rPr>
        <w:t xml:space="preserve">· La trazabilidad entre el Grado de Riesgo asignado y las medidas que efectivamente se aplicaron: es aquí donde un manual se cae, porque el grado se calcula y la medida no se ejecuta.</w:t>
      </w:r>
    </w:p>
    <w:p>
      <w:pPr>
        <w:pStyle w:val="Heading1"/>
        <w:pageBreakBefore/>
        <w:spacing w:after="60" w:before="0"/>
      </w:pPr>
      <w:r>
        <w:rPr>
          <w:rFonts w:ascii="Arial" w:cs="Arial" w:eastAsia="Arial" w:hAnsi="Arial"/>
          <w:b/>
          <w:bCs/>
          <w:color w:val="12224A"/>
          <w:sz w:val="26"/>
          <w:szCs w:val="26"/>
        </w:rPr>
        <w:t xml:space="preserve">5. Identificación y seguimiento reforzado de Personas Políticamente Expuestas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IV</w:t>
      </w:r>
      <w:r>
        <w:rPr>
          <w:rFonts w:ascii="Arial" w:cs="Arial" w:eastAsia="Arial" w:hAnsi="Arial"/>
          <w:i/>
          <w:iCs/>
          <w:color w:val="6B7280"/>
          <w:sz w:val="17"/>
          <w:szCs w:val="17"/>
        </w:rPr>
        <w:t xml:space="preserve"> — «Los procedimientos para la identificación y seguimiento reforzado de Personas Políticamente Expuestas»</w:t>
      </w:r>
    </w:p>
    <w:p>
      <w:pPr>
        <w:pStyle w:val="Heading2"/>
        <w:keepNext/>
        <w:spacing w:after="80" w:before="240"/>
      </w:pPr>
      <w:r>
        <w:rPr>
          <w:rFonts w:ascii="Arial" w:cs="Arial" w:eastAsia="Arial" w:hAnsi="Arial"/>
          <w:b/>
          <w:bCs/>
          <w:color w:val="12224A"/>
          <w:sz w:val="22"/>
          <w:szCs w:val="22"/>
        </w:rPr>
        <w:t xml:space="preserve">5.1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pregunta y cómo se verifica la condición de PEP en el alta del Cliente.</w:t>
      </w:r>
    </w:p>
    <w:p>
      <w:pPr>
        <w:spacing w:after="60" w:line="264"/>
        <w:ind w:left="340" w:hanging="200"/>
      </w:pPr>
      <w:r>
        <w:rPr>
          <w:rFonts w:ascii="Arial" w:cs="Arial" w:eastAsia="Arial" w:hAnsi="Arial"/>
          <w:color w:val="1F2937"/>
          <w:sz w:val="20"/>
          <w:szCs w:val="20"/>
        </w:rPr>
        <w:t xml:space="preserve">· Que la definición alcanza a nacionales y extranjeras, y que se asimilan cónyuge, concubina, concubinario, parentesco por consanguinidad o afinidad hasta segundo grado, y socios o asociados con vínculos patrimoniales.</w:t>
      </w:r>
    </w:p>
    <w:p>
      <w:pPr>
        <w:spacing w:after="60" w:line="264"/>
        <w:ind w:left="340" w:hanging="200"/>
      </w:pPr>
      <w:r>
        <w:rPr>
          <w:rFonts w:ascii="Arial" w:cs="Arial" w:eastAsia="Arial" w:hAnsi="Arial"/>
          <w:color w:val="1F2937"/>
          <w:sz w:val="20"/>
          <w:szCs w:val="20"/>
        </w:rPr>
        <w:t xml:space="preserve">· La regla del año: quien dejó el cargo sigue siendo PEP nacional durante el año siguiente, y quien lo dejó dentro del año anterior a la operación se cataloga como tal durante el año siguiente a esa operación.</w:t>
      </w:r>
    </w:p>
    <w:p>
      <w:pPr>
        <w:spacing w:after="60" w:line="264"/>
        <w:ind w:left="340" w:hanging="200"/>
      </w:pPr>
      <w:r>
        <w:rPr>
          <w:rFonts w:ascii="Arial" w:cs="Arial" w:eastAsia="Arial" w:hAnsi="Arial"/>
          <w:color w:val="1F2937"/>
          <w:sz w:val="20"/>
          <w:szCs w:val="20"/>
        </w:rPr>
        <w:t xml:space="preserve">· Quién autoriza operar con una PEP de Grado de Riesgo alto, y con qué formato.</w:t>
      </w:r>
    </w:p>
    <w:p>
      <w:pPr>
        <w:spacing w:after="60" w:line="264"/>
        <w:ind w:left="340" w:hanging="200"/>
      </w:pPr>
      <w:r>
        <w:rPr>
          <w:rFonts w:ascii="Arial" w:cs="Arial" w:eastAsia="Arial" w:hAnsi="Arial"/>
          <w:color w:val="1F2937"/>
          <w:sz w:val="20"/>
          <w:szCs w:val="20"/>
        </w:rPr>
        <w:t xml:space="preserve">· Qué se hace mientras la aplicación Consulta PEP 2.0 no está disponible.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En el alta de cada Cliente o Usuaria, [DENOMINACIÓN] recabará la manifestación sobre si desempeña o ha desempeñado funciones públicas en territorio nacional o en el extranjero, y verificará esa manifestación contra [FUENTES] antes de celebrar el acto u operación.</w:t>
            </w:r>
          </w:p>
          <w:p>
            <w:pPr>
              <w:spacing w:after="80" w:line="264"/>
            </w:pPr>
            <w:r>
              <w:rPr>
                <w:rFonts w:ascii="Arial" w:cs="Arial" w:eastAsia="Arial" w:hAnsi="Arial"/>
                <w:color w:val="1F2937"/>
                <w:sz w:val="19"/>
                <w:szCs w:val="19"/>
              </w:rPr>
              <w:t xml:space="preserve">Se considerarán Personas Políticamente Expuestas quienes desempeñan o han desempeñado funciones públicas nacionales o extranjeras y, por asimilación, el cónyuge, la concubina, el concubinario, quienes mantengan parentesco por consanguinidad o afinidad hasta el segundo grado, así como los asociados o socios de personas morales con las que mantengan vínculos patrimoniales.</w:t>
            </w:r>
          </w:p>
          <w:p>
            <w:pPr>
              <w:spacing w:after="80" w:line="264"/>
            </w:pPr>
            <w:r>
              <w:rPr>
                <w:rFonts w:ascii="Arial" w:cs="Arial" w:eastAsia="Arial" w:hAnsi="Arial"/>
                <w:color w:val="1F2937"/>
                <w:sz w:val="19"/>
                <w:szCs w:val="19"/>
              </w:rPr>
              <w:t xml:space="preserve">Tratándose de Personas Políticamente Expuestas nacionales, se conservará tal carácter durante el año siguiente a aquel en que hubiesen dejado el cargo. Cuando una persona deje de reunir las características dentro del año inmediato anterior a la fecha en que pretenda operar, se catalogará como tal durante el año siguiente a la realización del acto u operación.</w:t>
            </w:r>
          </w:p>
          <w:p>
            <w:pPr>
              <w:spacing w:after="80" w:line="264"/>
            </w:pPr>
            <w:r>
              <w:rPr>
                <w:rFonts w:ascii="Arial" w:cs="Arial" w:eastAsia="Arial" w:hAnsi="Arial"/>
                <w:color w:val="1F2937"/>
                <w:sz w:val="19"/>
                <w:szCs w:val="19"/>
              </w:rPr>
              <w:t xml:space="preserve">Cuando una persona reúna los requisitos para ser considerada Persona Políticamente Expuesta y además tenga Grado de Riesgo alto, se requerirá la aprobación de [CARGO DEL DIRECTIVO O SU EQUIVALENTE] que consienta el acto u operación, conforme al formato de [ANEXO]. Tratándose de persona física que realiza la Actividad Vulnerable, la aprobación se subsanará con constancia en la que se señalen los motivos considerados para realizar el acto u operación.</w:t>
            </w:r>
          </w:p>
          <w:p>
            <w:pPr>
              <w:spacing w:after="80" w:line="264"/>
            </w:pPr>
            <w:r>
              <w:rPr>
                <w:rFonts w:ascii="Arial" w:cs="Arial" w:eastAsia="Arial" w:hAnsi="Arial"/>
                <w:color w:val="1F2937"/>
                <w:sz w:val="19"/>
                <w:szCs w:val="19"/>
              </w:rPr>
              <w:t xml:space="preserve">En tanto no esté disponible la aplicación Consulta PEP 2.0 de la Unidad de Inteligencia Financiera, la verificación se realizará mediante [FUENTES], dejando constancia de la fecha, la fuente consultada y el resultado.</w:t>
            </w:r>
          </w:p>
        </w:tc>
      </w:tr>
    </w:tbl>
    <w:p>
      <w:pPr>
        <w:spacing w:after="140" w:line="240"/>
      </w:pPr>
      <w:r>
        <w:rPr>
          <w:rFonts w:ascii="Arial" w:cs="Arial" w:eastAsia="Arial" w:hAnsi="Arial"/>
          <w:i/>
          <w:iCs/>
          <w:color w:val="6B7280"/>
          <w:sz w:val="16"/>
          <w:szCs w:val="16"/>
        </w:rPr>
        <w:t xml:space="preserve">La condición de PEP no dispara por sí sola la aprobación de directivo. El RCG 23 Ter 5 exige que concurran dos condiciones: ser PEP y además tener Grado de Riesgo alto.</w:t>
      </w:r>
    </w:p>
    <w:p>
      <w:pPr>
        <w:pStyle w:val="Heading2"/>
        <w:keepNext/>
        <w:spacing w:after="80" w:before="240"/>
      </w:pPr>
      <w:r>
        <w:rPr>
          <w:rFonts w:ascii="Arial" w:cs="Arial" w:eastAsia="Arial" w:hAnsi="Arial"/>
          <w:b/>
          <w:bCs/>
          <w:color w:val="12224A"/>
          <w:sz w:val="22"/>
          <w:szCs w:val="22"/>
        </w:rPr>
        <w:t xml:space="preserve">5.2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manifestación del Cliente y la constancia de la verificación, con fecha y fuente.</w:t>
      </w:r>
    </w:p>
    <w:p>
      <w:pPr>
        <w:spacing w:after="60" w:line="264"/>
        <w:ind w:left="340" w:hanging="200"/>
      </w:pPr>
      <w:r>
        <w:rPr>
          <w:rFonts w:ascii="Arial" w:cs="Arial" w:eastAsia="Arial" w:hAnsi="Arial"/>
          <w:color w:val="1F2937"/>
          <w:sz w:val="20"/>
          <w:szCs w:val="20"/>
        </w:rPr>
        <w:t xml:space="preserve">· El formato de aprobación de directivo firmado, con la motivación escrita y no sólo la casilla marcada.</w:t>
      </w:r>
    </w:p>
    <w:p>
      <w:pPr>
        <w:spacing w:after="60" w:line="264"/>
        <w:ind w:left="340" w:hanging="200"/>
      </w:pPr>
      <w:r>
        <w:rPr>
          <w:rFonts w:ascii="Arial" w:cs="Arial" w:eastAsia="Arial" w:hAnsi="Arial"/>
          <w:color w:val="1F2937"/>
          <w:sz w:val="20"/>
          <w:szCs w:val="20"/>
        </w:rPr>
        <w:t xml:space="preserve">· El seguimiento intensificado documentado: alertas revisadas, no sólo alertas generadas.</w:t>
      </w:r>
    </w:p>
    <w:p>
      <w:pPr>
        <w:pStyle w:val="Heading1"/>
        <w:pageBreakBefore/>
        <w:spacing w:after="60" w:before="0"/>
      </w:pPr>
      <w:r>
        <w:rPr>
          <w:rFonts w:ascii="Arial" w:cs="Arial" w:eastAsia="Arial" w:hAnsi="Arial"/>
          <w:b/>
          <w:bCs/>
          <w:color w:val="12224A"/>
          <w:sz w:val="26"/>
          <w:szCs w:val="26"/>
        </w:rPr>
        <w:t xml:space="preserve">6. Detección de actos u operaciones fuera del Perfil transaccional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w:t>
      </w:r>
      <w:r>
        <w:rPr>
          <w:rFonts w:ascii="Arial" w:cs="Arial" w:eastAsia="Arial" w:hAnsi="Arial"/>
          <w:i/>
          <w:iCs/>
          <w:color w:val="6B7280"/>
          <w:sz w:val="17"/>
          <w:szCs w:val="17"/>
        </w:rPr>
        <w:t xml:space="preserve"> — «Los mecanismos para detectar actos u operaciones que se aparten del Perfil transaccional del Cliente o Usuaria»</w:t>
      </w:r>
    </w:p>
    <w:p>
      <w:pPr>
        <w:pStyle w:val="Heading2"/>
        <w:keepNext/>
        <w:spacing w:after="80" w:before="240"/>
      </w:pPr>
      <w:r>
        <w:rPr>
          <w:rFonts w:ascii="Arial" w:cs="Arial" w:eastAsia="Arial" w:hAnsi="Arial"/>
          <w:b/>
          <w:bCs/>
          <w:color w:val="12224A"/>
          <w:sz w:val="22"/>
          <w:szCs w:val="22"/>
        </w:rPr>
        <w:t xml:space="preserve">6.1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construye el Perfil transaccional esperado de cada Cliente y con qué datos.</w:t>
      </w:r>
    </w:p>
    <w:p>
      <w:pPr>
        <w:spacing w:after="60" w:line="264"/>
        <w:ind w:left="340" w:hanging="200"/>
      </w:pPr>
      <w:r>
        <w:rPr>
          <w:rFonts w:ascii="Arial" w:cs="Arial" w:eastAsia="Arial" w:hAnsi="Arial"/>
          <w:color w:val="1F2937"/>
          <w:sz w:val="20"/>
          <w:szCs w:val="20"/>
        </w:rPr>
        <w:t xml:space="preserve">· Contra qué se compara la operación real y con qué frecuencia.</w:t>
      </w:r>
    </w:p>
    <w:p>
      <w:pPr>
        <w:spacing w:after="60" w:line="264"/>
        <w:ind w:left="340" w:hanging="200"/>
      </w:pPr>
      <w:r>
        <w:rPr>
          <w:rFonts w:ascii="Arial" w:cs="Arial" w:eastAsia="Arial" w:hAnsi="Arial"/>
          <w:color w:val="1F2937"/>
          <w:sz w:val="20"/>
          <w:szCs w:val="20"/>
        </w:rPr>
        <w:t xml:space="preserve">· El ciclo completo de la alerta: generación, escalamiento, análisis, resolución y cierre documentado.</w:t>
      </w:r>
    </w:p>
    <w:p>
      <w:pPr>
        <w:spacing w:after="60" w:line="264"/>
        <w:ind w:left="340" w:hanging="200"/>
      </w:pPr>
      <w:r>
        <w:rPr>
          <w:rFonts w:ascii="Arial" w:cs="Arial" w:eastAsia="Arial" w:hAnsi="Arial"/>
          <w:color w:val="1F2937"/>
          <w:sz w:val="20"/>
          <w:szCs w:val="20"/>
        </w:rPr>
        <w:t xml:space="preserve">· Quién resuelve la alerta y en qué plazo.</w:t>
      </w:r>
    </w:p>
    <w:p>
      <w:pPr>
        <w:spacing w:after="60" w:line="264"/>
        <w:ind w:left="340" w:hanging="200"/>
      </w:pPr>
      <w:r>
        <w:rPr>
          <w:rFonts w:ascii="Arial" w:cs="Arial" w:eastAsia="Arial" w:hAnsi="Arial"/>
          <w:color w:val="1F2937"/>
          <w:sz w:val="20"/>
          <w:szCs w:val="20"/>
        </w:rPr>
        <w:t xml:space="preserve">· La relación entre la alerta y la decisión de presentar Aviso dentro de las veinticuatro horas.</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construirá para cada Cliente o Usuaria un Perfil transaccional esperado a partir de [DATOS], que se documentará en el expediente y se actualizará cuando menos [PERIODICIDAD].</w:t>
            </w:r>
          </w:p>
          <w:p>
            <w:pPr>
              <w:spacing w:after="80" w:line="264"/>
            </w:pPr>
            <w:r>
              <w:rPr>
                <w:rFonts w:ascii="Arial" w:cs="Arial" w:eastAsia="Arial" w:hAnsi="Arial"/>
                <w:color w:val="1F2937"/>
                <w:sz w:val="19"/>
                <w:szCs w:val="19"/>
              </w:rPr>
              <w:t xml:space="preserve">El monitoreo de los actos u operaciones se realizará de forma permanente, comparando la operación efectivamente realizada contra el Perfil transaccional esperado y contra los umbrales de acumulación aplicables.</w:t>
            </w:r>
          </w:p>
          <w:p>
            <w:pPr>
              <w:spacing w:after="80" w:line="264"/>
            </w:pPr>
            <w:r>
              <w:rPr>
                <w:rFonts w:ascii="Arial" w:cs="Arial" w:eastAsia="Arial" w:hAnsi="Arial"/>
                <w:color w:val="1F2937"/>
                <w:sz w:val="19"/>
                <w:szCs w:val="19"/>
              </w:rPr>
              <w:t xml:space="preserve">Toda alerta se registrará en la bitácora de [ANEXO], indicando fecha y hora de generación, Cliente, operación, criterio que la disparó, persona que la analizó, resultado del análisis y fecha de cierre.</w:t>
            </w:r>
          </w:p>
          <w:p>
            <w:pPr>
              <w:spacing w:after="80" w:line="264"/>
            </w:pPr>
            <w:r>
              <w:rPr>
                <w:rFonts w:ascii="Arial" w:cs="Arial" w:eastAsia="Arial" w:hAnsi="Arial"/>
                <w:color w:val="1F2937"/>
                <w:sz w:val="19"/>
                <w:szCs w:val="19"/>
              </w:rPr>
              <w:t xml:space="preserve">El análisis de la alerta se resolverá en un plazo máximo de [PLAZO] y su cierre requerirá la constancia escrita del razonamiento, con independencia de que el resultado sea o no la presentación de un Aviso.</w:t>
            </w:r>
          </w:p>
          <w:p>
            <w:pPr>
              <w:spacing w:after="80" w:line="264"/>
            </w:pPr>
            <w:r>
              <w:rPr>
                <w:rFonts w:ascii="Arial" w:cs="Arial" w:eastAsia="Arial" w:hAnsi="Arial"/>
                <w:color w:val="1F2937"/>
                <w:sz w:val="19"/>
                <w:szCs w:val="19"/>
              </w:rPr>
              <w:t xml:space="preserve">Una alerta cerrada sin Aviso no es una alerta fallida: es evidencia de que el control opera. La ausencia total de alertas en un periodo se documentará y explicará.</w:t>
            </w:r>
          </w:p>
        </w:tc>
      </w:tr>
    </w:tbl>
    <w:p>
      <w:pPr>
        <w:pStyle w:val="Heading2"/>
        <w:keepNext/>
        <w:spacing w:after="80" w:before="240"/>
      </w:pPr>
      <w:r>
        <w:rPr>
          <w:rFonts w:ascii="Arial" w:cs="Arial" w:eastAsia="Arial" w:hAnsi="Arial"/>
          <w:b/>
          <w:bCs/>
          <w:color w:val="12224A"/>
          <w:sz w:val="22"/>
          <w:szCs w:val="22"/>
        </w:rPr>
        <w:t xml:space="preserve">6.2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bitácora de alertas completa, con cierres razonados y no sólo con marcas de cerrado.</w:t>
      </w:r>
    </w:p>
    <w:p>
      <w:pPr>
        <w:spacing w:after="60" w:line="264"/>
        <w:ind w:left="340" w:hanging="200"/>
      </w:pPr>
      <w:r>
        <w:rPr>
          <w:rFonts w:ascii="Arial" w:cs="Arial" w:eastAsia="Arial" w:hAnsi="Arial"/>
          <w:color w:val="1F2937"/>
          <w:sz w:val="20"/>
          <w:szCs w:val="20"/>
        </w:rPr>
        <w:t xml:space="preserve">· El histórico del perfil transaccional, que el mecanismo automatizado debe conservar por al menos diez años.</w:t>
      </w:r>
    </w:p>
    <w:p>
      <w:pPr>
        <w:spacing w:after="60" w:line="264"/>
        <w:ind w:left="340" w:hanging="200"/>
      </w:pPr>
      <w:r>
        <w:rPr>
          <w:rFonts w:ascii="Arial" w:cs="Arial" w:eastAsia="Arial" w:hAnsi="Arial"/>
          <w:color w:val="1F2937"/>
          <w:sz w:val="20"/>
          <w:szCs w:val="20"/>
        </w:rPr>
        <w:t xml:space="preserve">· La consistencia entre las alertas cerradas con Aviso y los acuses del Portal.</w:t>
      </w:r>
    </w:p>
    <w:p>
      <w:pPr>
        <w:pStyle w:val="Heading1"/>
        <w:pageBreakBefore/>
        <w:spacing w:after="60" w:before="0"/>
      </w:pPr>
      <w:r>
        <w:rPr>
          <w:rFonts w:ascii="Arial" w:cs="Arial" w:eastAsia="Arial" w:hAnsi="Arial"/>
          <w:b/>
          <w:bCs/>
          <w:color w:val="12224A"/>
          <w:sz w:val="26"/>
          <w:szCs w:val="26"/>
        </w:rPr>
        <w:t xml:space="preserve">7. Presentación de Avisos e Informes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VI</w:t>
      </w:r>
      <w:r>
        <w:rPr>
          <w:rFonts w:ascii="Arial" w:cs="Arial" w:eastAsia="Arial" w:hAnsi="Arial"/>
          <w:i/>
          <w:iCs/>
          <w:color w:val="6B7280"/>
          <w:sz w:val="17"/>
          <w:szCs w:val="17"/>
        </w:rPr>
        <w:t xml:space="preserve"> — «Los procedimientos para la presentación de Avisos e Informes en los tiempos y formas que establece la Ley»</w:t>
      </w:r>
    </w:p>
    <w:p>
      <w:pPr>
        <w:pStyle w:val="Heading2"/>
        <w:keepNext/>
        <w:spacing w:after="80" w:before="240"/>
      </w:pPr>
      <w:r>
        <w:rPr>
          <w:rFonts w:ascii="Arial" w:cs="Arial" w:eastAsia="Arial" w:hAnsi="Arial"/>
          <w:b/>
          <w:bCs/>
          <w:color w:val="12224A"/>
          <w:sz w:val="22"/>
          <w:szCs w:val="22"/>
        </w:rPr>
        <w:t xml:space="preserve">7.1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arma el Aviso, quién lo revisa y quién lo envía con e.firma.</w:t>
      </w:r>
    </w:p>
    <w:p>
      <w:pPr>
        <w:spacing w:after="60" w:line="264"/>
        <w:ind w:left="340" w:hanging="200"/>
      </w:pPr>
      <w:r>
        <w:rPr>
          <w:rFonts w:ascii="Arial" w:cs="Arial" w:eastAsia="Arial" w:hAnsi="Arial"/>
          <w:color w:val="1F2937"/>
          <w:sz w:val="20"/>
          <w:szCs w:val="20"/>
        </w:rPr>
        <w:t xml:space="preserve">· El plazo del Aviso ordinario y el del Aviso por sospecha, que son distintos y no se sustituyen entre sí.</w:t>
      </w:r>
    </w:p>
    <w:p>
      <w:pPr>
        <w:spacing w:after="60" w:line="264"/>
        <w:ind w:left="340" w:hanging="200"/>
      </w:pPr>
      <w:r>
        <w:rPr>
          <w:rFonts w:ascii="Arial" w:cs="Arial" w:eastAsia="Arial" w:hAnsi="Arial"/>
          <w:color w:val="1F2937"/>
          <w:sz w:val="20"/>
          <w:szCs w:val="20"/>
        </w:rPr>
        <w:t xml:space="preserve">· Que el Aviso por sospecha procede incluso si el acto u operación no se celebró.</w:t>
      </w:r>
    </w:p>
    <w:p>
      <w:pPr>
        <w:spacing w:after="60" w:line="264"/>
        <w:ind w:left="340" w:hanging="200"/>
      </w:pPr>
      <w:r>
        <w:rPr>
          <w:rFonts w:ascii="Arial" w:cs="Arial" w:eastAsia="Arial" w:hAnsi="Arial"/>
          <w:color w:val="1F2937"/>
          <w:sz w:val="20"/>
          <w:szCs w:val="20"/>
        </w:rPr>
        <w:t xml:space="preserve">· Qué se hace cuando el Portal no está disponible el día del envío.</w:t>
      </w:r>
    </w:p>
    <w:p>
      <w:pPr>
        <w:spacing w:after="60" w:line="264"/>
        <w:ind w:left="340" w:hanging="200"/>
      </w:pPr>
      <w:r>
        <w:rPr>
          <w:rFonts w:ascii="Arial" w:cs="Arial" w:eastAsia="Arial" w:hAnsi="Arial"/>
          <w:color w:val="1F2937"/>
          <w:sz w:val="20"/>
          <w:szCs w:val="20"/>
        </w:rPr>
        <w:t xml:space="preserve">· Dónde se guarda el acuse y cómo se concilia contra la contabilidad y los CFDI.</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presentará los Avisos e Informes que correspondan a su fracción del artículo 17 de la Ley, a través del Portal en Internet y con la Firma Electrónica Avanzada de [QUIÉN].</w:t>
            </w:r>
          </w:p>
          <w:p>
            <w:pPr>
              <w:spacing w:after="80" w:line="264"/>
            </w:pPr>
            <w:r>
              <w:rPr>
                <w:rFonts w:ascii="Arial" w:cs="Arial" w:eastAsia="Arial" w:hAnsi="Arial"/>
                <w:color w:val="1F2937"/>
                <w:sz w:val="19"/>
                <w:szCs w:val="19"/>
              </w:rPr>
              <w:t xml:space="preserve">Cuando exista sospecha o se cuente con información basada en hechos o indicios de que los recursos relacionados con los actos u operaciones pudieran provenir o estar destinados a la comisión de Delitos de Operaciones con Recursos de Procedencia Ilícita, se presentará Aviso dentro de las veinticuatro horas siguientes a aquella en que se tuvo conocimiento de la información o se generó la sospecha, incluso si el acto u operación no se celebró.</w:t>
            </w:r>
          </w:p>
          <w:p>
            <w:pPr>
              <w:spacing w:after="80" w:line="264"/>
            </w:pPr>
            <w:r>
              <w:rPr>
                <w:rFonts w:ascii="Arial" w:cs="Arial" w:eastAsia="Arial" w:hAnsi="Arial"/>
                <w:color w:val="1F2937"/>
                <w:sz w:val="19"/>
                <w:szCs w:val="19"/>
              </w:rPr>
              <w:t xml:space="preserve">El plazo de veinticuatro horas corre desde el conocimiento o la sospecha, no desde la operación. Para efectos de acreditar ese momento, se registrará en la bitácora de [ANEXO] la fecha y hora en que se generó la sospecha y quién la reportó.</w:t>
            </w:r>
          </w:p>
          <w:p>
            <w:pPr>
              <w:spacing w:after="80" w:line="264"/>
            </w:pPr>
            <w:r>
              <w:rPr>
                <w:rFonts w:ascii="Arial" w:cs="Arial" w:eastAsia="Arial" w:hAnsi="Arial"/>
                <w:color w:val="1F2937"/>
                <w:sz w:val="19"/>
                <w:szCs w:val="19"/>
              </w:rPr>
              <w:t xml:space="preserve">El acuse electrónico de cada Aviso se conservará junto con el soporte documental de la operación, y se conciliará cuando menos [PERIODICIDAD] contra los comprobantes fiscales digitales por internet emitidos en el periodo.</w:t>
            </w:r>
          </w:p>
          <w:p>
            <w:pPr>
              <w:spacing w:after="80" w:line="264"/>
            </w:pPr>
            <w:r>
              <w:rPr>
                <w:rFonts w:ascii="Arial" w:cs="Arial" w:eastAsia="Arial" w:hAnsi="Arial"/>
                <w:color w:val="1F2937"/>
                <w:sz w:val="19"/>
                <w:szCs w:val="19"/>
              </w:rPr>
              <w:t xml:space="preserve">Cuando por causas imputables a la autoridad no sea posible enviar el Aviso, se documentará la incidencia y se conservará la evidencia del intento.</w:t>
            </w:r>
          </w:p>
        </w:tc>
      </w:tr>
    </w:tbl>
    <w:p>
      <w:pPr>
        <w:pStyle w:val="Heading2"/>
        <w:keepNext/>
        <w:spacing w:after="80" w:before="240"/>
      </w:pPr>
      <w:r>
        <w:rPr>
          <w:rFonts w:ascii="Arial" w:cs="Arial" w:eastAsia="Arial" w:hAnsi="Arial"/>
          <w:b/>
          <w:bCs/>
          <w:color w:val="12224A"/>
          <w:sz w:val="22"/>
          <w:szCs w:val="22"/>
        </w:rPr>
        <w:t xml:space="preserve">7.2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Los acuses electrónicos, completos y por periodo.</w:t>
      </w:r>
    </w:p>
    <w:p>
      <w:pPr>
        <w:spacing w:after="60" w:line="264"/>
        <w:ind w:left="340" w:hanging="200"/>
      </w:pPr>
      <w:r>
        <w:rPr>
          <w:rFonts w:ascii="Arial" w:cs="Arial" w:eastAsia="Arial" w:hAnsi="Arial"/>
          <w:color w:val="1F2937"/>
          <w:sz w:val="20"/>
          <w:szCs w:val="20"/>
        </w:rPr>
        <w:t xml:space="preserve">· La conciliación firmada entre Avisos presentados y CFDI del periodo. El Servicio de Administración Tributaria presume cierta la información contenida en los CFDI: si su Aviso dice otra cosa, quien tiene que explicarse es usted.</w:t>
      </w:r>
    </w:p>
    <w:p>
      <w:pPr>
        <w:spacing w:after="60" w:line="264"/>
        <w:ind w:left="340" w:hanging="200"/>
      </w:pPr>
      <w:r>
        <w:rPr>
          <w:rFonts w:ascii="Arial" w:cs="Arial" w:eastAsia="Arial" w:hAnsi="Arial"/>
          <w:color w:val="1F2937"/>
          <w:sz w:val="20"/>
          <w:szCs w:val="20"/>
        </w:rPr>
        <w:t xml:space="preserve">· La bitácora de operaciones intentadas y no concretadas.</w:t>
      </w:r>
    </w:p>
    <w:p>
      <w:pPr>
        <w:pStyle w:val="Heading1"/>
        <w:pageBreakBefore/>
        <w:spacing w:after="60" w:before="0"/>
      </w:pPr>
      <w:r>
        <w:rPr>
          <w:rFonts w:ascii="Arial" w:cs="Arial" w:eastAsia="Arial" w:hAnsi="Arial"/>
          <w:b/>
          <w:bCs/>
          <w:color w:val="12224A"/>
          <w:sz w:val="26"/>
          <w:szCs w:val="26"/>
        </w:rPr>
        <w:t xml:space="preserve">8. Conservación de información y documentación</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VII</w:t>
      </w:r>
      <w:r>
        <w:rPr>
          <w:rFonts w:ascii="Arial" w:cs="Arial" w:eastAsia="Arial" w:hAnsi="Arial"/>
          <w:i/>
          <w:iCs/>
          <w:color w:val="6B7280"/>
          <w:sz w:val="17"/>
          <w:szCs w:val="17"/>
        </w:rPr>
        <w:t xml:space="preserve"> — «Los mecanismos de conservación de información y documentación»</w:t>
      </w:r>
    </w:p>
    <w:p>
      <w:pPr>
        <w:pStyle w:val="Heading2"/>
        <w:keepNext/>
        <w:spacing w:after="80" w:before="240"/>
      </w:pPr>
      <w:r>
        <w:rPr>
          <w:rFonts w:ascii="Arial" w:cs="Arial" w:eastAsia="Arial" w:hAnsi="Arial"/>
          <w:b/>
          <w:bCs/>
          <w:color w:val="12224A"/>
          <w:sz w:val="22"/>
          <w:szCs w:val="22"/>
        </w:rPr>
        <w:t xml:space="preserve">8.1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se conserva: no sólo el expediente del Cliente, sino los registros que permitan reconstruir cada operación en lo individual, la correspondencia comercial y los resultados de los análisis previos.</w:t>
      </w:r>
    </w:p>
    <w:p>
      <w:pPr>
        <w:spacing w:after="60" w:line="264"/>
        <w:ind w:left="340" w:hanging="200"/>
      </w:pPr>
      <w:r>
        <w:rPr>
          <w:rFonts w:ascii="Arial" w:cs="Arial" w:eastAsia="Arial" w:hAnsi="Arial"/>
          <w:color w:val="1F2937"/>
          <w:sz w:val="20"/>
          <w:szCs w:val="20"/>
        </w:rPr>
        <w:t xml:space="preserve">· Dónde se conserva: el domicilio registrado ante la Secretaría para ese efecto.</w:t>
      </w:r>
    </w:p>
    <w:p>
      <w:pPr>
        <w:spacing w:after="60" w:line="264"/>
        <w:ind w:left="340" w:hanging="200"/>
      </w:pPr>
      <w:r>
        <w:rPr>
          <w:rFonts w:ascii="Arial" w:cs="Arial" w:eastAsia="Arial" w:hAnsi="Arial"/>
          <w:color w:val="1F2937"/>
          <w:sz w:val="20"/>
          <w:szCs w:val="20"/>
        </w:rPr>
        <w:t xml:space="preserve">· Por cuánto tiempo y, sobre todo, desde cuándo se cuenta cada uno de los tres plazos de diez años.</w:t>
      </w:r>
    </w:p>
    <w:p>
      <w:pPr>
        <w:spacing w:after="60" w:line="264"/>
        <w:ind w:left="340" w:hanging="200"/>
      </w:pPr>
      <w:r>
        <w:rPr>
          <w:rFonts w:ascii="Arial" w:cs="Arial" w:eastAsia="Arial" w:hAnsi="Arial"/>
          <w:color w:val="1F2937"/>
          <w:sz w:val="20"/>
          <w:szCs w:val="20"/>
        </w:rPr>
        <w:t xml:space="preserve">· Qué pasa con el plazo cuando se promueve un recurso o un juicio.</w:t>
      </w:r>
    </w:p>
    <w:p>
      <w:pPr>
        <w:spacing w:after="60" w:line="264"/>
        <w:ind w:left="340" w:hanging="200"/>
      </w:pPr>
      <w:r>
        <w:rPr>
          <w:rFonts w:ascii="Arial" w:cs="Arial" w:eastAsia="Arial" w:hAnsi="Arial"/>
          <w:color w:val="1F2937"/>
          <w:sz w:val="20"/>
          <w:szCs w:val="20"/>
        </w:rPr>
        <w:t xml:space="preserve">· Quién es responsable del resguardo y cómo se protege contra destrucción u ocultamiento.</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custodiará, protegerá y resguardará, evitando su destrucción u ocultamiento, la información y documentación que sirve de soporte a la Actividad Vulnerable, incluidos los registros de las operaciones realizadas que permitan su reconstrucción en lo individual, la correspondencia comercial que las partes se hubieran compartido para llevar a cabo la operación y los resultados de los análisis previos que en su caso se hayan realizado, así como la que identifica a las personas Clientes o Usuarias.</w:t>
            </w:r>
          </w:p>
          <w:p>
            <w:pPr>
              <w:spacing w:after="80" w:line="264"/>
            </w:pPr>
            <w:r>
              <w:rPr>
                <w:rFonts w:ascii="Arial" w:cs="Arial" w:eastAsia="Arial" w:hAnsi="Arial"/>
                <w:color w:val="1F2937"/>
                <w:sz w:val="19"/>
                <w:szCs w:val="19"/>
              </w:rPr>
              <w:t xml:space="preserve">Dicha información y documentación se conservará de manera [FÍSICA / ELECTRÓNICA] en el domicilio registrado ante la Secretaría para este efecto, por un plazo de al menos diez años contado a partir de la fecha de realización de la Actividad Vulnerable.</w:t>
            </w:r>
          </w:p>
          <w:p>
            <w:pPr>
              <w:spacing w:after="80" w:line="264"/>
            </w:pPr>
            <w:r>
              <w:rPr>
                <w:rFonts w:ascii="Arial" w:cs="Arial" w:eastAsia="Arial" w:hAnsi="Arial"/>
                <w:color w:val="1F2937"/>
                <w:sz w:val="19"/>
                <w:szCs w:val="19"/>
              </w:rPr>
              <w:t xml:space="preserve">Cuando se trate de información y documentación correspondiente a conceptos respecto de los cuales se hubiera promovido algún recurso o juicio, el plazo se interrumpirá en la fecha de su presentación y se reiniciará hasta que la resolución definitiva quede firme.</w:t>
            </w:r>
          </w:p>
          <w:p>
            <w:pPr>
              <w:spacing w:after="80" w:line="264"/>
            </w:pPr>
            <w:r>
              <w:rPr>
                <w:rFonts w:ascii="Arial" w:cs="Arial" w:eastAsia="Arial" w:hAnsi="Arial"/>
                <w:color w:val="1F2937"/>
                <w:sz w:val="19"/>
                <w:szCs w:val="19"/>
              </w:rPr>
              <w:t xml:space="preserve">La persona responsable del resguardo es [CARGO]. El acceso a la información conservada se registra en [BITÁCORA] y se restringe conforme al apartado 14 de este Manual.</w:t>
            </w:r>
          </w:p>
          <w:p>
            <w:pPr>
              <w:spacing w:after="80" w:line="264"/>
            </w:pPr>
            <w:r>
              <w:rPr>
                <w:rFonts w:ascii="Arial" w:cs="Arial" w:eastAsia="Arial" w:hAnsi="Arial"/>
                <w:color w:val="1F2937"/>
                <w:sz w:val="19"/>
                <w:szCs w:val="19"/>
              </w:rPr>
              <w:t xml:space="preserve">Con independencia de lo anterior, [DENOMINACIÓN] conservará de manera física o electrónica copia de los Avisos e Informes presentados, su documentación soporte y los acuses electrónicos generados, por un plazo no menor a diez años contado a partir de la fecha de presentación de los Avisos e Informes y de la emisión de los acuses respectivos, cumpliendo criterios de integridad, disponibilidad, auditabilidad y confidencialidad.</w:t>
            </w:r>
          </w:p>
          <w:p>
            <w:pPr>
              <w:spacing w:after="80" w:line="264"/>
            </w:pPr>
            <w:r>
              <w:rPr>
                <w:rFonts w:ascii="Arial" w:cs="Arial" w:eastAsia="Arial" w:hAnsi="Arial"/>
                <w:color w:val="1F2937"/>
                <w:sz w:val="19"/>
                <w:szCs w:val="19"/>
              </w:rPr>
              <w:t xml:space="preserve">La evidencia de los programas de capacitación se conserva por el mismo plazo de diez años, conforme al apartado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D1D5DB" w:sz="2"/>
              <w:left w:val="single" w:color="D1D5DB" w:sz="2"/>
              <w:bottom w:val="single" w:color="D1D5DB" w:sz="2"/>
              <w:right w:val="single" w:color="D1D5DB" w:sz="2"/>
            </w:tcBorders>
            <w:shd w:fill="F3F4F6"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TRES PLAZOS DE DIEZ AÑOS, TRES FECHAS DE ARRANQUE</w:t>
            </w:r>
          </w:p>
          <w:p>
            <w:pPr>
              <w:spacing w:after="80" w:line="264"/>
            </w:pPr>
            <w:r>
              <w:rPr>
                <w:rFonts w:ascii="Arial" w:cs="Arial" w:eastAsia="Arial" w:hAnsi="Arial"/>
                <w:color w:val="1F2937"/>
                <w:sz w:val="19"/>
                <w:szCs w:val="19"/>
              </w:rPr>
              <w:t xml:space="preserve">No es un solo plazo repetido. Son tres obligaciones distintas y cada una empieza a contar en un día diferente. Confundirlas es la forma más común de creer que se conserva bien.</w:t>
            </w:r>
          </w:p>
          <w:p>
            <w:pPr>
              <w:spacing w:after="80" w:line="264"/>
            </w:pPr>
            <w:r>
              <w:rPr>
                <w:rFonts w:ascii="Arial" w:cs="Arial" w:eastAsia="Arial" w:hAnsi="Arial"/>
                <w:color w:val="1F2937"/>
                <w:sz w:val="19"/>
                <w:szCs w:val="19"/>
              </w:rPr>
              <w:t xml:space="preserve">1. El soporte de la Actividad Vulnerable y el expediente del Cliente: diez años contados desde la FECHA DE REALIZACIÓN DE LA ACTIVIDAD VULNERABLE, en el domicilio registrado ante la Secretaría, con la excepción de la fracción XIV del artículo 17. Está en el SEGUNDO PÁRRAFO DE LA FRACCIÓN IV del artículo 18 de la Ley — la fracción no se agota en el primer párrafo.</w:t>
            </w:r>
          </w:p>
          <w:p>
            <w:pPr>
              <w:spacing w:after="80" w:line="264"/>
            </w:pPr>
            <w:r>
              <w:rPr>
                <w:rFonts w:ascii="Arial" w:cs="Arial" w:eastAsia="Arial" w:hAnsi="Arial"/>
                <w:color w:val="1F2937"/>
                <w:sz w:val="19"/>
                <w:szCs w:val="19"/>
              </w:rPr>
              <w:t xml:space="preserve">2. La copia de los Avisos e Informes, su documentación soporte y los acuses electrónicos: diez años contados desde la FECHA DE PRESENTACIÓN del Aviso y de la emisión del acuse. Está en el R 20, que además exige criterios de integridad, disponibilidad, auditabilidad y confidencialidad. El cómputo empieza a correr respecto de los actos u operaciones realizados el 17 de julio de 2025 (R Trans. Séptimo).</w:t>
            </w:r>
          </w:p>
          <w:p>
            <w:pPr>
              <w:spacing w:after="80" w:line="264"/>
            </w:pPr>
            <w:r>
              <w:rPr>
                <w:rFonts w:ascii="Arial" w:cs="Arial" w:eastAsia="Arial" w:hAnsi="Arial"/>
                <w:color w:val="1F2937"/>
                <w:sz w:val="19"/>
                <w:szCs w:val="19"/>
              </w:rPr>
              <w:t xml:space="preserve">3. La evidencia de los programas de capacitación: diez años, conforme al RCG 39 Bis 1, y se cuenta por evento de capacitación. Se desarrolla en el apartado 12.</w:t>
            </w:r>
          </w:p>
          <w:p>
            <w:pPr>
              <w:spacing w:after="80" w:line="264"/>
            </w:pPr>
            <w:r>
              <w:rPr>
                <w:rFonts w:ascii="Arial" w:cs="Arial" w:eastAsia="Arial" w:hAnsi="Arial"/>
                <w:color w:val="1F2937"/>
                <w:sz w:val="19"/>
                <w:szCs w:val="19"/>
              </w:rPr>
              <w:t xml:space="preserve">Una operación de enero y su Aviso de febrero no se destruyen el mismo día. Si su política de archivo tiene una sola fecha de purga, está mal construida.</w:t>
            </w:r>
          </w:p>
        </w:tc>
      </w:tr>
    </w:tbl>
    <w:p>
      <w:pPr>
        <w:pStyle w:val="Heading2"/>
        <w:keepNext/>
        <w:spacing w:after="80" w:before="240"/>
      </w:pPr>
      <w:r>
        <w:rPr>
          <w:rFonts w:ascii="Arial" w:cs="Arial" w:eastAsia="Arial" w:hAnsi="Arial"/>
          <w:b/>
          <w:bCs/>
          <w:color w:val="12224A"/>
          <w:sz w:val="22"/>
          <w:szCs w:val="22"/>
        </w:rPr>
        <w:t xml:space="preserve">8.2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Un inventario de expedientes con su ubicación física o electrónica.</w:t>
      </w:r>
    </w:p>
    <w:p>
      <w:pPr>
        <w:spacing w:after="60" w:line="264"/>
        <w:ind w:left="340" w:hanging="200"/>
      </w:pPr>
      <w:r>
        <w:rPr>
          <w:rFonts w:ascii="Arial" w:cs="Arial" w:eastAsia="Arial" w:hAnsi="Arial"/>
          <w:color w:val="1F2937"/>
          <w:sz w:val="20"/>
          <w:szCs w:val="20"/>
        </w:rPr>
        <w:t xml:space="preserve">· La política de respaldo y recuperación, si la conservación es electrónica.</w:t>
      </w:r>
    </w:p>
    <w:p>
      <w:pPr>
        <w:spacing w:after="60" w:line="264"/>
        <w:ind w:left="340" w:hanging="200"/>
      </w:pPr>
      <w:r>
        <w:rPr>
          <w:rFonts w:ascii="Arial" w:cs="Arial" w:eastAsia="Arial" w:hAnsi="Arial"/>
          <w:color w:val="1F2937"/>
          <w:sz w:val="20"/>
          <w:szCs w:val="20"/>
        </w:rPr>
        <w:t xml:space="preserve">· La coincidencia entre el domicilio donde efectivamente está el archivo y el domicilio registrado en el Padrón. Es una de las trampas más caras: el expediente perfecto guardado en la dirección equivocada.</w:t>
      </w:r>
    </w:p>
    <w:p>
      <w:pPr>
        <w:pStyle w:val="Heading1"/>
        <w:pageBreakBefore/>
        <w:spacing w:after="60" w:before="0"/>
      </w:pPr>
      <w:r>
        <w:rPr>
          <w:rFonts w:ascii="Arial" w:cs="Arial" w:eastAsia="Arial" w:hAnsi="Arial"/>
          <w:b/>
          <w:bCs/>
          <w:color w:val="12224A"/>
          <w:sz w:val="26"/>
          <w:szCs w:val="26"/>
        </w:rPr>
        <w:t xml:space="preserve">9. Seguimiento y acumulación de actos u operaciones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VIII</w:t>
      </w:r>
      <w:r>
        <w:rPr>
          <w:rFonts w:ascii="Arial" w:cs="Arial" w:eastAsia="Arial" w:hAnsi="Arial"/>
          <w:i/>
          <w:iCs/>
          <w:color w:val="6B7280"/>
          <w:sz w:val="17"/>
          <w:szCs w:val="17"/>
        </w:rPr>
        <w:t xml:space="preserve"> — «Los mecanismos para dar seguimiento y acumular actos u operaciones que en lo individual se celebren con las personas Clientes o Usuarias, cuyo monto por suma acumulada alcance o supere los umbrales establecidos en cada caso, para la presentación de Avisos»</w:t>
      </w:r>
    </w:p>
    <w:p>
      <w:pPr>
        <w:pStyle w:val="Heading2"/>
        <w:keepNext/>
        <w:spacing w:after="80" w:before="240"/>
      </w:pPr>
      <w:r>
        <w:rPr>
          <w:rFonts w:ascii="Arial" w:cs="Arial" w:eastAsia="Arial" w:hAnsi="Arial"/>
          <w:b/>
          <w:bCs/>
          <w:color w:val="12224A"/>
          <w:sz w:val="22"/>
          <w:szCs w:val="22"/>
        </w:rPr>
        <w:t xml:space="preserve">9.1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agrupan las operaciones del mismo Cliente para efectos de acumulación.</w:t>
      </w:r>
    </w:p>
    <w:p>
      <w:pPr>
        <w:spacing w:after="60" w:line="264"/>
        <w:ind w:left="340" w:hanging="200"/>
      </w:pPr>
      <w:r>
        <w:rPr>
          <w:rFonts w:ascii="Arial" w:cs="Arial" w:eastAsia="Arial" w:hAnsi="Arial"/>
          <w:color w:val="1F2937"/>
          <w:sz w:val="20"/>
          <w:szCs w:val="20"/>
        </w:rPr>
        <w:t xml:space="preserve">· El periodo de acumulación y, sobre todo, cómo se lee ese periodo.</w:t>
      </w:r>
    </w:p>
    <w:p>
      <w:pPr>
        <w:spacing w:after="60" w:line="264"/>
        <w:ind w:left="340" w:hanging="200"/>
      </w:pPr>
      <w:r>
        <w:rPr>
          <w:rFonts w:ascii="Arial" w:cs="Arial" w:eastAsia="Arial" w:hAnsi="Arial"/>
          <w:color w:val="1F2937"/>
          <w:sz w:val="20"/>
          <w:szCs w:val="20"/>
        </w:rPr>
        <w:t xml:space="preserve">· Qué se acumula cuando la fracción no tiene umbral de identificación.</w:t>
      </w:r>
    </w:p>
    <w:p>
      <w:pPr>
        <w:spacing w:after="60" w:line="264"/>
        <w:ind w:left="340" w:hanging="200"/>
      </w:pPr>
      <w:r>
        <w:rPr>
          <w:rFonts w:ascii="Arial" w:cs="Arial" w:eastAsia="Arial" w:hAnsi="Arial"/>
          <w:color w:val="1F2937"/>
          <w:sz w:val="20"/>
          <w:szCs w:val="20"/>
        </w:rPr>
        <w:t xml:space="preserve">· En qué momento exacto nace la obligación de avisar.</w:t>
      </w:r>
    </w:p>
    <w:p>
      <w:pPr>
        <w:spacing w:after="60" w:line="264"/>
        <w:ind w:left="340" w:hanging="200"/>
      </w:pPr>
      <w:r>
        <w:rPr>
          <w:rFonts w:ascii="Arial" w:cs="Arial" w:eastAsia="Arial" w:hAnsi="Arial"/>
          <w:color w:val="1F2937"/>
          <w:sz w:val="20"/>
          <w:szCs w:val="20"/>
        </w:rPr>
        <w:t xml:space="preserve">· Quién vigila el acumulado y con qué herramienta.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dará seguimiento a los actos u operaciones que en lo individual celebre con cada Cliente o Usuaria y los acumulará para efectos de la presentación de Avisos, agrupándolos por Cliente conforme al penúltimo párrafo del artículo 17 de la Ley.</w:t>
            </w:r>
          </w:p>
          <w:p>
            <w:pPr>
              <w:spacing w:after="80" w:line="264"/>
            </w:pPr>
            <w:r>
              <w:rPr>
                <w:rFonts w:ascii="Arial" w:cs="Arial" w:eastAsia="Arial" w:hAnsi="Arial"/>
                <w:color w:val="1F2937"/>
                <w:sz w:val="19"/>
                <w:szCs w:val="19"/>
              </w:rPr>
              <w:t xml:space="preserve">El Aviso se presenta en el momento en que la suma acumulada alcanza o supera el umbral aplicable, aun cuando no se haya agotado el periodo de acumulación. El periodo es de hasta seis meses, no de al menos seis meses: no hay que esperar a que se cumpla.</w:t>
            </w:r>
          </w:p>
          <w:p>
            <w:pPr>
              <w:spacing w:after="80" w:line="264"/>
            </w:pPr>
            <w:r>
              <w:rPr>
                <w:rFonts w:ascii="Arial" w:cs="Arial" w:eastAsia="Arial" w:hAnsi="Arial"/>
                <w:color w:val="1F2937"/>
                <w:sz w:val="19"/>
                <w:szCs w:val="19"/>
              </w:rPr>
              <w:t xml:space="preserve">Cuando la fracción del artículo 17 de la Ley que realiza [DENOMINACIÓN] no prevea umbral de identificación, se acumulará la totalidad de los actos u operaciones celebrados con el Cliente o Usuaria, desde el primero.</w:t>
            </w:r>
          </w:p>
          <w:p>
            <w:pPr>
              <w:spacing w:after="80" w:line="264"/>
            </w:pPr>
            <w:r>
              <w:rPr>
                <w:rFonts w:ascii="Arial" w:cs="Arial" w:eastAsia="Arial" w:hAnsi="Arial"/>
                <w:color w:val="1F2937"/>
                <w:sz w:val="19"/>
                <w:szCs w:val="19"/>
              </w:rPr>
              <w:t xml:space="preserve">El control del acumulado por Cliente se lleva en [HERRAMIENTA] y lo revisa [CARGO] con periodicidad [PERIODICIDAD]. El mecanismo automatizado deberá permitir agrupar las operaciones del mismo Cliente para este efecto.</w:t>
            </w:r>
          </w:p>
          <w:p>
            <w:pPr>
              <w:spacing w:after="80" w:line="264"/>
            </w:pPr>
            <w:r>
              <w:rPr>
                <w:rFonts w:ascii="Arial" w:cs="Arial" w:eastAsia="Arial" w:hAnsi="Arial"/>
                <w:color w:val="1F2937"/>
                <w:sz w:val="19"/>
                <w:szCs w:val="19"/>
              </w:rPr>
              <w:t xml:space="preserve">Un control que dependa de que alguien recuerde el acumulado de un Cliente no es un control.</w:t>
            </w:r>
          </w:p>
        </w:tc>
      </w:tr>
    </w:tbl>
    <w:p>
      <w:pPr>
        <w:pStyle w:val="Heading2"/>
        <w:keepNext/>
        <w:spacing w:after="80" w:before="240"/>
      </w:pPr>
      <w:r>
        <w:rPr>
          <w:rFonts w:ascii="Arial" w:cs="Arial" w:eastAsia="Arial" w:hAnsi="Arial"/>
          <w:b/>
          <w:bCs/>
          <w:color w:val="12224A"/>
          <w:sz w:val="22"/>
          <w:szCs w:val="22"/>
        </w:rPr>
        <w:t xml:space="preserve">9.2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reporte de acumulado por Cliente y periodo, con fecha de corte.</w:t>
      </w:r>
    </w:p>
    <w:p>
      <w:pPr>
        <w:spacing w:after="60" w:line="264"/>
        <w:ind w:left="340" w:hanging="200"/>
      </w:pPr>
      <w:r>
        <w:rPr>
          <w:rFonts w:ascii="Arial" w:cs="Arial" w:eastAsia="Arial" w:hAnsi="Arial"/>
          <w:color w:val="1F2937"/>
          <w:sz w:val="20"/>
          <w:szCs w:val="20"/>
        </w:rPr>
        <w:t xml:space="preserve">· La coincidencia entre la fecha en que el acumulado cruzó el umbral y la fecha del Aviso.</w:t>
      </w:r>
    </w:p>
    <w:p>
      <w:pPr>
        <w:spacing w:after="60" w:line="264"/>
        <w:ind w:left="340" w:hanging="200"/>
      </w:pPr>
      <w:r>
        <w:rPr>
          <w:rFonts w:ascii="Arial" w:cs="Arial" w:eastAsia="Arial" w:hAnsi="Arial"/>
          <w:color w:val="1F2937"/>
          <w:sz w:val="20"/>
          <w:szCs w:val="20"/>
        </w:rPr>
        <w:t xml:space="preserve">· El caso resuelto: cuatro operaciones de monto medio en cuatro meses, y el Aviso presentado en la cuarta, ese mismo día.</w:t>
      </w:r>
    </w:p>
    <w:p>
      <w:pPr>
        <w:pStyle w:val="Heading1"/>
        <w:pageBreakBefore/>
        <w:spacing w:after="60" w:before="0"/>
      </w:pPr>
      <w:r>
        <w:rPr>
          <w:rFonts w:ascii="Arial" w:cs="Arial" w:eastAsia="Arial" w:hAnsi="Arial"/>
          <w:b/>
          <w:bCs/>
          <w:color w:val="12224A"/>
          <w:sz w:val="26"/>
          <w:szCs w:val="26"/>
        </w:rPr>
        <w:t xml:space="preserve">10. Listas de personas y organizaciones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IX</w:t>
      </w:r>
      <w:r>
        <w:rPr>
          <w:rFonts w:ascii="Arial" w:cs="Arial" w:eastAsia="Arial" w:hAnsi="Arial"/>
          <w:i/>
          <w:iCs/>
          <w:color w:val="6B7280"/>
          <w:sz w:val="17"/>
          <w:szCs w:val="17"/>
        </w:rPr>
        <w:t xml:space="preserve"> — «Los mecanismos utilizados para identificar a las personas publicadas en las listas que emiten autoridades nacionales u organismos internacionales, para evitar el uso de recursos para el financiamiento de organizaciones delictivas, así como de otras actividades ilícitas»</w:t>
      </w:r>
    </w:p>
    <w:p>
      <w:pPr>
        <w:pStyle w:val="Heading2"/>
        <w:keepNext/>
        <w:spacing w:after="80" w:before="240"/>
      </w:pPr>
      <w:r>
        <w:rPr>
          <w:rFonts w:ascii="Arial" w:cs="Arial" w:eastAsia="Arial" w:hAnsi="Arial"/>
          <w:b/>
          <w:bCs/>
          <w:color w:val="12224A"/>
          <w:sz w:val="22"/>
          <w:szCs w:val="22"/>
        </w:rPr>
        <w:t xml:space="preserve">10.1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listas se consultan y de dónde se obtienen.</w:t>
      </w:r>
    </w:p>
    <w:p>
      <w:pPr>
        <w:spacing w:after="60" w:line="264"/>
        <w:ind w:left="340" w:hanging="200"/>
      </w:pPr>
      <w:r>
        <w:rPr>
          <w:rFonts w:ascii="Arial" w:cs="Arial" w:eastAsia="Arial" w:hAnsi="Arial"/>
          <w:color w:val="1F2937"/>
          <w:sz w:val="20"/>
          <w:szCs w:val="20"/>
        </w:rPr>
        <w:t xml:space="preserve">· En qué momento se consulta: alta del Cliente, recalificación, y antes de cada operación relevante.</w:t>
      </w:r>
    </w:p>
    <w:p>
      <w:pPr>
        <w:spacing w:after="60" w:line="264"/>
        <w:ind w:left="340" w:hanging="200"/>
      </w:pPr>
      <w:r>
        <w:rPr>
          <w:rFonts w:ascii="Arial" w:cs="Arial" w:eastAsia="Arial" w:hAnsi="Arial"/>
          <w:color w:val="1F2937"/>
          <w:sz w:val="20"/>
          <w:szCs w:val="20"/>
        </w:rPr>
        <w:t xml:space="preserve">· Qué se hace ante una coincidencia y ante una posible coincidencia.</w:t>
      </w:r>
    </w:p>
    <w:p>
      <w:pPr>
        <w:spacing w:after="60" w:line="264"/>
        <w:ind w:left="340" w:hanging="200"/>
      </w:pPr>
      <w:r>
        <w:rPr>
          <w:rFonts w:ascii="Arial" w:cs="Arial" w:eastAsia="Arial" w:hAnsi="Arial"/>
          <w:color w:val="1F2937"/>
          <w:sz w:val="20"/>
          <w:szCs w:val="20"/>
        </w:rPr>
        <w:t xml:space="preserve">· Cómo se documenta la consulta que no arrojó resultados, que es la mayoría.</w:t>
      </w:r>
    </w:p>
    <w:p>
      <w:pPr>
        <w:spacing w:after="60" w:line="264"/>
        <w:ind w:left="340" w:hanging="200"/>
      </w:pPr>
      <w:r>
        <w:rPr>
          <w:rFonts w:ascii="Arial" w:cs="Arial" w:eastAsia="Arial" w:hAnsi="Arial"/>
          <w:color w:val="1F2937"/>
          <w:sz w:val="20"/>
          <w:szCs w:val="20"/>
        </w:rPr>
        <w:t xml:space="preserve">· Cómo se atienden los mecanismos de prevención que emita la Unidad de Inteligencia Financiera.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consultará las listas emitidas por autoridades nacionales, así como por organismos internacionales o autoridades de otros países reconocidas como oficialmente emitidas en términos de los instrumentos internacionales de los que el Estado mexicano sea parte, respecto de las personas Clientes o Usuarias y, cuando corresponda, de sus Beneficiarios Controladores.</w:t>
            </w:r>
          </w:p>
          <w:p>
            <w:pPr>
              <w:spacing w:after="80" w:line="264"/>
            </w:pPr>
            <w:r>
              <w:rPr>
                <w:rFonts w:ascii="Arial" w:cs="Arial" w:eastAsia="Arial" w:hAnsi="Arial"/>
                <w:color w:val="1F2937"/>
                <w:sz w:val="19"/>
                <w:szCs w:val="19"/>
              </w:rPr>
              <w:t xml:space="preserve">La consulta se realizará [EN EL ALTA / ANTES DE CADA OPERACIÓN / CON PERIODICIDAD], dejando constancia de la fecha, la lista consultada, la versión o fecha de la lista y el resultado, incluso cuando el resultado sea negativo.</w:t>
            </w:r>
          </w:p>
          <w:p>
            <w:pPr>
              <w:spacing w:after="80" w:line="264"/>
            </w:pPr>
            <w:r>
              <w:rPr>
                <w:rFonts w:ascii="Arial" w:cs="Arial" w:eastAsia="Arial" w:hAnsi="Arial"/>
                <w:color w:val="1F2937"/>
                <w:sz w:val="19"/>
                <w:szCs w:val="19"/>
              </w:rPr>
              <w:t xml:space="preserve">Ante una coincidencia o una posible coincidencia se escalará de inmediato a la persona Representante Encargada de Cumplimiento, se suspenderá la operación en tanto se resuelve, y se evaluará la procedencia del Aviso dentro de las veinticuatro horas siguientes.</w:t>
            </w:r>
          </w:p>
          <w:p>
            <w:pPr>
              <w:spacing w:after="80" w:line="264"/>
            </w:pPr>
            <w:r>
              <w:rPr>
                <w:rFonts w:ascii="Arial" w:cs="Arial" w:eastAsia="Arial" w:hAnsi="Arial"/>
                <w:color w:val="1F2937"/>
                <w:sz w:val="19"/>
                <w:szCs w:val="19"/>
              </w:rPr>
              <w:t xml:space="preserve">[DENOMINACIÓN] adoptará los mecanismos de prevención que la Unidad de Inteligencia Financiera dé a conocer, directamente o a través de los órganos desconcentrados competentes de la Secretaría.</w:t>
            </w:r>
          </w:p>
          <w:p>
            <w:pPr>
              <w:spacing w:after="80" w:line="264"/>
            </w:pPr>
            <w:r>
              <w:rPr>
                <w:rFonts w:ascii="Arial" w:cs="Arial" w:eastAsia="Arial" w:hAnsi="Arial"/>
                <w:color w:val="1F2937"/>
                <w:sz w:val="19"/>
                <w:szCs w:val="19"/>
              </w:rPr>
              <w:t xml:space="preserve">El resultado negativo también se conserva: la evidencia de que se consultó es tan necesaria como la evidencia de lo que se encontró.</w:t>
            </w:r>
          </w:p>
        </w:tc>
      </w:tr>
    </w:tbl>
    <w:p>
      <w:pPr>
        <w:pStyle w:val="Heading2"/>
        <w:keepNext/>
        <w:spacing w:after="80" w:before="240"/>
      </w:pPr>
      <w:r>
        <w:rPr>
          <w:rFonts w:ascii="Arial" w:cs="Arial" w:eastAsia="Arial" w:hAnsi="Arial"/>
          <w:b/>
          <w:bCs/>
          <w:color w:val="12224A"/>
          <w:sz w:val="22"/>
          <w:szCs w:val="22"/>
        </w:rPr>
        <w:t xml:space="preserve">10.2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registro de consultas con fecha, versión de la lista y resultado.</w:t>
      </w:r>
    </w:p>
    <w:p>
      <w:pPr>
        <w:spacing w:after="60" w:line="264"/>
        <w:ind w:left="340" w:hanging="200"/>
      </w:pPr>
      <w:r>
        <w:rPr>
          <w:rFonts w:ascii="Arial" w:cs="Arial" w:eastAsia="Arial" w:hAnsi="Arial"/>
          <w:color w:val="1F2937"/>
          <w:sz w:val="20"/>
          <w:szCs w:val="20"/>
        </w:rPr>
        <w:t xml:space="preserve">· El expediente de las coincidencias escaladas, con la decisión y su fundamento.</w:t>
      </w:r>
    </w:p>
    <w:p>
      <w:pPr>
        <w:spacing w:after="60" w:line="264"/>
        <w:ind w:left="340" w:hanging="200"/>
      </w:pPr>
      <w:r>
        <w:rPr>
          <w:rFonts w:ascii="Arial" w:cs="Arial" w:eastAsia="Arial" w:hAnsi="Arial"/>
          <w:color w:val="1F2937"/>
          <w:sz w:val="20"/>
          <w:szCs w:val="20"/>
        </w:rPr>
        <w:t xml:space="preserve">· La evidencia de haber incorporado los mecanismos de prevención emitidos por la UIF.</w:t>
      </w:r>
    </w:p>
    <w:p>
      <w:pPr>
        <w:pStyle w:val="Heading1"/>
        <w:pageBreakBefore/>
        <w:spacing w:after="60" w:before="0"/>
      </w:pPr>
      <w:r>
        <w:rPr>
          <w:rFonts w:ascii="Arial" w:cs="Arial" w:eastAsia="Arial" w:hAnsi="Arial"/>
          <w:b/>
          <w:bCs/>
          <w:color w:val="12224A"/>
          <w:sz w:val="26"/>
          <w:szCs w:val="26"/>
        </w:rPr>
        <w:t xml:space="preserve">11. Funciones y responsabilidades de la Representante Encargada de Cumplimiento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w:t>
      </w:r>
      <w:r>
        <w:rPr>
          <w:rFonts w:ascii="Arial" w:cs="Arial" w:eastAsia="Arial" w:hAnsi="Arial"/>
          <w:i/>
          <w:iCs/>
          <w:color w:val="6B7280"/>
          <w:sz w:val="17"/>
          <w:szCs w:val="17"/>
        </w:rPr>
        <w:t xml:space="preserve"> — «Las funciones y responsabilidades de la persona Representante Encargada de Cumplimiento a que se refiere el artículo 20 de la Ley»</w:t>
      </w:r>
    </w:p>
    <w:p>
      <w:pPr>
        <w:pStyle w:val="Heading2"/>
        <w:keepNext/>
        <w:spacing w:after="80" w:before="240"/>
      </w:pPr>
      <w:r>
        <w:rPr>
          <w:rFonts w:ascii="Arial" w:cs="Arial" w:eastAsia="Arial" w:hAnsi="Arial"/>
          <w:b/>
          <w:bCs/>
          <w:color w:val="12224A"/>
          <w:sz w:val="22"/>
          <w:szCs w:val="22"/>
        </w:rPr>
        <w:t xml:space="preserve">11.1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es, cómo se designa y cómo se acredita que la designación está completa.</w:t>
      </w:r>
    </w:p>
    <w:p>
      <w:pPr>
        <w:spacing w:after="60" w:line="264"/>
        <w:ind w:left="340" w:hanging="200"/>
      </w:pPr>
      <w:r>
        <w:rPr>
          <w:rFonts w:ascii="Arial" w:cs="Arial" w:eastAsia="Arial" w:hAnsi="Arial"/>
          <w:color w:val="1F2937"/>
          <w:sz w:val="20"/>
          <w:szCs w:val="20"/>
        </w:rPr>
        <w:t xml:space="preserve">· Qué facultades tiene y de quién depende.</w:t>
      </w:r>
    </w:p>
    <w:p>
      <w:pPr>
        <w:spacing w:after="60" w:line="264"/>
        <w:ind w:left="340" w:hanging="200"/>
      </w:pPr>
      <w:r>
        <w:rPr>
          <w:rFonts w:ascii="Arial" w:cs="Arial" w:eastAsia="Arial" w:hAnsi="Arial"/>
          <w:color w:val="1F2937"/>
          <w:sz w:val="20"/>
          <w:szCs w:val="20"/>
        </w:rPr>
        <w:t xml:space="preserve">· Qué pasa mientras no hay designación aceptada.</w:t>
      </w:r>
    </w:p>
    <w:p>
      <w:pPr>
        <w:spacing w:after="60" w:line="264"/>
        <w:ind w:left="340" w:hanging="200"/>
      </w:pPr>
      <w:r>
        <w:rPr>
          <w:rFonts w:ascii="Arial" w:cs="Arial" w:eastAsia="Arial" w:hAnsi="Arial"/>
          <w:color w:val="1F2937"/>
          <w:sz w:val="20"/>
          <w:szCs w:val="20"/>
        </w:rPr>
        <w:t xml:space="preserve">· Cómo se protege su identidad.</w:t>
      </w:r>
    </w:p>
    <w:p>
      <w:pPr>
        <w:spacing w:after="60" w:line="264"/>
        <w:ind w:left="340" w:hanging="200"/>
      </w:pPr>
      <w:r>
        <w:rPr>
          <w:rFonts w:ascii="Arial" w:cs="Arial" w:eastAsia="Arial" w:hAnsi="Arial"/>
          <w:color w:val="1F2937"/>
          <w:sz w:val="20"/>
          <w:szCs w:val="20"/>
        </w:rPr>
        <w:t xml:space="preserve">· Cómo se reporta un cambio de RECC y en qué plazo.</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designa como Representante Encargada de Cumplimiento a [NOMBRE], persona física, y mantiene vigente dicha designación ante la Secretaría.</w:t>
            </w:r>
          </w:p>
          <w:p>
            <w:pPr>
              <w:spacing w:after="80" w:line="264"/>
            </w:pPr>
            <w:r>
              <w:rPr>
                <w:rFonts w:ascii="Arial" w:cs="Arial" w:eastAsia="Arial" w:hAnsi="Arial"/>
                <w:color w:val="1F2937"/>
                <w:sz w:val="19"/>
                <w:szCs w:val="19"/>
              </w:rPr>
              <w:t xml:space="preserve">La designación se entiende completa cuando la persona designada ingresa al Portal en Internet con su clave del Registro Federal de Contribuyentes y su certificado vigente de Firma Electrónica Avanzada y acepta la designación. En tanto no exista Representante Encargada de Cumplimiento o la designación no haya sido aceptada, el cumplimiento de las obligaciones que la Ley señala corresponde a [las personas integrantes del órgano de administración / quien funja como administrador único].</w:t>
            </w:r>
          </w:p>
          <w:p>
            <w:pPr>
              <w:spacing w:after="80" w:line="264"/>
            </w:pPr>
            <w:r>
              <w:rPr>
                <w:rFonts w:ascii="Arial" w:cs="Arial" w:eastAsia="Arial" w:hAnsi="Arial"/>
                <w:color w:val="1F2937"/>
                <w:sz w:val="19"/>
                <w:szCs w:val="19"/>
              </w:rPr>
              <w:t xml:space="preserve">El rechazo de la designación no libera a [DENOMINACIÓN] del cumplimiento de las obligaciones establecidas en la Ley, el Reglamento y las Reglas.</w:t>
            </w:r>
          </w:p>
          <w:p>
            <w:pPr>
              <w:spacing w:after="80" w:line="264"/>
            </w:pPr>
            <w:r>
              <w:rPr>
                <w:rFonts w:ascii="Arial" w:cs="Arial" w:eastAsia="Arial" w:hAnsi="Arial"/>
                <w:color w:val="1F2937"/>
                <w:sz w:val="19"/>
                <w:szCs w:val="19"/>
              </w:rPr>
              <w:t xml:space="preserve">Son funciones de la Representante Encargada de Cumplimiento: [vigilar la aplicación de este Manual; resolver las alertas escaladas; decidir la presentación de los Avisos por sospecha; atender los requerimientos de la autoridad; proponer al [ÓRGANO] las actualizaciones del Manual; verificar cuando menos una vez al año que los expedientes estén completos; y coordinar el programa anual de capacitación].</w:t>
            </w:r>
          </w:p>
          <w:p>
            <w:pPr>
              <w:spacing w:after="80" w:line="264"/>
            </w:pPr>
            <w:r>
              <w:rPr>
                <w:rFonts w:ascii="Arial" w:cs="Arial" w:eastAsia="Arial" w:hAnsi="Arial"/>
                <w:color w:val="1F2937"/>
                <w:sz w:val="19"/>
                <w:szCs w:val="19"/>
              </w:rPr>
              <w:t xml:space="preserve">La Representante Encargada de Cumplimiento recibirá capacitación anualmente para el cumplimiento de las obligaciones que la Ley establece.</w:t>
            </w:r>
          </w:p>
          <w:p>
            <w:pPr>
              <w:spacing w:after="80" w:line="264"/>
            </w:pPr>
            <w:r>
              <w:rPr>
                <w:rFonts w:ascii="Arial" w:cs="Arial" w:eastAsia="Arial" w:hAnsi="Arial"/>
                <w:color w:val="1F2937"/>
                <w:sz w:val="19"/>
                <w:szCs w:val="19"/>
              </w:rPr>
              <w:t xml:space="preserve">La identidad de la Representante Encargada de Cumplimiento se resguarda en términos del artículo 38 de la Ley. Cuando una autoridad judicial o administrativa requiera su comparecencia para el desahogo de alguna diligencia relacionada con sus funciones o con el conocimiento de la información derivada de la aplicación de la Ley, la diligencia podrá ser desahogada por [NOMBRE DEL REPRESENTANTE LEGAL O APODERADO].</w:t>
            </w:r>
          </w:p>
          <w:p>
            <w:pPr>
              <w:spacing w:after="80" w:line="264"/>
            </w:pPr>
            <w:r>
              <w:rPr>
                <w:rFonts w:ascii="Arial" w:cs="Arial" w:eastAsia="Arial" w:hAnsi="Arial"/>
                <w:color w:val="1F2937"/>
                <w:sz w:val="19"/>
                <w:szCs w:val="19"/>
              </w:rPr>
              <w:t xml:space="preserve">Cualquier cambio en la designación se reportará mediante el trámite de actualización, a más tardar dentro de los seis días hábiles siguientes a que se presente el hecho que lo motive.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D1D5DB" w:sz="2"/>
              <w:left w:val="single" w:color="D1D5DB" w:sz="2"/>
              <w:bottom w:val="single" w:color="D1D5DB" w:sz="2"/>
              <w:right w:val="single" w:color="D1D5DB" w:sz="2"/>
            </w:tcBorders>
            <w:shd w:fill="F3F4F6"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CERTIFICACIÓN DE LA UIF ES VOLUNTARIA</w:t>
            </w:r>
          </w:p>
          <w:p>
            <w:pPr>
              <w:spacing w:after="80" w:line="264"/>
            </w:pPr>
            <w:r>
              <w:rPr>
                <w:rFonts w:ascii="Arial" w:cs="Arial" w:eastAsia="Arial" w:hAnsi="Arial"/>
                <w:color w:val="1F2937"/>
                <w:sz w:val="19"/>
                <w:szCs w:val="19"/>
              </w:rPr>
              <w:t xml:space="preserve">El RCG 34 Bis prevé una certificación que la UIF otorgará, conforme a convocatoria publicada en el Diario Oficial de la Federación, a las personas físicas que realizan Actividades Vulnerables y a las Representantes Encargadas de Cumplimiento que ya hayan aceptado su designación. Tiene vigencia de cinco años. El artículo dice «podrán obtener»: no es requisito para ser Representante ni para que la designación surta efectos.</w:t>
            </w:r>
          </w:p>
        </w:tc>
      </w:tr>
    </w:tbl>
    <w:p>
      <w:pPr>
        <w:pStyle w:val="Heading2"/>
        <w:keepNext/>
        <w:spacing w:after="80" w:before="240"/>
      </w:pPr>
      <w:r>
        <w:rPr>
          <w:rFonts w:ascii="Arial" w:cs="Arial" w:eastAsia="Arial" w:hAnsi="Arial"/>
          <w:b/>
          <w:bCs/>
          <w:color w:val="12224A"/>
          <w:sz w:val="22"/>
          <w:szCs w:val="22"/>
        </w:rPr>
        <w:t xml:space="preserve">11.2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acuse de la aceptación de la designación en el Portal. No la carta de designación: el acuse de aceptación.</w:t>
      </w:r>
    </w:p>
    <w:p>
      <w:pPr>
        <w:spacing w:after="60" w:line="264"/>
        <w:ind w:left="340" w:hanging="200"/>
      </w:pPr>
      <w:r>
        <w:rPr>
          <w:rFonts w:ascii="Arial" w:cs="Arial" w:eastAsia="Arial" w:hAnsi="Arial"/>
          <w:color w:val="1F2937"/>
          <w:sz w:val="20"/>
          <w:szCs w:val="20"/>
        </w:rPr>
        <w:t xml:space="preserve">· El nombramiento interno con las facultades efectivamente atribuidas.</w:t>
      </w:r>
    </w:p>
    <w:p>
      <w:pPr>
        <w:spacing w:after="60" w:line="264"/>
        <w:ind w:left="340" w:hanging="200"/>
      </w:pPr>
      <w:r>
        <w:rPr>
          <w:rFonts w:ascii="Arial" w:cs="Arial" w:eastAsia="Arial" w:hAnsi="Arial"/>
          <w:color w:val="1F2937"/>
          <w:sz w:val="20"/>
          <w:szCs w:val="20"/>
        </w:rPr>
        <w:t xml:space="preserve">· La constancia de la capacitación anual de la propia RECC, que es una obligación específica del L 20 y suele olvidarse.</w:t>
      </w:r>
    </w:p>
    <w:p>
      <w:pPr>
        <w:pStyle w:val="Heading1"/>
        <w:pageBreakBefore/>
        <w:spacing w:after="60" w:before="0"/>
      </w:pPr>
      <w:r>
        <w:rPr>
          <w:rFonts w:ascii="Arial" w:cs="Arial" w:eastAsia="Arial" w:hAnsi="Arial"/>
          <w:b/>
          <w:bCs/>
          <w:color w:val="12224A"/>
          <w:sz w:val="26"/>
          <w:szCs w:val="26"/>
        </w:rPr>
        <w:t xml:space="preserve">12. Programas de capacitación</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w:t>
      </w:r>
      <w:r>
        <w:rPr>
          <w:rFonts w:ascii="Arial" w:cs="Arial" w:eastAsia="Arial" w:hAnsi="Arial"/>
          <w:i/>
          <w:iCs/>
          <w:color w:val="6B7280"/>
          <w:sz w:val="17"/>
          <w:szCs w:val="17"/>
        </w:rPr>
        <w:t xml:space="preserve"> — «Los programas de capacitación»</w:t>
      </w:r>
    </w:p>
    <w:p>
      <w:pPr>
        <w:pStyle w:val="Heading2"/>
        <w:keepNext/>
        <w:spacing w:after="80" w:before="240"/>
      </w:pPr>
      <w:r>
        <w:rPr>
          <w:rFonts w:ascii="Arial" w:cs="Arial" w:eastAsia="Arial" w:hAnsi="Arial"/>
          <w:b/>
          <w:bCs/>
          <w:color w:val="12224A"/>
          <w:sz w:val="22"/>
          <w:szCs w:val="22"/>
        </w:rPr>
        <w:t xml:space="preserve">12.1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A quién va dirigida la capacitación, que es una lista más larga de lo que la mayoría supone.</w:t>
      </w:r>
    </w:p>
    <w:p>
      <w:pPr>
        <w:spacing w:after="60" w:line="264"/>
        <w:ind w:left="340" w:hanging="200"/>
      </w:pPr>
      <w:r>
        <w:rPr>
          <w:rFonts w:ascii="Arial" w:cs="Arial" w:eastAsia="Arial" w:hAnsi="Arial"/>
          <w:color w:val="1F2937"/>
          <w:sz w:val="20"/>
          <w:szCs w:val="20"/>
        </w:rPr>
        <w:t xml:space="preserve">· Con qué frecuencia mínima y con qué contenido mínimo.</w:t>
      </w:r>
    </w:p>
    <w:p>
      <w:pPr>
        <w:spacing w:after="60" w:line="264"/>
        <w:ind w:left="340" w:hanging="200"/>
      </w:pPr>
      <w:r>
        <w:rPr>
          <w:rFonts w:ascii="Arial" w:cs="Arial" w:eastAsia="Arial" w:hAnsi="Arial"/>
          <w:color w:val="1F2937"/>
          <w:sz w:val="20"/>
          <w:szCs w:val="20"/>
        </w:rPr>
        <w:t xml:space="preserve">· Que los temas sean coherentes con los resultados de la metodología de Riesgos.</w:t>
      </w:r>
    </w:p>
    <w:p>
      <w:pPr>
        <w:spacing w:after="60" w:line="264"/>
        <w:ind w:left="340" w:hanging="200"/>
      </w:pPr>
      <w:r>
        <w:rPr>
          <w:rFonts w:ascii="Arial" w:cs="Arial" w:eastAsia="Arial" w:hAnsi="Arial"/>
          <w:color w:val="1F2937"/>
          <w:sz w:val="20"/>
          <w:szCs w:val="20"/>
        </w:rPr>
        <w:t xml:space="preserve">· Qué experiencia debe acreditar quien imparte.</w:t>
      </w:r>
    </w:p>
    <w:p>
      <w:pPr>
        <w:spacing w:after="60" w:line="264"/>
        <w:ind w:left="340" w:hanging="200"/>
      </w:pPr>
      <w:r>
        <w:rPr>
          <w:rFonts w:ascii="Arial" w:cs="Arial" w:eastAsia="Arial" w:hAnsi="Arial"/>
          <w:color w:val="1F2937"/>
          <w:sz w:val="20"/>
          <w:szCs w:val="20"/>
        </w:rPr>
        <w:t xml:space="preserve">· Qué evidencia se conserva y por cuánto tiempo, y qué se hace con quien no aprueba.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programa anual de capacitación de [DENOMINACIÓN] se dirige a las personas integrantes del consejo de administración, a la persona administradora única o su equivalente, a las personas directivas y funcionarias, a la Representante Encargada de Cumplimiento y, en todo caso, a las personas empleadas que laboren en áreas de atención al público, participen en la identificación o conocimiento del Cliente o Usuaria, en el envío de Avisos o realicen actividades de auditoría.</w:t>
            </w:r>
          </w:p>
          <w:p>
            <w:pPr>
              <w:spacing w:after="80" w:line="264"/>
            </w:pPr>
            <w:r>
              <w:rPr>
                <w:rFonts w:ascii="Arial" w:cs="Arial" w:eastAsia="Arial" w:hAnsi="Arial"/>
                <w:color w:val="1F2937"/>
                <w:sz w:val="19"/>
                <w:szCs w:val="19"/>
              </w:rPr>
              <w:t xml:space="preserve">Se impartirán cursos, talleres o programas por lo menos una vez al año, cuyo contenido incluirá como mínimo: a) el conocimiento, análisis y efectivo cumplimiento de la Ley, su Reglamento, las Reglas, las Resoluciones por las que se expiden los formatos oficiales de alta y registro y de presentación de Avisos e Informes, sus modificaciones y demás documentos del marco normativo; b) el conocimiento, análisis y efectivo cumplimiento del contenido de este Manual; c) los actos u operaciones que se llevan a cabo en términos del artículo 17 de la Ley; y d) los Riesgos a que se encuentra expuesta [DENOMINACIÓN].</w:t>
            </w:r>
          </w:p>
          <w:p>
            <w:pPr>
              <w:spacing w:after="80" w:line="264"/>
            </w:pPr>
            <w:r>
              <w:rPr>
                <w:rFonts w:ascii="Arial" w:cs="Arial" w:eastAsia="Arial" w:hAnsi="Arial"/>
                <w:color w:val="1F2937"/>
                <w:sz w:val="19"/>
                <w:szCs w:val="19"/>
              </w:rPr>
              <w:t xml:space="preserve">Los temas serán coherentes con los resultados de la implementación de la metodología prevista en el Capítulo II Quáter de las Reglas y se adecuarán a las responsabilidades de cada destinatario. Se incluirá además información sobre técnicas, métodos y tendencias para prevenir y detectar operaciones que pudiesen actualizar los supuestos del artículo 400 Bis del Código Penal Federal y sus delitos relacionados.</w:t>
            </w:r>
          </w:p>
          <w:p>
            <w:pPr>
              <w:spacing w:after="80" w:line="264"/>
            </w:pPr>
            <w:r>
              <w:rPr>
                <w:rFonts w:ascii="Arial" w:cs="Arial" w:eastAsia="Arial" w:hAnsi="Arial"/>
                <w:color w:val="1F2937"/>
                <w:sz w:val="19"/>
                <w:szCs w:val="19"/>
              </w:rPr>
              <w:t xml:space="preserve">Quien imparta la capacitación deberá contar y acreditar experiencia de por lo menos cinco años en materia de prevención de lavado de dinero y delitos relacionados. La acreditación se conserva en el expediente del programa.</w:t>
            </w:r>
          </w:p>
          <w:p>
            <w:pPr>
              <w:spacing w:after="80" w:line="264"/>
            </w:pPr>
            <w:r>
              <w:rPr>
                <w:rFonts w:ascii="Arial" w:cs="Arial" w:eastAsia="Arial" w:hAnsi="Arial"/>
                <w:color w:val="1F2937"/>
                <w:sz w:val="19"/>
                <w:szCs w:val="19"/>
              </w:rPr>
              <w:t xml:space="preserve">[DENOMINACIÓN] conservará de manera física o electrónica, durante un plazo mínimo de diez años, la evidencia documental de los programas, talleres, materiales, listas de asistencia, evaluaciones, constancias y cualquier otro documento que ayude a comprobar que la capacitación se llevó a cabo.</w:t>
            </w:r>
          </w:p>
          <w:p>
            <w:pPr>
              <w:spacing w:after="80" w:line="264"/>
            </w:pPr>
            <w:r>
              <w:rPr>
                <w:rFonts w:ascii="Arial" w:cs="Arial" w:eastAsia="Arial" w:hAnsi="Arial"/>
                <w:color w:val="1F2937"/>
                <w:sz w:val="19"/>
                <w:szCs w:val="19"/>
              </w:rPr>
              <w:t xml:space="preserve">Para expedir las constancias que acrediten la participación se practicarán evaluaciones sobre los conocimientos adquiridos. Quien no obtenga resultado satisfactorio [DESCRIBA LA MEDIDA: repetirá el curso dentro de los siguientes [PLAZO] días; no podrá operar en [ÁREA] hasta acreditarlo; etcétera].</w:t>
            </w:r>
          </w:p>
          <w:p>
            <w:pPr>
              <w:spacing w:after="80" w:line="264"/>
            </w:pPr>
            <w:r>
              <w:rPr>
                <w:rFonts w:ascii="Arial" w:cs="Arial" w:eastAsia="Arial" w:hAnsi="Arial"/>
                <w:color w:val="1F2937"/>
                <w:sz w:val="19"/>
                <w:szCs w:val="19"/>
              </w:rPr>
              <w:t xml:space="preserve">Las personas funcionarias y empleadas que vayan a operar o laborar en áreas de atención al público o de administración de recursos recibirán capacitación de manera previa o simultánea a su ingreso o al inicio de sus actividades en dichas áreas.</w:t>
            </w:r>
          </w:p>
        </w:tc>
      </w:tr>
    </w:tbl>
    <w:p>
      <w:pPr>
        <w:spacing w:after="140" w:line="240"/>
      </w:pPr>
      <w:r>
        <w:rPr>
          <w:rFonts w:ascii="Arial" w:cs="Arial" w:eastAsia="Arial" w:hAnsi="Arial"/>
          <w:i/>
          <w:iCs/>
          <w:color w:val="6B7280"/>
          <w:sz w:val="16"/>
          <w:szCs w:val="16"/>
        </w:rPr>
        <w:t xml:space="preserve">El primer periodo anual de capacitación comprende del 1 de enero al 31 de diciembre de 2027 (RCG Trans. Séptimo). La constancia sin evaluación previa no cumple: el RCG 39 Bis 1 condiciona la expedición a la evaluación.</w:t>
      </w:r>
    </w:p>
    <w:p>
      <w:pPr>
        <w:pStyle w:val="Heading2"/>
        <w:keepNext/>
        <w:spacing w:after="80" w:before="240"/>
      </w:pPr>
      <w:r>
        <w:rPr>
          <w:rFonts w:ascii="Arial" w:cs="Arial" w:eastAsia="Arial" w:hAnsi="Arial"/>
          <w:b/>
          <w:bCs/>
          <w:color w:val="12224A"/>
          <w:sz w:val="22"/>
          <w:szCs w:val="22"/>
        </w:rPr>
        <w:t xml:space="preserve">12.2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programa anual documentado, con fechas y destinatarios.</w:t>
      </w:r>
    </w:p>
    <w:p>
      <w:pPr>
        <w:spacing w:after="60" w:line="264"/>
        <w:ind w:left="340" w:hanging="200"/>
      </w:pPr>
      <w:r>
        <w:rPr>
          <w:rFonts w:ascii="Arial" w:cs="Arial" w:eastAsia="Arial" w:hAnsi="Arial"/>
          <w:color w:val="1F2937"/>
          <w:sz w:val="20"/>
          <w:szCs w:val="20"/>
        </w:rPr>
        <w:t xml:space="preserve">· Listas de asistencia, evaluaciones aplicadas y constancias expedidas, las tres cosas.</w:t>
      </w:r>
    </w:p>
    <w:p>
      <w:pPr>
        <w:spacing w:after="60" w:line="264"/>
        <w:ind w:left="340" w:hanging="200"/>
      </w:pPr>
      <w:r>
        <w:rPr>
          <w:rFonts w:ascii="Arial" w:cs="Arial" w:eastAsia="Arial" w:hAnsi="Arial"/>
          <w:color w:val="1F2937"/>
          <w:sz w:val="20"/>
          <w:szCs w:val="20"/>
        </w:rPr>
        <w:t xml:space="preserve">· La acreditación de los cinco años de experiencia de quien impartió.</w:t>
      </w:r>
    </w:p>
    <w:p>
      <w:pPr>
        <w:spacing w:after="60" w:line="264"/>
        <w:ind w:left="340" w:hanging="200"/>
      </w:pPr>
      <w:r>
        <w:rPr>
          <w:rFonts w:ascii="Arial" w:cs="Arial" w:eastAsia="Arial" w:hAnsi="Arial"/>
          <w:color w:val="1F2937"/>
          <w:sz w:val="20"/>
          <w:szCs w:val="20"/>
        </w:rPr>
        <w:t xml:space="preserve">· El expediente de quien no aprobó y la medida efectivamente aplicada.</w:t>
      </w:r>
    </w:p>
    <w:p>
      <w:pPr>
        <w:pStyle w:val="Heading1"/>
        <w:pageBreakBefore/>
        <w:spacing w:after="60" w:before="0"/>
      </w:pPr>
      <w:r>
        <w:rPr>
          <w:rFonts w:ascii="Arial" w:cs="Arial" w:eastAsia="Arial" w:hAnsi="Arial"/>
          <w:b/>
          <w:bCs/>
          <w:color w:val="12224A"/>
          <w:sz w:val="26"/>
          <w:szCs w:val="26"/>
        </w:rPr>
        <w:t xml:space="preserve">13. Mecanismos de control interno, supervisión y auditoría</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XII</w:t>
      </w:r>
      <w:r>
        <w:rPr>
          <w:rFonts w:ascii="Arial" w:cs="Arial" w:eastAsia="Arial" w:hAnsi="Arial"/>
          <w:i/>
          <w:iCs/>
          <w:color w:val="6B7280"/>
          <w:sz w:val="17"/>
          <w:szCs w:val="17"/>
        </w:rPr>
        <w:t xml:space="preserve"> — «Los mecanismos de control interno, supervisión y auditoría»</w:t>
      </w:r>
    </w:p>
    <w:p>
      <w:pPr>
        <w:pStyle w:val="Heading2"/>
        <w:keepNext/>
        <w:spacing w:after="80" w:before="240"/>
      </w:pPr>
      <w:r>
        <w:rPr>
          <w:rFonts w:ascii="Arial" w:cs="Arial" w:eastAsia="Arial" w:hAnsi="Arial"/>
          <w:b/>
          <w:bCs/>
          <w:color w:val="12224A"/>
          <w:sz w:val="22"/>
          <w:szCs w:val="22"/>
        </w:rPr>
        <w:t xml:space="preserve">13.1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supervisa la aplicación del Manual dentro de la organización y con qué periodicidad.</w:t>
      </w:r>
    </w:p>
    <w:p>
      <w:pPr>
        <w:spacing w:after="60" w:line="264"/>
        <w:ind w:left="340" w:hanging="200"/>
      </w:pPr>
      <w:r>
        <w:rPr>
          <w:rFonts w:ascii="Arial" w:cs="Arial" w:eastAsia="Arial" w:hAnsi="Arial"/>
          <w:color w:val="1F2937"/>
          <w:sz w:val="20"/>
          <w:szCs w:val="20"/>
        </w:rPr>
        <w:t xml:space="preserve">· Quién puede dictaminar la efectividad del cumplimiento, según el Riesgo propio sea bajo, medio o alto.</w:t>
      </w:r>
    </w:p>
    <w:p>
      <w:pPr>
        <w:spacing w:after="60" w:line="264"/>
        <w:ind w:left="340" w:hanging="200"/>
      </w:pPr>
      <w:r>
        <w:rPr>
          <w:rFonts w:ascii="Arial" w:cs="Arial" w:eastAsia="Arial" w:hAnsi="Arial"/>
          <w:color w:val="1F2937"/>
          <w:sz w:val="20"/>
          <w:szCs w:val="20"/>
        </w:rPr>
        <w:t xml:space="preserve">· Los requisitos que debe reunir el auditor y las incompatibilidades.</w:t>
      </w:r>
    </w:p>
    <w:p>
      <w:pPr>
        <w:spacing w:after="60" w:line="264"/>
        <w:ind w:left="340" w:hanging="200"/>
      </w:pPr>
      <w:r>
        <w:rPr>
          <w:rFonts w:ascii="Arial" w:cs="Arial" w:eastAsia="Arial" w:hAnsi="Arial"/>
          <w:color w:val="1F2937"/>
          <w:sz w:val="20"/>
          <w:szCs w:val="20"/>
        </w:rPr>
        <w:t xml:space="preserve">· Qué se hace con las observaciones del dictamen.</w:t>
      </w:r>
    </w:p>
    <w:p>
      <w:pPr>
        <w:spacing w:after="60" w:line="264"/>
        <w:ind w:left="340" w:hanging="200"/>
      </w:pPr>
      <w:r>
        <w:rPr>
          <w:rFonts w:ascii="Arial" w:cs="Arial" w:eastAsia="Arial" w:hAnsi="Arial"/>
          <w:color w:val="1F2937"/>
          <w:sz w:val="20"/>
          <w:szCs w:val="20"/>
        </w:rPr>
        <w:t xml:space="preserve">· Que el dictamen se presenta al órgano de gobierno.</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mantiene medidas de control que incluyen la revisión de un auditor, del área de auditoría interna o de una persona auditora externa independiente, que evalúa y dictamina del primero de enero al treinta y uno de diciembre de cada año la efectividad del cumplimiento de la Ley, su Reglamento y las Reglas.</w:t>
            </w:r>
          </w:p>
          <w:p>
            <w:pPr>
              <w:spacing w:after="80" w:line="264"/>
            </w:pPr>
            <w:r>
              <w:rPr>
                <w:rFonts w:ascii="Arial" w:cs="Arial" w:eastAsia="Arial" w:hAnsi="Arial"/>
                <w:color w:val="1F2937"/>
                <w:sz w:val="19"/>
                <w:szCs w:val="19"/>
              </w:rPr>
              <w:t xml:space="preserve">Cuando el Riesgo de [DENOMINACIÓN] sea evaluado como bajo o medio conforme a la metodología del Capítulo II Quáter, el dictamen podrá ser emitido por un área de auditoría interna o de control interno, integrada por personal independiente de la Representante Encargada de Cumplimiento, con conocimiento de los procesos y procedimientos internos y con al menos una acreditación de un programa de capacitación anual.</w:t>
            </w:r>
          </w:p>
          <w:p>
            <w:pPr>
              <w:spacing w:after="80" w:line="264"/>
            </w:pPr>
            <w:r>
              <w:rPr>
                <w:rFonts w:ascii="Arial" w:cs="Arial" w:eastAsia="Arial" w:hAnsi="Arial"/>
                <w:color w:val="1F2937"/>
                <w:sz w:val="19"/>
                <w:szCs w:val="19"/>
              </w:rPr>
              <w:t xml:space="preserve">Cuando [DENOMINACIÓN] lo elija o su Riesgo sea evaluado como alto, la revisión y emisión del dictamen se realizará por una persona auditora externa independiente que reúna los requisitos de las Reglas, entre ellos la certificación vigente que otorga la Unidad de Inteligencia Financiera, no haber prestado servicios que generen conflicto de interés durante el periodo auditado, y no haber aceptado el cargo de Representante Encargada de Cumplimiento durante el periodo auditado ni en los dos años posteriores.</w:t>
            </w:r>
          </w:p>
          <w:p>
            <w:pPr>
              <w:spacing w:after="80" w:line="264"/>
            </w:pPr>
            <w:r>
              <w:rPr>
                <w:rFonts w:ascii="Arial" w:cs="Arial" w:eastAsia="Arial" w:hAnsi="Arial"/>
                <w:color w:val="1F2937"/>
                <w:sz w:val="19"/>
                <w:szCs w:val="19"/>
              </w:rPr>
              <w:t xml:space="preserve">Los resultados de la revisión se presentarán a [el consejo de administración / la persona administradora única / la dirección general] a manera de dictamen, a fin de evaluar la eficacia operativa de las medidas implementadas y dar seguimiento a los programas de acción correctiva que resulten aplicables.</w:t>
            </w:r>
          </w:p>
          <w:p>
            <w:pPr>
              <w:spacing w:after="80" w:line="264"/>
            </w:pPr>
            <w:r>
              <w:rPr>
                <w:rFonts w:ascii="Arial" w:cs="Arial" w:eastAsia="Arial" w:hAnsi="Arial"/>
                <w:color w:val="1F2937"/>
                <w:sz w:val="19"/>
                <w:szCs w:val="19"/>
              </w:rPr>
              <w:t xml:space="preserve">[DENOMINACIÓN] obtendrá, conservará y proporcionará al Servicio de Administración Tributaria, cuando lo requiera, la información del dictamen y la documentación soporte que demuestre la regularización de las observaciones identificadas.</w:t>
            </w:r>
          </w:p>
        </w:tc>
      </w:tr>
    </w:tbl>
    <w:p>
      <w:pPr>
        <w:spacing w:after="140" w:line="240"/>
      </w:pPr>
      <w:r>
        <w:rPr>
          <w:rFonts w:ascii="Arial" w:cs="Arial" w:eastAsia="Arial" w:hAnsi="Arial"/>
          <w:i/>
          <w:iCs/>
          <w:color w:val="6B7280"/>
          <w:sz w:val="16"/>
          <w:szCs w:val="16"/>
        </w:rPr>
        <w:t xml:space="preserve">El primer periodo de revisión de auditoría inicia el 1 de enero de 2028 y concluye el 31 de diciembre del mismo año (RCG Trans. Octavo). No es una obligación de este año, pero el área que la va a atender se construye desde ahora.</w:t>
      </w:r>
    </w:p>
    <w:p>
      <w:pPr>
        <w:pStyle w:val="Heading2"/>
        <w:keepNext/>
        <w:spacing w:after="80" w:before="240"/>
      </w:pPr>
      <w:r>
        <w:rPr>
          <w:rFonts w:ascii="Arial" w:cs="Arial" w:eastAsia="Arial" w:hAnsi="Arial"/>
          <w:b/>
          <w:bCs/>
          <w:color w:val="12224A"/>
          <w:sz w:val="22"/>
          <w:szCs w:val="22"/>
        </w:rPr>
        <w:t xml:space="preserve">13.2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dictamen firmado y la evidencia de su presentación al órgano de gobierno.</w:t>
      </w:r>
    </w:p>
    <w:p>
      <w:pPr>
        <w:spacing w:after="60" w:line="264"/>
        <w:ind w:left="340" w:hanging="200"/>
      </w:pPr>
      <w:r>
        <w:rPr>
          <w:rFonts w:ascii="Arial" w:cs="Arial" w:eastAsia="Arial" w:hAnsi="Arial"/>
          <w:color w:val="1F2937"/>
          <w:sz w:val="20"/>
          <w:szCs w:val="20"/>
        </w:rPr>
        <w:t xml:space="preserve">· El plan de acción correctiva con responsables y fechas, y la evidencia del cierre de cada observación.</w:t>
      </w:r>
    </w:p>
    <w:p>
      <w:pPr>
        <w:spacing w:after="60" w:line="264"/>
        <w:ind w:left="340" w:hanging="200"/>
      </w:pPr>
      <w:r>
        <w:rPr>
          <w:rFonts w:ascii="Arial" w:cs="Arial" w:eastAsia="Arial" w:hAnsi="Arial"/>
          <w:color w:val="1F2937"/>
          <w:sz w:val="20"/>
          <w:szCs w:val="20"/>
        </w:rPr>
        <w:t xml:space="preserve">· La documentación de la independencia del auditor.</w:t>
      </w:r>
    </w:p>
    <w:p>
      <w:pPr>
        <w:pStyle w:val="Heading1"/>
        <w:pageBreakBefore/>
        <w:spacing w:after="60" w:before="0"/>
      </w:pPr>
      <w:r>
        <w:rPr>
          <w:rFonts w:ascii="Arial" w:cs="Arial" w:eastAsia="Arial" w:hAnsi="Arial"/>
          <w:b/>
          <w:bCs/>
          <w:color w:val="12224A"/>
          <w:sz w:val="26"/>
          <w:szCs w:val="26"/>
        </w:rPr>
        <w:t xml:space="preserve">14. Medidas para garantizar la confidencialidad de la información</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XIII</w:t>
      </w:r>
      <w:r>
        <w:rPr>
          <w:rFonts w:ascii="Arial" w:cs="Arial" w:eastAsia="Arial" w:hAnsi="Arial"/>
          <w:i/>
          <w:iCs/>
          <w:color w:val="6B7280"/>
          <w:sz w:val="17"/>
          <w:szCs w:val="17"/>
        </w:rPr>
        <w:t xml:space="preserve"> — «Las medidas para garantizar la confidencialidad de la información»</w:t>
      </w:r>
    </w:p>
    <w:p>
      <w:pPr>
        <w:pStyle w:val="Heading2"/>
        <w:keepNext/>
        <w:spacing w:after="80" w:before="240"/>
      </w:pPr>
      <w:r>
        <w:rPr>
          <w:rFonts w:ascii="Arial" w:cs="Arial" w:eastAsia="Arial" w:hAnsi="Arial"/>
          <w:b/>
          <w:bCs/>
          <w:color w:val="12224A"/>
          <w:sz w:val="22"/>
          <w:szCs w:val="22"/>
        </w:rPr>
        <w:t xml:space="preserve">14.1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tiene acceso a la información de Avisos y a los expedientes, y quién no.</w:t>
      </w:r>
    </w:p>
    <w:p>
      <w:pPr>
        <w:spacing w:after="60" w:line="264"/>
        <w:ind w:left="340" w:hanging="200"/>
      </w:pPr>
      <w:r>
        <w:rPr>
          <w:rFonts w:ascii="Arial" w:cs="Arial" w:eastAsia="Arial" w:hAnsi="Arial"/>
          <w:color w:val="1F2937"/>
          <w:sz w:val="20"/>
          <w:szCs w:val="20"/>
        </w:rPr>
        <w:t xml:space="preserve">· La prohibición de revelar al Cliente la existencia de un Aviso.</w:t>
      </w:r>
    </w:p>
    <w:p>
      <w:pPr>
        <w:spacing w:after="60" w:line="264"/>
        <w:ind w:left="340" w:hanging="200"/>
      </w:pPr>
      <w:r>
        <w:rPr>
          <w:rFonts w:ascii="Arial" w:cs="Arial" w:eastAsia="Arial" w:hAnsi="Arial"/>
          <w:color w:val="1F2937"/>
          <w:sz w:val="20"/>
          <w:szCs w:val="20"/>
        </w:rPr>
        <w:t xml:space="preserve">· Cómo se protege la identidad de la Representante Encargada de Cumplimiento.</w:t>
      </w:r>
    </w:p>
    <w:p>
      <w:pPr>
        <w:spacing w:after="60" w:line="264"/>
        <w:ind w:left="340" w:hanging="200"/>
      </w:pPr>
      <w:r>
        <w:rPr>
          <w:rFonts w:ascii="Arial" w:cs="Arial" w:eastAsia="Arial" w:hAnsi="Arial"/>
          <w:color w:val="1F2937"/>
          <w:sz w:val="20"/>
          <w:szCs w:val="20"/>
        </w:rPr>
        <w:t xml:space="preserve">· Cómo se entrega la información cuando la autoridad la requiere.</w:t>
      </w:r>
    </w:p>
    <w:p>
      <w:pPr>
        <w:spacing w:after="60" w:line="264"/>
        <w:ind w:left="340" w:hanging="200"/>
      </w:pPr>
      <w:r>
        <w:rPr>
          <w:rFonts w:ascii="Arial" w:cs="Arial" w:eastAsia="Arial" w:hAnsi="Arial"/>
          <w:color w:val="1F2937"/>
          <w:sz w:val="20"/>
          <w:szCs w:val="20"/>
        </w:rPr>
        <w:t xml:space="preserve">· Qué pasa con la información cuando alguien deja la organización.</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acceso a la información y documentación relacionada con Avisos, alertas y expedientes se restringe a [CARGOS], se registra en [BITÁCORA] y se revoca de inmediato al término de la relación laboral o del encargo.</w:t>
            </w:r>
          </w:p>
          <w:p>
            <w:pPr>
              <w:spacing w:after="80" w:line="264"/>
            </w:pPr>
            <w:r>
              <w:rPr>
                <w:rFonts w:ascii="Arial" w:cs="Arial" w:eastAsia="Arial" w:hAnsi="Arial"/>
                <w:color w:val="1F2937"/>
                <w:sz w:val="19"/>
                <w:szCs w:val="19"/>
              </w:rPr>
              <w:t xml:space="preserve">Ninguna persona al servicio de [DENOMINACIÓN] revelará al Cliente o Usuaria, ni a terceros, la existencia o el contenido de un Aviso, ni la identidad de quien lo suscribe.</w:t>
            </w:r>
          </w:p>
          <w:p>
            <w:pPr>
              <w:spacing w:after="80" w:line="264"/>
            </w:pPr>
            <w:r>
              <w:rPr>
                <w:rFonts w:ascii="Arial" w:cs="Arial" w:eastAsia="Arial" w:hAnsi="Arial"/>
                <w:color w:val="1F2937"/>
                <w:sz w:val="19"/>
                <w:szCs w:val="19"/>
              </w:rPr>
              <w:t xml:space="preserve">La identidad de la Representante Encargada de Cumplimiento se resguarda en términos del artículo 38 de la Ley y, cuando una autoridad requiera su comparecencia por sus funciones, la diligencia podrá desahogarla la persona representante legal o apoderada de [DENOMINACIÓN].</w:t>
            </w:r>
          </w:p>
          <w:p>
            <w:pPr>
              <w:spacing w:after="80" w:line="264"/>
            </w:pPr>
            <w:r>
              <w:rPr>
                <w:rFonts w:ascii="Arial" w:cs="Arial" w:eastAsia="Arial" w:hAnsi="Arial"/>
                <w:color w:val="1F2937"/>
                <w:sz w:val="19"/>
                <w:szCs w:val="19"/>
              </w:rPr>
              <w:t xml:space="preserve">La información, documentación, datos e imágenes que requieran la Unidad de Inteligencia Financiera o el Servicio de Administración Tributaria se presentarán en copia simple, salvo que se solicite hacer constar que es copia del documento que obra en el expediente, y se entregarán en sobre cerrado o cumpliendo las características tecnológicas de seguridad que señale el requerimiento.</w:t>
            </w:r>
          </w:p>
          <w:p>
            <w:pPr>
              <w:spacing w:after="80" w:line="264"/>
            </w:pPr>
            <w:r>
              <w:rPr>
                <w:rFonts w:ascii="Arial" w:cs="Arial" w:eastAsia="Arial" w:hAnsi="Arial"/>
                <w:color w:val="1F2937"/>
                <w:sz w:val="19"/>
                <w:szCs w:val="19"/>
              </w:rPr>
              <w:t xml:space="preserve">Toda persona obligada por este Manual suscribe la carta de confidencialidad de [ANEXO] al inicio de su encargo.</w:t>
            </w:r>
          </w:p>
        </w:tc>
      </w:tr>
    </w:tbl>
    <w:p>
      <w:pPr>
        <w:pStyle w:val="Heading2"/>
        <w:keepNext/>
        <w:spacing w:after="80" w:before="240"/>
      </w:pPr>
      <w:r>
        <w:rPr>
          <w:rFonts w:ascii="Arial" w:cs="Arial" w:eastAsia="Arial" w:hAnsi="Arial"/>
          <w:b/>
          <w:bCs/>
          <w:color w:val="12224A"/>
          <w:sz w:val="22"/>
          <w:szCs w:val="22"/>
        </w:rPr>
        <w:t xml:space="preserve">14.2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Las cartas de confidencialidad firmadas.</w:t>
      </w:r>
    </w:p>
    <w:p>
      <w:pPr>
        <w:spacing w:after="60" w:line="264"/>
        <w:ind w:left="340" w:hanging="200"/>
      </w:pPr>
      <w:r>
        <w:rPr>
          <w:rFonts w:ascii="Arial" w:cs="Arial" w:eastAsia="Arial" w:hAnsi="Arial"/>
          <w:color w:val="1F2937"/>
          <w:sz w:val="20"/>
          <w:szCs w:val="20"/>
        </w:rPr>
        <w:t xml:space="preserve">· La matriz de accesos vigente y la evidencia de las bajas de acceso.</w:t>
      </w:r>
    </w:p>
    <w:p>
      <w:pPr>
        <w:spacing w:after="60" w:line="264"/>
        <w:ind w:left="340" w:hanging="200"/>
      </w:pPr>
      <w:r>
        <w:rPr>
          <w:rFonts w:ascii="Arial" w:cs="Arial" w:eastAsia="Arial" w:hAnsi="Arial"/>
          <w:color w:val="1F2937"/>
          <w:sz w:val="20"/>
          <w:szCs w:val="20"/>
        </w:rPr>
        <w:t xml:space="preserve">· El registro de entregas de información a la autoridad, con acuse.</w:t>
      </w:r>
    </w:p>
    <w:p>
      <w:pPr>
        <w:pStyle w:val="Heading1"/>
        <w:pageBreakBefore/>
        <w:spacing w:after="60" w:before="0"/>
      </w:pPr>
      <w:r>
        <w:rPr>
          <w:rFonts w:ascii="Arial" w:cs="Arial" w:eastAsia="Arial" w:hAnsi="Arial"/>
          <w:b/>
          <w:bCs/>
          <w:color w:val="12224A"/>
          <w:sz w:val="26"/>
          <w:szCs w:val="26"/>
        </w:rPr>
        <w:t xml:space="preserve">15. Procedimientos para la actualización de este Manual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XIV</w:t>
      </w:r>
      <w:r>
        <w:rPr>
          <w:rFonts w:ascii="Arial" w:cs="Arial" w:eastAsia="Arial" w:hAnsi="Arial"/>
          <w:i/>
          <w:iCs/>
          <w:color w:val="6B7280"/>
          <w:sz w:val="17"/>
          <w:szCs w:val="17"/>
        </w:rPr>
        <w:t xml:space="preserve"> — «Los procedimientos para la actualización del propio Manual de Políticas Internas»</w:t>
      </w:r>
    </w:p>
    <w:p>
      <w:pPr>
        <w:pStyle w:val="Heading2"/>
        <w:keepNext/>
        <w:spacing w:after="80" w:before="240"/>
      </w:pPr>
      <w:r>
        <w:rPr>
          <w:rFonts w:ascii="Arial" w:cs="Arial" w:eastAsia="Arial" w:hAnsi="Arial"/>
          <w:b/>
          <w:bCs/>
          <w:color w:val="12224A"/>
          <w:sz w:val="22"/>
          <w:szCs w:val="22"/>
        </w:rPr>
        <w:t xml:space="preserve">15.1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hechos obligan a actualizar el Manual, y no sólo cada cuánto se revisa.</w:t>
      </w:r>
    </w:p>
    <w:p>
      <w:pPr>
        <w:spacing w:after="60" w:line="264"/>
        <w:ind w:left="340" w:hanging="200"/>
      </w:pPr>
      <w:r>
        <w:rPr>
          <w:rFonts w:ascii="Arial" w:cs="Arial" w:eastAsia="Arial" w:hAnsi="Arial"/>
          <w:color w:val="1F2937"/>
          <w:sz w:val="20"/>
          <w:szCs w:val="20"/>
        </w:rPr>
        <w:t xml:space="preserve">· Quién propone, quién revisa y quién autoriza el cambio.</w:t>
      </w:r>
    </w:p>
    <w:p>
      <w:pPr>
        <w:spacing w:after="60" w:line="264"/>
        <w:ind w:left="340" w:hanging="200"/>
      </w:pPr>
      <w:r>
        <w:rPr>
          <w:rFonts w:ascii="Arial" w:cs="Arial" w:eastAsia="Arial" w:hAnsi="Arial"/>
          <w:color w:val="1F2937"/>
          <w:sz w:val="20"/>
          <w:szCs w:val="20"/>
        </w:rPr>
        <w:t xml:space="preserve">· Cómo se controla la versión y cómo se difunde la nueva.</w:t>
      </w:r>
    </w:p>
    <w:p>
      <w:pPr>
        <w:spacing w:after="60" w:line="264"/>
        <w:ind w:left="340" w:hanging="200"/>
      </w:pPr>
      <w:r>
        <w:rPr>
          <w:rFonts w:ascii="Arial" w:cs="Arial" w:eastAsia="Arial" w:hAnsi="Arial"/>
          <w:color w:val="1F2937"/>
          <w:sz w:val="20"/>
          <w:szCs w:val="20"/>
        </w:rPr>
        <w:t xml:space="preserve">· Qué se hace cuando el SAT ordena una modificación.</w:t>
      </w:r>
    </w:p>
    <w:p>
      <w:pPr>
        <w:spacing w:after="60" w:line="264"/>
        <w:ind w:left="340" w:hanging="200"/>
      </w:pPr>
      <w:r>
        <w:rPr>
          <w:rFonts w:ascii="Arial" w:cs="Arial" w:eastAsia="Arial" w:hAnsi="Arial"/>
          <w:color w:val="1F2937"/>
          <w:sz w:val="20"/>
          <w:szCs w:val="20"/>
        </w:rPr>
        <w:t xml:space="preserve">· Dónde queda la evidencia de la versión anterior.</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Este Manual se revisará cuando menos [ANUALMENTE] y, en todo caso, cuando ocurra cualquiera de los siguientes hechos: reforma a la Ley, su Reglamento o las Reglas; publicación o modificación de anexos o formatos oficiales; cambio en las fracciones del artículo 17 de la Ley que realiza [DENOMINACIÓN]; resultado de la evaluación de Riesgos que modifique el Grado de Riesgo propio; observación derivada del dictamen de auditoría; cambio de Representante Encargada de Cumplimiento; o decisión de realizar actos u operaciones bajo supuestos previamente declarados como no realizados conforme al apartado 18.</w:t>
            </w:r>
          </w:p>
          <w:p>
            <w:pPr>
              <w:spacing w:after="80" w:line="264"/>
            </w:pPr>
            <w:r>
              <w:rPr>
                <w:rFonts w:ascii="Arial" w:cs="Arial" w:eastAsia="Arial" w:hAnsi="Arial"/>
                <w:color w:val="1F2937"/>
                <w:sz w:val="19"/>
                <w:szCs w:val="19"/>
              </w:rPr>
              <w:t xml:space="preserve">La actualización la propone [CARGO], la revisa [CARGO] y la autoriza [CARGO]. Cada versión se registra en la bitácora de versiones del apartado 22, con fecha, motivo del cambio, apartados modificados y responsable.</w:t>
            </w:r>
          </w:p>
          <w:p>
            <w:pPr>
              <w:spacing w:after="80" w:line="264"/>
            </w:pPr>
            <w:r>
              <w:rPr>
                <w:rFonts w:ascii="Arial" w:cs="Arial" w:eastAsia="Arial" w:hAnsi="Arial"/>
                <w:color w:val="1F2937"/>
                <w:sz w:val="19"/>
                <w:szCs w:val="19"/>
              </w:rPr>
              <w:t xml:space="preserve">La versión sustituida se conserva por el mismo plazo de diez años, de modo que sea posible acreditar qué política estaba vigente en la fecha de una operación determinada.</w:t>
            </w:r>
          </w:p>
          <w:p>
            <w:pPr>
              <w:spacing w:after="80" w:line="264"/>
            </w:pPr>
            <w:r>
              <w:rPr>
                <w:rFonts w:ascii="Arial" w:cs="Arial" w:eastAsia="Arial" w:hAnsi="Arial"/>
                <w:color w:val="1F2937"/>
                <w:sz w:val="19"/>
                <w:szCs w:val="19"/>
              </w:rPr>
              <w:t xml:space="preserve">Cuando el Servicio de Administración Tributaria, en ejercicio de sus facultades de supervisión, señale que deben efectuarse modificaciones a este Manual o a los documentos en él referidos, [DENOMINACIÓN] las incorporará y dejará constancia del requerimiento y de la versión que lo atiende.</w:t>
            </w:r>
          </w:p>
          <w:p>
            <w:pPr>
              <w:spacing w:after="80" w:line="264"/>
            </w:pPr>
            <w:r>
              <w:rPr>
                <w:rFonts w:ascii="Arial" w:cs="Arial" w:eastAsia="Arial" w:hAnsi="Arial"/>
                <w:color w:val="1F2937"/>
                <w:sz w:val="19"/>
                <w:szCs w:val="19"/>
              </w:rPr>
              <w:t xml:space="preserve">Cada nueva versión se difunde al personal obligado y se recaba acuse.</w:t>
            </w:r>
          </w:p>
        </w:tc>
      </w:tr>
    </w:tbl>
    <w:p>
      <w:pPr>
        <w:pStyle w:val="Heading2"/>
        <w:keepNext/>
        <w:spacing w:after="80" w:before="240"/>
      </w:pPr>
      <w:r>
        <w:rPr>
          <w:rFonts w:ascii="Arial" w:cs="Arial" w:eastAsia="Arial" w:hAnsi="Arial"/>
          <w:b/>
          <w:bCs/>
          <w:color w:val="12224A"/>
          <w:sz w:val="22"/>
          <w:szCs w:val="22"/>
        </w:rPr>
        <w:t xml:space="preserve">15.2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bitácora de versiones completa y sin saltos.</w:t>
      </w:r>
    </w:p>
    <w:p>
      <w:pPr>
        <w:spacing w:after="60" w:line="264"/>
        <w:ind w:left="340" w:hanging="200"/>
      </w:pPr>
      <w:r>
        <w:rPr>
          <w:rFonts w:ascii="Arial" w:cs="Arial" w:eastAsia="Arial" w:hAnsi="Arial"/>
          <w:color w:val="1F2937"/>
          <w:sz w:val="20"/>
          <w:szCs w:val="20"/>
        </w:rPr>
        <w:t xml:space="preserve">· Los acuses de difusión de cada versión.</w:t>
      </w:r>
    </w:p>
    <w:p>
      <w:pPr>
        <w:spacing w:after="60" w:line="264"/>
        <w:ind w:left="340" w:hanging="200"/>
      </w:pPr>
      <w:r>
        <w:rPr>
          <w:rFonts w:ascii="Arial" w:cs="Arial" w:eastAsia="Arial" w:hAnsi="Arial"/>
          <w:color w:val="1F2937"/>
          <w:sz w:val="20"/>
          <w:szCs w:val="20"/>
        </w:rPr>
        <w:t xml:space="preserve">· La capacidad de contestar, para una operación de hace dos años, qué versión del Manual estaba vigente ese día.</w:t>
      </w:r>
    </w:p>
    <w:p>
      <w:pPr>
        <w:pStyle w:val="Heading1"/>
        <w:pageBreakBefore/>
        <w:spacing w:after="60" w:before="0"/>
      </w:pPr>
      <w:r>
        <w:rPr>
          <w:rFonts w:ascii="Arial" w:cs="Arial" w:eastAsia="Arial" w:hAnsi="Arial"/>
          <w:b/>
          <w:bCs/>
          <w:color w:val="12224A"/>
          <w:sz w:val="26"/>
          <w:szCs w:val="26"/>
        </w:rPr>
        <w:t xml:space="preserve">16. Diseño de la metodología de evaluación de Riesgos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tercer párrafo</w:t>
      </w:r>
      <w:r>
        <w:rPr>
          <w:rFonts w:ascii="Arial" w:cs="Arial" w:eastAsia="Arial" w:hAnsi="Arial"/>
          <w:i/>
          <w:iCs/>
          <w:color w:val="6B7280"/>
          <w:sz w:val="17"/>
          <w:szCs w:val="17"/>
        </w:rPr>
        <w:t xml:space="preserve"> — no es una fracción del 37 Bis, es una exigencia del artículo que lo antecede, y se pierde de vista con facilidad.</w:t>
      </w:r>
    </w:p>
    <w:p>
      <w:pPr>
        <w:spacing w:after="120" w:line="276"/>
      </w:pPr>
      <w:r>
        <w:rPr>
          <w:rFonts w:ascii="Arial" w:cs="Arial" w:eastAsia="Arial" w:hAnsi="Arial"/>
          <w:color w:val="1F2937"/>
          <w:sz w:val="20"/>
          <w:szCs w:val="20"/>
        </w:rPr>
        <w:t xml:space="preserve">El tercer párrafo del RCG 37 obliga a que en el Manual —o en el documento distinto que el Manual refiera— se incluya el diseño de la metodología del Capítulo II Quáter. No basta con tener la matriz en un archivo aparte: el diseño tiene que estar documentado y el Manual tiene que decir dónde.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diseño de la metodología de evaluación de Riesgos de [DENOMINACIÓN] consta en [DOCUMENTO / ANEXO] y comprende: los cuatro elementos obligatorios —actos u operaciones; tipo de personas Clientes o Usuarias; países y áreas geográficas; y transacciones y canales de envío o distribución—; los indicadores asociados a cada elemento, incluidos los relativos a los delitos previstos en los artículos 139 Quáter y 400 Bis del Código Penal Federal; la ponderación asignada a cada elemento y a cada indicador en función de su importancia; la escala de calificación; el catálogo de controles mitigantes y su medición de efectividad; y la determinación del Riesgo inherente y residual.</w:t>
            </w:r>
          </w:p>
          <w:p>
            <w:pPr>
              <w:spacing w:after="80" w:line="264"/>
            </w:pPr>
            <w:r>
              <w:rPr>
                <w:rFonts w:ascii="Arial" w:cs="Arial" w:eastAsia="Arial" w:hAnsi="Arial"/>
                <w:color w:val="1F2937"/>
                <w:sz w:val="19"/>
                <w:szCs w:val="19"/>
              </w:rPr>
              <w:t xml:space="preserve">La evaluación se elabora con la información del año inmediato anterior y estará a disposición de las autoridades competentes, previo requerimiento, a partir del primero de marzo de dos mil veintisiete. Cuando no se cuente con información de la totalidad del año inmediato anterior, se utilizará la disponible desde el inicio de la Actividad Vulnerable.</w:t>
            </w:r>
          </w:p>
          <w:p>
            <w:pPr>
              <w:spacing w:after="80" w:line="264"/>
            </w:pPr>
            <w:r>
              <w:rPr>
                <w:rFonts w:ascii="Arial" w:cs="Arial" w:eastAsia="Arial" w:hAnsi="Arial"/>
                <w:color w:val="1F2937"/>
                <w:sz w:val="19"/>
                <w:szCs w:val="19"/>
              </w:rPr>
              <w:t xml:space="preserve">La ponderación no es un reparto igualitario. Asignar el mismo peso a todos los indicadores no es una decisión neutra: es una decisión que la norma no admite, porque el valor se asigna «en función de su importancia».</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matriz con los pesos efectivamente calibrados y la justificación escrita de cada uno.</w:t>
      </w:r>
    </w:p>
    <w:p>
      <w:pPr>
        <w:spacing w:after="60" w:line="264"/>
        <w:ind w:left="340" w:hanging="200"/>
      </w:pPr>
      <w:r>
        <w:rPr>
          <w:rFonts w:ascii="Arial" w:cs="Arial" w:eastAsia="Arial" w:hAnsi="Arial"/>
          <w:color w:val="1F2937"/>
          <w:sz w:val="20"/>
          <w:szCs w:val="20"/>
        </w:rPr>
        <w:t xml:space="preserve">· La fecha de elaboración y el periodo de información utilizado.</w:t>
      </w:r>
    </w:p>
    <w:p>
      <w:pPr>
        <w:spacing w:after="60" w:line="264"/>
        <w:ind w:left="340" w:hanging="200"/>
      </w:pPr>
      <w:r>
        <w:rPr>
          <w:rFonts w:ascii="Arial" w:cs="Arial" w:eastAsia="Arial" w:hAnsi="Arial"/>
          <w:color w:val="1F2937"/>
          <w:sz w:val="20"/>
          <w:szCs w:val="20"/>
        </w:rPr>
        <w:t xml:space="preserve">· La coherencia demostrable entre el modelo de Cliente y la metodología de la entidad, que el RCG 23 Bis exige de manera expresa.</w:t>
      </w:r>
    </w:p>
    <w:p>
      <w:pPr>
        <w:pStyle w:val="Heading1"/>
        <w:pageBreakBefore/>
        <w:spacing w:after="60" w:before="0"/>
      </w:pPr>
      <w:r>
        <w:rPr>
          <w:rFonts w:ascii="Arial" w:cs="Arial" w:eastAsia="Arial" w:hAnsi="Arial"/>
          <w:b/>
          <w:bCs/>
          <w:color w:val="12224A"/>
          <w:sz w:val="26"/>
          <w:szCs w:val="26"/>
        </w:rPr>
        <w:t xml:space="preserve">17. Apertura, limitación y terminación de relaciones comerciales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tercer párrafo</w:t>
      </w:r>
      <w:r>
        <w:rPr>
          <w:rFonts w:ascii="Arial" w:cs="Arial" w:eastAsia="Arial" w:hAnsi="Arial"/>
          <w:i/>
          <w:iCs/>
          <w:color w:val="6B7280"/>
          <w:sz w:val="17"/>
          <w:szCs w:val="17"/>
        </w:rPr>
        <w:t xml:space="preserve"> — «el procedimiento y criterios para la determinación de la apertura, limitación o terminación de las relaciones comerciales con los Clientes o Usuarias, que deberán ser congruentes con dicha metodología».</w:t>
      </w:r>
    </w:p>
    <w:p>
      <w:pPr>
        <w:spacing w:after="120" w:line="276"/>
      </w:pPr>
      <w:r>
        <w:rPr>
          <w:rFonts w:ascii="Arial" w:cs="Arial" w:eastAsia="Arial" w:hAnsi="Arial"/>
          <w:color w:val="1F2937"/>
          <w:sz w:val="20"/>
          <w:szCs w:val="20"/>
        </w:rPr>
        <w:t xml:space="preserve">Es el apartado que casi ningún manual del mercado trae, y es el que convierte la matriz en una decisión de negocio. Si su modelo clasifica a un Cliente como alto y su Manual no dice qué se hace con ese Cliente, el modelo no sirve para nada.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abrirá relación comercial con una persona Cliente o Usuaria cuando el expediente esté integrado previamente, la verificación de identidad se haya realizado y la clasificación de Grado de Riesgo se haya efectuado conforme al apartado 3.</w:t>
            </w:r>
          </w:p>
          <w:p>
            <w:pPr>
              <w:spacing w:after="80" w:line="264"/>
            </w:pPr>
            <w:r>
              <w:rPr>
                <w:rFonts w:ascii="Arial" w:cs="Arial" w:eastAsia="Arial" w:hAnsi="Arial"/>
                <w:color w:val="1F2937"/>
                <w:sz w:val="19"/>
                <w:szCs w:val="19"/>
              </w:rPr>
              <w:t xml:space="preserve">Se limitará la relación comercial, mediante [restricción de instrumentos de pago / topes de monto / autorización previa por operación], cuando [SUPUESTOS], y en todo caso mientras esté pendiente la resolución de una alerta escalada o de una posible coincidencia en listas.</w:t>
            </w:r>
          </w:p>
          <w:p>
            <w:pPr>
              <w:spacing w:after="80" w:line="264"/>
            </w:pPr>
            <w:r>
              <w:rPr>
                <w:rFonts w:ascii="Arial" w:cs="Arial" w:eastAsia="Arial" w:hAnsi="Arial"/>
                <w:color w:val="1F2937"/>
                <w:sz w:val="19"/>
                <w:szCs w:val="19"/>
              </w:rPr>
              <w:t xml:space="preserve">Se terminará la relación comercial cuando [SUPUESTOS], y en todo caso cuando la persona Cliente o Usuaria se niegue a proporcionar la información y documentación necesarias para el cumplimiento de las obligaciones de la Ley, supuesto en el cual [DENOMINACIÓN] se abstendrá de celebrar el acto u operación sin responsabilidad alguna.</w:t>
            </w:r>
          </w:p>
          <w:p>
            <w:pPr>
              <w:spacing w:after="80" w:line="264"/>
            </w:pPr>
            <w:r>
              <w:rPr>
                <w:rFonts w:ascii="Arial" w:cs="Arial" w:eastAsia="Arial" w:hAnsi="Arial"/>
                <w:color w:val="1F2937"/>
                <w:sz w:val="19"/>
                <w:szCs w:val="19"/>
              </w:rPr>
              <w:t xml:space="preserve">La decisión de limitar o terminar la relación la adopta [CARGO], se documenta por escrito con su motivación y se conserva en el expediente del Cliente. La terminación de la relación no extingue la obligación de conservar el expediente por el plazo de diez años ni, en su caso, la de presentar el Aviso que corresponda.</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Los expedientes de Clientes con relación limitada o terminada, con la motivación escrita.</w:t>
      </w:r>
    </w:p>
    <w:p>
      <w:pPr>
        <w:spacing w:after="60" w:line="264"/>
        <w:ind w:left="340" w:hanging="200"/>
      </w:pPr>
      <w:r>
        <w:rPr>
          <w:rFonts w:ascii="Arial" w:cs="Arial" w:eastAsia="Arial" w:hAnsi="Arial"/>
          <w:color w:val="1F2937"/>
          <w:sz w:val="20"/>
          <w:szCs w:val="20"/>
        </w:rPr>
        <w:t xml:space="preserve">· La congruencia entre el Grado de Riesgo asignado y la decisión adoptada. Un Cliente de Grado alto con relación abierta y sin medida reforzada es una contradicción documentada en su propio archivo.</w:t>
      </w:r>
    </w:p>
    <w:p>
      <w:pPr>
        <w:pStyle w:val="Heading1"/>
        <w:pageBreakBefore/>
        <w:spacing w:after="60" w:before="0"/>
      </w:pPr>
      <w:r>
        <w:rPr>
          <w:rFonts w:ascii="Arial" w:cs="Arial" w:eastAsia="Arial" w:hAnsi="Arial"/>
          <w:b/>
          <w:bCs/>
          <w:color w:val="12224A"/>
          <w:sz w:val="26"/>
          <w:szCs w:val="26"/>
        </w:rPr>
        <w:t xml:space="preserve">18. Supuestos bajo los cuales no se realizan actos u operaciones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2</w:t>
      </w:r>
      <w:r>
        <w:rPr>
          <w:rFonts w:ascii="Arial" w:cs="Arial" w:eastAsia="Arial" w:hAnsi="Arial"/>
          <w:i/>
          <w:iCs/>
          <w:color w:val="6B7280"/>
          <w:sz w:val="17"/>
          <w:szCs w:val="17"/>
        </w:rPr>
        <w:t xml:space="preserve"> — la exención declarada.</w:t>
      </w:r>
    </w:p>
    <w:p>
      <w:pPr>
        <w:spacing w:after="120" w:line="276"/>
      </w:pPr>
      <w:r>
        <w:rPr>
          <w:rFonts w:ascii="Arial" w:cs="Arial" w:eastAsia="Arial" w:hAnsi="Arial"/>
          <w:color w:val="1F2937"/>
          <w:sz w:val="20"/>
          <w:szCs w:val="20"/>
        </w:rPr>
        <w:t xml:space="preserve">Este apartado le ahorra páginas y le blinda. Si usted no realiza cierto tipo de operaciones, no tiene que escribir políticas para ellas — siempre que lo haga constar aquí. Lo que no puede hacer es guardar silencio: la exención depende de la declaración.</w:t>
      </w:r>
    </w:p>
    <w:p>
      <w:pPr>
        <w:spacing w:after="120" w:line="276"/>
      </w:pPr>
      <w:r>
        <w:rPr>
          <w:rFonts w:ascii="Arial" w:cs="Arial" w:eastAsia="Arial" w:hAnsi="Arial"/>
          <w:color w:val="1F2937"/>
          <w:sz w:val="20"/>
          <w:szCs w:val="20"/>
        </w:rPr>
        <w:t xml:space="preserve">Y tiene una consecuencia práctica que conviene entender bien: en el momento en que decida realizar uno de estos actos u operaciones, la exención deja de aplicar y la política tiene que estar escrita ANTES de la primera operación, no después. Por eso el apartado 15 incluye este supuesto entre los disparadores de actualización del Manual.</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800"/>
        <w:gridCol w:w="1860"/>
      </w:tblGrid>
      <w:tr>
        <w:trPr>
          <w:cantSplit/>
          <w:tblHeader/>
        </w:trPr>
        <w:tc>
          <w:tcPr>
            <w:tcW w:type="dxa" w:w="2700"/>
            <w:shd w:fill="12224A" w:val="clear"/>
            <w:tcMar>
              <w:top w:type="dxa" w:w="80"/>
              <w:left w:type="dxa" w:w="110"/>
              <w:bottom w:type="dxa" w:w="80"/>
              <w:right w:type="dxa" w:w="110"/>
            </w:tcMar>
          </w:tcPr>
          <w:p>
            <w:r>
              <w:rPr>
                <w:rFonts w:ascii="Arial" w:cs="Arial" w:eastAsia="Arial" w:hAnsi="Arial"/>
                <w:b/>
                <w:bCs/>
                <w:color w:val="FFFFFF"/>
                <w:sz w:val="17"/>
                <w:szCs w:val="17"/>
              </w:rPr>
              <w:t xml:space="preserve">Supuesto que NO se realiza</w:t>
            </w:r>
          </w:p>
        </w:tc>
        <w:tc>
          <w:tcPr>
            <w:tcW w:type="dxa" w:w="4800"/>
            <w:shd w:fill="12224A" w:val="clear"/>
            <w:tcMar>
              <w:top w:type="dxa" w:w="80"/>
              <w:left w:type="dxa" w:w="110"/>
              <w:bottom w:type="dxa" w:w="80"/>
              <w:right w:type="dxa" w:w="110"/>
            </w:tcMar>
          </w:tcPr>
          <w:p>
            <w:r>
              <w:rPr>
                <w:rFonts w:ascii="Arial" w:cs="Arial" w:eastAsia="Arial" w:hAnsi="Arial"/>
                <w:b/>
                <w:bCs/>
                <w:color w:val="FFFFFF"/>
                <w:sz w:val="17"/>
                <w:szCs w:val="17"/>
              </w:rPr>
              <w:t xml:space="preserve">Descripción</w:t>
            </w:r>
          </w:p>
        </w:tc>
        <w:tc>
          <w:tcPr>
            <w:tcW w:type="dxa" w:w="1860"/>
            <w:shd w:fill="12224A" w:val="clear"/>
            <w:tcMar>
              <w:top w:type="dxa" w:w="80"/>
              <w:left w:type="dxa" w:w="110"/>
              <w:bottom w:type="dxa" w:w="80"/>
              <w:right w:type="dxa" w:w="110"/>
            </w:tcMar>
          </w:tcPr>
          <w:p>
            <w:r>
              <w:rPr>
                <w:rFonts w:ascii="Arial" w:cs="Arial" w:eastAsia="Arial" w:hAnsi="Arial"/>
                <w:b/>
                <w:bCs/>
                <w:color w:val="FFFFFF"/>
                <w:sz w:val="17"/>
                <w:szCs w:val="17"/>
              </w:rPr>
              <w:t xml:space="preserve">Fecha de la declaración</w:t>
            </w:r>
          </w:p>
        </w:tc>
      </w:tr>
      <w:tr>
        <w:trPr>
          <w:cantSplit/>
        </w:trPr>
        <w:tc>
          <w:tcPr>
            <w:tcW w:type="dxa" w:w="2700"/>
            <w:tcMar>
              <w:top w:type="dxa" w:w="80"/>
              <w:left w:type="dxa" w:w="110"/>
              <w:bottom w:type="dxa" w:w="80"/>
              <w:right w:type="dxa" w:w="110"/>
            </w:tcMar>
          </w:tcPr>
          <w:p>
            <w:pPr>
              <w:spacing w:line="252"/>
            </w:pPr>
            <w:r>
              <w:rPr>
                <w:rFonts w:ascii="Arial" w:cs="Arial" w:eastAsia="Arial" w:hAnsi="Arial"/>
                <w:color w:val="1F2937"/>
                <w:sz w:val="17"/>
                <w:szCs w:val="17"/>
              </w:rPr>
              <w:t xml:space="preserve">[Ejemplo: operaciones en efectivo]</w:t>
            </w:r>
          </w:p>
        </w:tc>
        <w:tc>
          <w:tcPr>
            <w:tcW w:type="dxa" w:w="4800"/>
            <w:tcMar>
              <w:top w:type="dxa" w:w="80"/>
              <w:left w:type="dxa" w:w="110"/>
              <w:bottom w:type="dxa" w:w="80"/>
              <w:right w:type="dxa" w:w="110"/>
            </w:tcMar>
          </w:tcPr>
          <w:p>
            <w:pPr>
              <w:spacing w:line="252"/>
            </w:pPr>
            <w:r>
              <w:rPr>
                <w:rFonts w:ascii="Arial" w:cs="Arial" w:eastAsia="Arial" w:hAnsi="Arial"/>
                <w:color w:val="1F2937"/>
                <w:sz w:val="17"/>
                <w:szCs w:val="17"/>
              </w:rPr>
              <w:t xml:space="preserve">[DENOMINACIÓN] no recibe pagos en efectivo bajo ninguna modalidad; la totalidad de los pagos se recibe mediante [MEDIOS].</w:t>
            </w:r>
          </w:p>
        </w:tc>
        <w:tc>
          <w:tcPr>
            <w:tcW w:type="dxa" w:w="18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[Ejemplo: Clientes personas físicas extranjeras no residentes]</w:t>
            </w:r>
          </w:p>
        </w:tc>
        <w:tc>
          <w:tcPr>
            <w:tcW w:type="dxa" w:w="4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[DENOMINACIÓN] no celebra actos u operaciones con [DESCRIPCIÓN].</w:t>
            </w:r>
          </w:p>
        </w:tc>
        <w:tc>
          <w:tcPr>
            <w:tcW w:type="dxa" w:w="18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48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8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4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8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48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8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spacing w:after="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REDACCIÓN QUE CIERRA EL APARTADO</w:t>
            </w:r>
          </w:p>
          <w:p>
            <w:pPr>
              <w:spacing w:after="80" w:line="264"/>
            </w:pPr>
            <w:r>
              <w:rPr>
                <w:rFonts w:ascii="Arial" w:cs="Arial" w:eastAsia="Arial" w:hAnsi="Arial"/>
                <w:color w:val="1F2937"/>
                <w:sz w:val="19"/>
                <w:szCs w:val="19"/>
              </w:rPr>
              <w:t xml:space="preserve">[DENOMINACIÓN] hace constar que no lleva a cabo actos u operaciones bajo los supuestos relacionados en la tabla anterior y que, en consecuencia, queda exenta de establecer políticas, criterios, medidas o procedimientos para los mismos, en términos del artículo 37 Bis 2 de las Reglas.</w:t>
            </w:r>
          </w:p>
          <w:p>
            <w:pPr>
              <w:spacing w:after="80" w:line="264"/>
            </w:pPr>
            <w:r>
              <w:rPr>
                <w:rFonts w:ascii="Arial" w:cs="Arial" w:eastAsia="Arial" w:hAnsi="Arial"/>
                <w:color w:val="1F2937"/>
                <w:sz w:val="19"/>
                <w:szCs w:val="19"/>
              </w:rPr>
              <w:t xml:space="preserve">En el momento en que [DENOMINACIÓN] decida realizar cualquiera de dichos actos u operaciones, establecerá las políticas, criterios, medidas y procedimientos respectivos en este Manual de manera previa a su realización.</w:t>
            </w:r>
          </w:p>
        </w:tc>
      </w:tr>
    </w:tbl>
    <w:p>
      <w:pPr>
        <w:pStyle w:val="Heading1"/>
        <w:pageBreakBefore/>
        <w:spacing w:after="60" w:before="0"/>
      </w:pPr>
      <w:r>
        <w:rPr>
          <w:rFonts w:ascii="Arial" w:cs="Arial" w:eastAsia="Arial" w:hAnsi="Arial"/>
          <w:b/>
          <w:bCs/>
          <w:color w:val="12224A"/>
          <w:sz w:val="26"/>
          <w:szCs w:val="26"/>
        </w:rPr>
        <w:t xml:space="preserve">19. Grupo empresarial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1 y L 18 fr. VIII, segundo párrafo</w:t>
      </w:r>
      <w:r>
        <w:rPr>
          <w:rFonts w:ascii="Arial" w:cs="Arial" w:eastAsia="Arial" w:hAnsi="Arial"/>
          <w:i/>
          <w:iCs/>
          <w:color w:val="6B7280"/>
          <w:sz w:val="17"/>
          <w:szCs w:val="17"/>
        </w:rPr>
        <w:t xml:space="preserve"> — sólo aplica si usted forma parte de un Grupo Empresarial. Si no, declárelo así en el apartado 18 y omita éste.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forma parte del Grupo Empresarial [NOMBRE] e implementa políticas y mecanismos centralizados de cumplimiento aplicables a todas las sucursales y filiales de propiedad mayoritaria, incluidas las extranjeras.</w:t>
            </w:r>
          </w:p>
          <w:p>
            <w:pPr>
              <w:spacing w:after="80" w:line="264"/>
            </w:pPr>
            <w:r>
              <w:rPr>
                <w:rFonts w:ascii="Arial" w:cs="Arial" w:eastAsia="Arial" w:hAnsi="Arial"/>
                <w:color w:val="1F2937"/>
                <w:sz w:val="19"/>
                <w:szCs w:val="19"/>
              </w:rPr>
              <w:t xml:space="preserve">Dichas políticas y mecanismos: i) resultan aplicables para todos los integrantes del Grupo; ii) permiten compartir información para fines de identificación y mitigación de Riesgos; y iii) garantizan el cumplimiento, en lo individual, de las obligaciones previstas en la Ley por parte de cada sucursal o filial.</w:t>
            </w:r>
          </w:p>
          <w:p>
            <w:pPr>
              <w:spacing w:after="80" w:line="264"/>
            </w:pPr>
            <w:r>
              <w:rPr>
                <w:rFonts w:ascii="Arial" w:cs="Arial" w:eastAsia="Arial" w:hAnsi="Arial"/>
                <w:color w:val="1F2937"/>
                <w:sz w:val="19"/>
                <w:szCs w:val="19"/>
              </w:rPr>
              <w:t xml:space="preserve">La centralización de políticas no traslada la responsabilidad: cada integrante que realice una Actividad Vulnerable responde en lo individual de sus propias obligaciones.</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política corporativa y la evidencia de su adopción por cada integrante.</w:t>
      </w:r>
    </w:p>
    <w:p>
      <w:pPr>
        <w:spacing w:after="60" w:line="264"/>
        <w:ind w:left="340" w:hanging="200"/>
      </w:pPr>
      <w:r>
        <w:rPr>
          <w:rFonts w:ascii="Arial" w:cs="Arial" w:eastAsia="Arial" w:hAnsi="Arial"/>
          <w:color w:val="1F2937"/>
          <w:sz w:val="20"/>
          <w:szCs w:val="20"/>
        </w:rPr>
        <w:t xml:space="preserve">· El convenio o protocolo de intercambio de información entre integrantes.</w:t>
      </w:r>
    </w:p>
    <w:p>
      <w:pPr>
        <w:pStyle w:val="Heading1"/>
        <w:pageBreakBefore/>
        <w:spacing w:after="60" w:before="0"/>
      </w:pPr>
      <w:r>
        <w:rPr>
          <w:rFonts w:ascii="Arial" w:cs="Arial" w:eastAsia="Arial" w:hAnsi="Arial"/>
          <w:b/>
          <w:bCs/>
          <w:color w:val="12224A"/>
          <w:sz w:val="26"/>
          <w:szCs w:val="26"/>
        </w:rPr>
        <w:t xml:space="preserve">20. Selección de personal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39 Bis 2 y L 18 fr. IX</w:t>
      </w:r>
      <w:r>
        <w:rPr>
          <w:rFonts w:ascii="Arial" w:cs="Arial" w:eastAsia="Arial" w:hAnsi="Arial"/>
          <w:i/>
          <w:iCs/>
          <w:color w:val="6B7280"/>
          <w:sz w:val="17"/>
          <w:szCs w:val="17"/>
        </w:rPr>
        <w:t xml:space="preserve"> — la fracción IX de la Ley trae dos obligaciones, no una: capacitación y selección. La segunda casi siempre falta.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establece procedimientos de selección que garantizan que su personal cuente con la calidad técnica, la experiencia necesaria y la honorabilidad para llevar a cabo sus funciones conforme a las Reglas.</w:t>
            </w:r>
          </w:p>
          <w:p>
            <w:pPr>
              <w:spacing w:after="80" w:line="264"/>
            </w:pPr>
            <w:r>
              <w:rPr>
                <w:rFonts w:ascii="Arial" w:cs="Arial" w:eastAsia="Arial" w:hAnsi="Arial"/>
                <w:color w:val="1F2937"/>
                <w:sz w:val="19"/>
                <w:szCs w:val="19"/>
              </w:rPr>
              <w:t xml:space="preserve">De cada persona funcionaria o empleada se obtiene una declaración firmada en la que al menos conste: I. en su caso, la información de cualquier otro sector en el que haya laborado previamente y que estuviera sujeto al cumplimiento de las obligaciones establecidas en la Ley; y II. que no ha sido sentenciada por delitos patrimoniales, ni inhabilitada para ejercer el comercio por incumplimiento de la legislación aplicable, ni para desempeñar un empleo, cargo o comisión en el servicio público o en el sistema financiero mexicano.</w:t>
            </w:r>
          </w:p>
          <w:p>
            <w:pPr>
              <w:spacing w:after="80" w:line="264"/>
            </w:pPr>
            <w:r>
              <w:rPr>
                <w:rFonts w:ascii="Arial" w:cs="Arial" w:eastAsia="Arial" w:hAnsi="Arial"/>
                <w:color w:val="1F2937"/>
                <w:sz w:val="19"/>
                <w:szCs w:val="19"/>
              </w:rPr>
              <w:t xml:space="preserve">Cuando una persona del personal deje de contar con la calidad técnica u honorabilidad necesarias, [DENOMINACIÓN] adoptará las medidas siguientes: [DESCRIBA].</w:t>
            </w:r>
          </w:p>
          <w:p>
            <w:pPr>
              <w:spacing w:after="80" w:line="264"/>
            </w:pPr>
            <w:r>
              <w:rPr>
                <w:rFonts w:ascii="Arial" w:cs="Arial" w:eastAsia="Arial" w:hAnsi="Arial"/>
                <w:color w:val="1F2937"/>
                <w:sz w:val="19"/>
                <w:szCs w:val="19"/>
              </w:rPr>
              <w:t xml:space="preserve">Los procedimientos de selección se aplican a las nuevas contrataciones realizadas a partir del primero de marzo de dos mil veintisiete.</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Las declaraciones firmadas, una por persona, con fecha.</w:t>
      </w:r>
    </w:p>
    <w:p>
      <w:pPr>
        <w:spacing w:after="60" w:line="264"/>
        <w:ind w:left="340" w:hanging="200"/>
      </w:pPr>
      <w:r>
        <w:rPr>
          <w:rFonts w:ascii="Arial" w:cs="Arial" w:eastAsia="Arial" w:hAnsi="Arial"/>
          <w:color w:val="1F2937"/>
          <w:sz w:val="20"/>
          <w:szCs w:val="20"/>
        </w:rPr>
        <w:t xml:space="preserve">· El expediente de las medidas aplicadas cuando alguien dejó de reunir los requisitos.</w:t>
      </w:r>
    </w:p>
    <w:p>
      <w:pPr>
        <w:pStyle w:val="Heading1"/>
        <w:pageBreakBefore/>
        <w:spacing w:after="60" w:before="0"/>
      </w:pPr>
      <w:r>
        <w:rPr>
          <w:rFonts w:ascii="Arial" w:cs="Arial" w:eastAsia="Arial" w:hAnsi="Arial"/>
          <w:b/>
          <w:bCs/>
          <w:color w:val="12224A"/>
          <w:sz w:val="26"/>
          <w:szCs w:val="26"/>
        </w:rPr>
        <w:t xml:space="preserve">21. Documentos que integran este Manual por referencia</w:t>
      </w:r>
    </w:p>
    <w:p>
      <w:pPr>
        <w:spacing w:after="120" w:line="276"/>
      </w:pPr>
      <w:r>
        <w:rPr>
          <w:rFonts w:ascii="Arial" w:cs="Arial" w:eastAsia="Arial" w:hAnsi="Arial"/>
          <w:color w:val="1F2937"/>
          <w:sz w:val="20"/>
          <w:szCs w:val="20"/>
        </w:rPr>
        <w:t xml:space="preserve">El segundo párrafo del RCG 37 admite que criterios, medidas y procedimientos consten en documento distinto, siempre que el Manual incluya las referencias. Aquí van.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100"/>
        <w:gridCol w:w="1900"/>
        <w:gridCol w:w="2360"/>
      </w:tblGrid>
      <w:tr>
        <w:trPr>
          <w:cantSplit/>
          <w:tblHeader/>
        </w:trPr>
        <w:tc>
          <w:tcPr>
            <w:tcW w:type="dxa" w:w="30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w:t>
            </w:r>
          </w:p>
        </w:tc>
        <w:tc>
          <w:tcPr>
            <w:tcW w:type="dxa" w:w="2100"/>
            <w:shd w:fill="12224A" w:val="clear"/>
            <w:tcMar>
              <w:top w:type="dxa" w:w="80"/>
              <w:left w:type="dxa" w:w="110"/>
              <w:bottom w:type="dxa" w:w="80"/>
              <w:right w:type="dxa" w:w="110"/>
            </w:tcMar>
          </w:tcPr>
          <w:p>
            <w:r>
              <w:rPr>
                <w:rFonts w:ascii="Arial" w:cs="Arial" w:eastAsia="Arial" w:hAnsi="Arial"/>
                <w:b/>
                <w:bCs/>
                <w:color w:val="FFFFFF"/>
                <w:sz w:val="17"/>
                <w:szCs w:val="17"/>
              </w:rPr>
              <w:t xml:space="preserve">Qué apartado desarrolla</w:t>
            </w:r>
          </w:p>
        </w:tc>
        <w:tc>
          <w:tcPr>
            <w:tcW w:type="dxa" w:w="1900"/>
            <w:shd w:fill="12224A" w:val="clear"/>
            <w:tcMar>
              <w:top w:type="dxa" w:w="80"/>
              <w:left w:type="dxa" w:w="110"/>
              <w:bottom w:type="dxa" w:w="80"/>
              <w:right w:type="dxa" w:w="110"/>
            </w:tcMar>
          </w:tcPr>
          <w:p>
            <w:r>
              <w:rPr>
                <w:rFonts w:ascii="Arial" w:cs="Arial" w:eastAsia="Arial" w:hAnsi="Arial"/>
                <w:b/>
                <w:bCs/>
                <w:color w:val="FFFFFF"/>
                <w:sz w:val="17"/>
                <w:szCs w:val="17"/>
              </w:rPr>
              <w:t xml:space="preserve">Versión y fecha</w:t>
            </w:r>
          </w:p>
        </w:tc>
        <w:tc>
          <w:tcPr>
            <w:tcW w:type="dxa" w:w="2360"/>
            <w:shd w:fill="12224A" w:val="clear"/>
            <w:tcMar>
              <w:top w:type="dxa" w:w="80"/>
              <w:left w:type="dxa" w:w="110"/>
              <w:bottom w:type="dxa" w:w="80"/>
              <w:right w:type="dxa" w:w="110"/>
            </w:tcMar>
          </w:tcPr>
          <w:p>
            <w:r>
              <w:rPr>
                <w:rFonts w:ascii="Arial" w:cs="Arial" w:eastAsia="Arial" w:hAnsi="Arial"/>
                <w:b/>
                <w:bCs/>
                <w:color w:val="FFFFFF"/>
                <w:sz w:val="17"/>
                <w:szCs w:val="17"/>
              </w:rPr>
              <w:t xml:space="preserve">Dónde vive</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[Metodología de evaluación de Riesgos]</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16</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[Matriz de riesgo y modelo de Cliente]</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 y 16</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[Cuestionario de debida diligencia reforzada]</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4</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[Formato de aprobación para operar con PEP de Grado alto]</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5</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[Bitácora de alertas]</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6</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[Bitácora de operaciones intentadas]</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7</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[Programa anual de capacitación]</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12</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[Carta de confidencialidad]</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14</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pStyle w:val="Heading1"/>
        <w:pageBreakBefore/>
        <w:spacing w:after="60" w:before="0"/>
      </w:pPr>
      <w:r>
        <w:rPr>
          <w:rFonts w:ascii="Arial" w:cs="Arial" w:eastAsia="Arial" w:hAnsi="Arial"/>
          <w:b/>
          <w:bCs/>
          <w:color w:val="12224A"/>
          <w:sz w:val="26"/>
          <w:szCs w:val="26"/>
        </w:rPr>
        <w:t xml:space="preserve">22. Bitácora de versiones</w:t>
      </w:r>
    </w:p>
    <w:p>
      <w:pPr>
        <w:spacing w:after="120" w:line="276"/>
      </w:pPr>
      <w:r>
        <w:rPr>
          <w:rFonts w:ascii="Arial" w:cs="Arial" w:eastAsia="Arial" w:hAnsi="Arial"/>
          <w:color w:val="1F2937"/>
          <w:sz w:val="20"/>
          <w:szCs w:val="20"/>
        </w:rPr>
        <w:t xml:space="preserve">El apartado 15 obliga a llevarla. Ésta es. Una bitácora con saltos —de la versión 1 a la 3— es una pregunta que usted va a tener que contestar.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500"/>
        <w:gridCol w:w="2900"/>
        <w:gridCol w:w="2360"/>
        <w:gridCol w:w="1400"/>
      </w:tblGrid>
      <w:tr>
        <w:trPr>
          <w:cantSplit/>
          <w:tblHeader/>
        </w:trPr>
        <w:tc>
          <w:tcPr>
            <w:tcW w:type="dxa" w:w="1200"/>
            <w:shd w:fill="12224A" w:val="clear"/>
            <w:tcMar>
              <w:top w:type="dxa" w:w="80"/>
              <w:left w:type="dxa" w:w="110"/>
              <w:bottom w:type="dxa" w:w="80"/>
              <w:right w:type="dxa" w:w="110"/>
            </w:tcMar>
          </w:tcPr>
          <w:p>
            <w:r>
              <w:rPr>
                <w:rFonts w:ascii="Arial" w:cs="Arial" w:eastAsia="Arial" w:hAnsi="Arial"/>
                <w:b/>
                <w:bCs/>
                <w:color w:val="FFFFFF"/>
                <w:sz w:val="17"/>
                <w:szCs w:val="17"/>
              </w:rPr>
              <w:t xml:space="preserve">Versión</w:t>
            </w:r>
          </w:p>
        </w:tc>
        <w:tc>
          <w:tcPr>
            <w:tcW w:type="dxa" w:w="1500"/>
            <w:shd w:fill="12224A" w:val="clear"/>
            <w:tcMar>
              <w:top w:type="dxa" w:w="80"/>
              <w:left w:type="dxa" w:w="110"/>
              <w:bottom w:type="dxa" w:w="80"/>
              <w:right w:type="dxa" w:w="110"/>
            </w:tcMar>
          </w:tcPr>
          <w:p>
            <w:r>
              <w:rPr>
                <w:rFonts w:ascii="Arial" w:cs="Arial" w:eastAsia="Arial" w:hAnsi="Arial"/>
                <w:b/>
                <w:bCs/>
                <w:color w:val="FFFFFF"/>
                <w:sz w:val="17"/>
                <w:szCs w:val="17"/>
              </w:rPr>
              <w:t xml:space="preserve">Fecha</w:t>
            </w:r>
          </w:p>
        </w:tc>
        <w:tc>
          <w:tcPr>
            <w:tcW w:type="dxa" w:w="2900"/>
            <w:shd w:fill="12224A" w:val="clear"/>
            <w:tcMar>
              <w:top w:type="dxa" w:w="80"/>
              <w:left w:type="dxa" w:w="110"/>
              <w:bottom w:type="dxa" w:w="80"/>
              <w:right w:type="dxa" w:w="110"/>
            </w:tcMar>
          </w:tcPr>
          <w:p>
            <w:r>
              <w:rPr>
                <w:rFonts w:ascii="Arial" w:cs="Arial" w:eastAsia="Arial" w:hAnsi="Arial"/>
                <w:b/>
                <w:bCs/>
                <w:color w:val="FFFFFF"/>
                <w:sz w:val="17"/>
                <w:szCs w:val="17"/>
              </w:rPr>
              <w:t xml:space="preserve">Motivo del cambio</w:t>
            </w:r>
          </w:p>
        </w:tc>
        <w:tc>
          <w:tcPr>
            <w:tcW w:type="dxa" w:w="2360"/>
            <w:shd w:fill="12224A" w:val="clear"/>
            <w:tcMar>
              <w:top w:type="dxa" w:w="80"/>
              <w:left w:type="dxa" w:w="110"/>
              <w:bottom w:type="dxa" w:w="80"/>
              <w:right w:type="dxa" w:w="110"/>
            </w:tcMar>
          </w:tcPr>
          <w:p>
            <w:r>
              <w:rPr>
                <w:rFonts w:ascii="Arial" w:cs="Arial" w:eastAsia="Arial" w:hAnsi="Arial"/>
                <w:b/>
                <w:bCs/>
                <w:color w:val="FFFFFF"/>
                <w:sz w:val="17"/>
                <w:szCs w:val="17"/>
              </w:rPr>
              <w:t xml:space="preserve">Apartados modificados</w:t>
            </w:r>
          </w:p>
        </w:tc>
        <w:tc>
          <w:tcPr>
            <w:tcW w:type="dxa" w:w="1400"/>
            <w:shd w:fill="12224A" w:val="clear"/>
            <w:tcMar>
              <w:top w:type="dxa" w:w="80"/>
              <w:left w:type="dxa" w:w="110"/>
              <w:bottom w:type="dxa" w:w="80"/>
              <w:right w:type="dxa" w:w="110"/>
            </w:tcMar>
          </w:tcPr>
          <w:p>
            <w:r>
              <w:rPr>
                <w:rFonts w:ascii="Arial" w:cs="Arial" w:eastAsia="Arial" w:hAnsi="Arial"/>
                <w:b/>
                <w:bCs/>
                <w:color w:val="FFFFFF"/>
                <w:sz w:val="17"/>
                <w:szCs w:val="17"/>
              </w:rPr>
              <w:t xml:space="preserve">Autorizó</w:t>
            </w:r>
          </w:p>
        </w:tc>
      </w:tr>
      <w:tr>
        <w:trPr>
          <w:cantSplit/>
        </w:trPr>
        <w:tc>
          <w:tcPr>
            <w:tcW w:type="dxa" w:w="1200"/>
            <w:tcMar>
              <w:top w:type="dxa" w:w="80"/>
              <w:left w:type="dxa" w:w="110"/>
              <w:bottom w:type="dxa" w:w="80"/>
              <w:right w:type="dxa" w:w="110"/>
            </w:tcMar>
          </w:tcPr>
          <w:p>
            <w:pPr>
              <w:spacing w:line="252"/>
            </w:pPr>
            <w:r>
              <w:rPr>
                <w:rFonts w:ascii="Arial" w:cs="Arial" w:eastAsia="Arial" w:hAnsi="Arial"/>
                <w:color w:val="1F2937"/>
                <w:sz w:val="17"/>
                <w:szCs w:val="17"/>
              </w:rPr>
              <w:t xml:space="preserve">1.0</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tcMar>
              <w:top w:type="dxa" w:w="80"/>
              <w:left w:type="dxa" w:w="110"/>
              <w:bottom w:type="dxa" w:w="80"/>
              <w:right w:type="dxa" w:w="110"/>
            </w:tcMar>
          </w:tcPr>
          <w:p>
            <w:pPr>
              <w:spacing w:line="252"/>
            </w:pPr>
            <w:r>
              <w:rPr>
                <w:rFonts w:ascii="Arial" w:cs="Arial" w:eastAsia="Arial" w:hAnsi="Arial"/>
                <w:color w:val="1F2937"/>
                <w:sz w:val="17"/>
                <w:szCs w:val="17"/>
              </w:rPr>
              <w:t xml:space="preserve">Emisión inicial</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Todos</w:t>
            </w:r>
          </w:p>
        </w:tc>
        <w:tc>
          <w:tcPr>
            <w:tcW w:type="dxa" w:w="14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pStyle w:val="Heading1"/>
        <w:pageBreakBefore/>
        <w:spacing w:after="60" w:before="0"/>
      </w:pPr>
      <w:r>
        <w:rPr>
          <w:rFonts w:ascii="Arial" w:cs="Arial" w:eastAsia="Arial" w:hAnsi="Arial"/>
          <w:b/>
          <w:bCs/>
          <w:color w:val="12224A"/>
          <w:sz w:val="26"/>
          <w:szCs w:val="26"/>
        </w:rPr>
        <w:t xml:space="preserve">23. Autoevaluación antes de guardar el archivo</w:t>
      </w:r>
    </w:p>
    <w:p>
      <w:pPr>
        <w:spacing w:after="120" w:line="276"/>
      </w:pPr>
      <w:r>
        <w:rPr>
          <w:rFonts w:ascii="Arial" w:cs="Arial" w:eastAsia="Arial" w:hAnsi="Arial"/>
          <w:color w:val="1F2937"/>
          <w:sz w:val="20"/>
          <w:szCs w:val="20"/>
        </w:rPr>
        <w:t xml:space="preserve">Doce preguntas. Si contesta que no a alguna, el apartado correspondiente está incompleto. No es un checklist de la autoridad: es el que conviene correr antes de que lo corra alguien más.</w:t>
      </w:r>
    </w:p>
    <w:p>
      <w:pPr>
        <w:spacing w:after="80"/>
      </w:pPr>
      <w:r>
        <w:rPr>
          <w:rFonts w:ascii="Arial" w:cs="Arial" w:eastAsia="Arial" w:hAnsi="Arial"/>
          <w:sz w:val="20"/>
          <w:szCs w:val="20"/>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700"/>
        <w:gridCol w:w="1700"/>
        <w:gridCol w:w="1500"/>
      </w:tblGrid>
      <w:tr>
        <w:trPr>
          <w:cantSplit/>
          <w:tblHeader/>
        </w:trPr>
        <w:tc>
          <w:tcPr>
            <w:tcW w:type="dxa" w:w="600"/>
            <w:shd w:fill="12224A" w:val="clear"/>
            <w:tcMar>
              <w:top w:type="dxa" w:w="80"/>
              <w:left w:type="dxa" w:w="110"/>
              <w:bottom w:type="dxa" w:w="80"/>
              <w:right w:type="dxa" w:w="110"/>
            </w:tcMar>
          </w:tcPr>
          <w:p>
            <w:r>
              <w:rPr>
                <w:rFonts w:ascii="Arial" w:cs="Arial" w:eastAsia="Arial" w:hAnsi="Arial"/>
                <w:b/>
                <w:bCs/>
                <w:color w:val="FFFFFF"/>
                <w:sz w:val="17"/>
                <w:szCs w:val="17"/>
              </w:rPr>
              <w:t xml:space="preserve">#</w:t>
            </w:r>
          </w:p>
        </w:tc>
        <w:tc>
          <w:tcPr>
            <w:tcW w:type="dxa" w:w="4700"/>
            <w:shd w:fill="12224A" w:val="clear"/>
            <w:tcMar>
              <w:top w:type="dxa" w:w="80"/>
              <w:left w:type="dxa" w:w="110"/>
              <w:bottom w:type="dxa" w:w="80"/>
              <w:right w:type="dxa" w:w="110"/>
            </w:tcMar>
          </w:tcPr>
          <w:p>
            <w:r>
              <w:rPr>
                <w:rFonts w:ascii="Arial" w:cs="Arial" w:eastAsia="Arial" w:hAnsi="Arial"/>
                <w:b/>
                <w:bCs/>
                <w:color w:val="FFFFFF"/>
                <w:sz w:val="17"/>
                <w:szCs w:val="17"/>
              </w:rPr>
              <w:t xml:space="preserve">Pregunta</w:t>
            </w:r>
          </w:p>
        </w:tc>
        <w:tc>
          <w:tcPr>
            <w:tcW w:type="dxa" w:w="1700"/>
            <w:shd w:fill="12224A" w:val="clear"/>
            <w:tcMar>
              <w:top w:type="dxa" w:w="80"/>
              <w:left w:type="dxa" w:w="110"/>
              <w:bottom w:type="dxa" w:w="80"/>
              <w:right w:type="dxa" w:w="110"/>
            </w:tcMar>
          </w:tcPr>
          <w:p>
            <w:r>
              <w:rPr>
                <w:rFonts w:ascii="Arial" w:cs="Arial" w:eastAsia="Arial" w:hAnsi="Arial"/>
                <w:b/>
                <w:bCs/>
                <w:color w:val="FFFFFF"/>
                <w:sz w:val="17"/>
                <w:szCs w:val="17"/>
              </w:rPr>
              <w:t xml:space="preserve">Apartado</w:t>
            </w:r>
          </w:p>
        </w:tc>
        <w:tc>
          <w:tcPr>
            <w:tcW w:type="dxa" w:w="1500"/>
            <w:shd w:fill="12224A" w:val="clear"/>
            <w:tcMar>
              <w:top w:type="dxa" w:w="80"/>
              <w:left w:type="dxa" w:w="110"/>
              <w:bottom w:type="dxa" w:w="80"/>
              <w:right w:type="dxa" w:w="110"/>
            </w:tcMar>
          </w:tcPr>
          <w:p>
            <w:r>
              <w:rPr>
                <w:rFonts w:ascii="Arial" w:cs="Arial" w:eastAsia="Arial" w:hAnsi="Arial"/>
                <w:b/>
                <w:bCs/>
                <w:color w:val="FFFFFF"/>
                <w:sz w:val="17"/>
                <w:szCs w:val="17"/>
              </w:rPr>
              <w:t xml:space="preserve">Sí / No</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¿Se sustituyeron todos los corchetes del documento, sin que sobreviva ninguno?</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Todos</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¿La fecha de aceptación de la designación de la RECC está registrada, y no sólo la de designación?</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0 y 11</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¿El Manual dice dónde vive el diseño de la metodología de Riesgos?</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16 y 21</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4</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¿El modelo de clasificación de Clientes puede producir Grado alto para alguien?</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5</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qué se hace con un Cliente de Grado alto, y no sólo cómo se calcula?</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4 y 17</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6</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que la aprobación de directivo se exige cuando concurren PEP y Grado alto, no sólo PEP?</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5</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7</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¿El apartado de conservación dice el domicilio registrado, y coincide con el del Padrón?</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8</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8</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qué se acumula cuando la fracción no tiene umbral de identificación?</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9</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9</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qué se hace con quien no aprueba la evaluación de capacitación?</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12</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10</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¿Los supuestos que no realiza están declarados en el apartado 18?</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18</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11</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¿La bitácora de versiones está abierta con la versión 1.0?</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22</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12</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¿Puede señalar, para cada apartado, qué documento acredita que se aplica?</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Todos</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spacing w:after="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PREGUNTA QUE RESUME LAS DOCE</w:t>
            </w:r>
          </w:p>
          <w:p>
            <w:pPr>
              <w:spacing w:after="80" w:line="264"/>
            </w:pPr>
            <w:r>
              <w:rPr>
                <w:rFonts w:ascii="Arial" w:cs="Arial" w:eastAsia="Arial" w:hAnsi="Arial"/>
                <w:color w:val="1F2937"/>
                <w:sz w:val="19"/>
                <w:szCs w:val="19"/>
              </w:rPr>
              <w:t xml:space="preserve">De todo lo que este Manual dice que usted hace, ¿qué documento lo prueba? Si la respuesta a un apartado es «el Manual mismo», ese apartado todavía no está terminado.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Políticas Internas · Plantilla 03 · Taller Antilavado 360</dc:title>
  <dc:creator>GMC360 · 360Educa</dc:creator>
  <dc:description>Plantilla editable mapeada contra RCG 37 Bis fracciones I a XIV</dc:description>
  <cp:lastModifiedBy>Un-named</cp:lastModifiedBy>
  <cp:revision>1</cp:revision>
  <dcterms:created xsi:type="dcterms:W3CDTF">2026-09-01T12:52:03.314Z</dcterms:created>
  <dcterms:modified xsi:type="dcterms:W3CDTF">2026-09-01T12:52:03.314Z</dcterms:modified>
</cp:coreProperties>
</file>

<file path=docProps/custom.xml><?xml version="1.0" encoding="utf-8"?>
<Properties xmlns="http://schemas.openxmlformats.org/officeDocument/2006/custom-properties" xmlns:vt="http://schemas.openxmlformats.org/officeDocument/2006/docPropsVTypes"/>
</file>