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4C27B"/>
          <w:sz w:val="18"/>
          <w:szCs w:val="18"/>
        </w:rPr>
        <w:t xml:space="preserve">TALLER ANTILAVADO 360 · DE LA LEY A LA PRÁCTICA</w:t>
      </w:r>
    </w:p>
    <w:p>
      <w:pPr>
        <w:spacing w:after="200"/>
      </w:pPr>
      <w:r>
        <w:rPr>
          <w:rFonts w:ascii="Arial" w:cs="Arial" w:eastAsia="Arial" w:hAnsi="Arial"/>
          <w:color w:val="4D4D4D"/>
          <w:sz w:val="18"/>
          <w:szCs w:val="18"/>
        </w:rPr>
        <w:t xml:space="preserve">Sesión 4 · Plantilla 04 del kit de cumplimiento</w:t>
      </w:r>
    </w:p>
    <w:p>
      <w:pPr>
        <w:spacing w:after="120"/>
      </w:pPr>
      <w:r>
        <w:rPr>
          <w:rFonts w:ascii="Arial" w:cs="Arial" w:eastAsia="Arial" w:hAnsi="Arial"/>
          <w:b/>
          <w:bCs/>
          <w:color w:val="1B1B1E"/>
          <w:sz w:val="44"/>
          <w:szCs w:val="44"/>
        </w:rPr>
        <w:t xml:space="preserve">Protocolo del Aviso de 24 horas</w:t>
      </w:r>
    </w:p>
    <w:p>
      <w:pPr>
        <w:spacing w:after="320"/>
      </w:pPr>
      <w:r>
        <w:rPr>
          <w:rFonts w:ascii="Arial" w:cs="Arial" w:eastAsia="Arial" w:hAnsi="Arial"/>
          <w:color w:val="4D4D4D"/>
          <w:sz w:val="22"/>
          <w:szCs w:val="22"/>
        </w:rPr>
        <w:t xml:space="preserve">Detección, análisis, decisión y registro de la sospecha, del hecho o indicio, y de la operación intentada que no se celebró</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200"/>
        <w:gridCol w:w="6160"/>
      </w:tblGrid>
      <w:tr>
        <w:trPr>
          <w:tblHeader/>
        </w:trPr>
        <w:tc>
          <w:tcPr>
            <w:tcW w:type="dxa" w:w="32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Dato</w:t>
            </w:r>
          </w:p>
        </w:tc>
        <w:tc>
          <w:tcPr>
            <w:tcW w:type="dxa" w:w="61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Contenido</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Nombre de quien realiza la Actividad Vulnerable</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Registro Federal de Contribuyentes</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Fracción o fracciones del artículo 17 de la Ley</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Persona Representante Encargada de Cumplimiento</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Fecha de aprobación de este protocolo</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Versión</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1.0</w:t>
            </w:r>
          </w:p>
        </w:tc>
      </w:tr>
    </w:tbl>
    <w:p>
      <w:pPr>
        <w:spacing w:after="240" w:before="0"/>
      </w:pPr>
      <w:r>
        <w:rPr>
          <w:rFonts w:ascii="Arial" w:cs="Arial" w:eastAsia="Arial" w:hAnsi="Arial"/>
          <w:color w:val="1B1B1E"/>
          <w:sz w:val="20"/>
          <w:szCs w:val="20"/>
        </w:rPr>
        <w:t xml:space="preserve"/>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FFF6D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Cómo se usa esta plantilla</w:t>
            </w:r>
          </w:p>
          <w:p>
            <w:pPr>
              <w:spacing w:after="60"/>
            </w:pPr>
            <w:r>
              <w:rPr>
                <w:rFonts w:ascii="Arial" w:cs="Arial" w:eastAsia="Arial" w:hAnsi="Arial"/>
                <w:color w:val="1B1B1E"/>
                <w:sz w:val="19"/>
                <w:szCs w:val="19"/>
              </w:rPr>
              <w:t>Está escrita para que usted la haga suya. Los espacios en blanco se llenan; los corchetes se sustituyen; lo que no aplique a su operación se suprime haciendo constar en el Manual que no realiza esos actos u operaciones, tal como lo pide el artículo 37 Bis 2 de las Reglas.</w:t>
            </w:r>
          </w:p>
          <w:p>
            <w:pPr>
              <w:spacing w:after="60"/>
            </w:pPr>
            <w:r>
              <w:rPr>
                <w:rFonts w:ascii="Arial" w:cs="Arial" w:eastAsia="Arial" w:hAnsi="Arial"/>
                <w:color w:val="1B1B1E"/>
                <w:sz w:val="19"/>
                <w:szCs w:val="19"/>
              </w:rPr>
              <w:t xml:space="preserve">El protocolo no vive solo: se incorpora al Manual de Políticas Internas como el desarrollo de las fracciones V y VI del artículo 37 Bis, y se opera con el archivo de bitácoras que acompaña a esta plantilla.</w:t>
            </w:r>
          </w:p>
        </w:tc>
      </w:tr>
    </w:tbl>
    <w:p>
      <w:r>
        <w:br w:type="page"/>
      </w:r>
    </w:p>
    <w:p>
      <w:pPr>
        <w:pStyle w:val="Heading1"/>
        <w:spacing w:after="160" w:before="320"/>
      </w:pPr>
      <w:r>
        <w:rPr>
          <w:rFonts w:ascii="Arial" w:cs="Arial" w:eastAsia="Arial" w:hAnsi="Arial"/>
          <w:b/>
          <w:bCs/>
          <w:color w:val="64C27B"/>
          <w:sz w:val="26"/>
          <w:szCs w:val="26"/>
        </w:rPr>
        <w:t xml:space="preserve">1. Para qué sirve, y qué parte de esto exige la norma</w:t>
      </w:r>
    </w:p>
    <w:p>
      <w:pPr>
        <w:spacing w:after="120" w:before="0"/>
      </w:pPr>
      <w:r>
        <w:rPr>
          <w:rFonts w:ascii="Arial" w:cs="Arial" w:eastAsia="Arial" w:hAnsi="Arial"/>
          <w:color w:val="1B1B1E"/>
          <w:sz w:val="20"/>
          <w:szCs w:val="20"/>
        </w:rPr>
        <w:t xml:space="preserve">Este protocolo desarrolla la obligación del segundo párrafo de la fracción VI del artículo 18 de la Ley: presentar Aviso dentro de las veinticuatro horas siguientes a aquella en que se tuvo la información o se generó la sospecha, incluso si el acto u operación no se celebró.</w:t>
      </w:r>
    </w:p>
    <w:p>
      <w:pPr>
        <w:spacing w:after="120" w:before="0"/>
      </w:pPr>
      <w:r>
        <w:rPr>
          <w:rFonts w:ascii="Arial" w:cs="Arial" w:eastAsia="Arial" w:hAnsi="Arial"/>
          <w:color w:val="1B1B1E"/>
          <w:sz w:val="20"/>
          <w:szCs w:val="20"/>
        </w:rPr>
        <w:t xml:space="preserve">La distinción que sigue es la más importante del documento y no debe borrarse al adaptarlo. Un protocolo que presenta como obligación legal lo que es método propio se cae en la primera auditoría, y arrastra consigo lo que sí estaba bien fundado.</w:t>
      </w:r>
    </w:p>
    <w:p>
      <w:pPr>
        <w:pStyle w:val="Heading2"/>
        <w:spacing w:after="120" w:before="240"/>
      </w:pPr>
      <w:r>
        <w:rPr>
          <w:rFonts w:ascii="Arial" w:cs="Arial" w:eastAsia="Arial" w:hAnsi="Arial"/>
          <w:b/>
          <w:bCs/>
          <w:color w:val="1B1B1E"/>
          <w:sz w:val="22"/>
          <w:szCs w:val="22"/>
        </w:rPr>
        <w:t xml:space="preserve">Lo que la norma exige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6000"/>
        <w:gridCol w:w="3360"/>
      </w:tblGrid>
      <w:tr>
        <w:trPr>
          <w:tblHeader/>
        </w:trPr>
        <w:tc>
          <w:tcPr>
            <w:tcW w:type="dxa" w:w="60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Obligación</w:t>
            </w:r>
          </w:p>
        </w:tc>
        <w:tc>
          <w:tcPr>
            <w:tcW w:type="dxa" w:w="33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Fundamento</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Presentar el Aviso dentro de las 24 horas siguientes a que se tuvo la información o se generó la sospecha, aunque el acto u operación no se haya celebrado.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VI, segundo párrafo</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Aviso se presenta aunque el acto u operación no se haya celebrado y sólo se cuente con los datos que identifiquen a quien intentó llevarlo a cabo.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7 Bis</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sospecha: cuando se reconoce en el Cliente o Usuaria una actividad, conducta o comportamiento inusitado en la realización de los actos u operaciones del artículo 17.</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hechos o indicios: cuando, por información de otras fuentes públicas o privadas, se conoce una acción, evento o acontecimiento relacionado con un Cliente o Usuaria.</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1</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Los dos Avisos anteriores se pueden enviar aunque el acto no cumpla el monto o la condición de Aviso del artículo 17, e incluso cuando no se haya celebrado.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2</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También se presenta Aviso cuando con quien se realiza o se intenta realizar el acto se trate de una persona incluida en el listado del artículo 38 de las Reglas.</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27, segundo párrafo</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Tener e implementar un sistema de alertas que permita la detección oportuna de cambios en el comportamiento o el Perfil transaccional.</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23 Ter 2</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Incluir en el Manual de Políticas Internas los mecanismos para detectar actos u operaciones que se aparten del Perfil transaccional, y los procedimientos para la presentación de Avisos en los tiempos y formas que establece la Ley.</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fr. V y VI</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Contar con los mecanismos para identificar a las personas publicadas en las listas que emiten autoridades nacionales u organismos internacionales, dentro del Manual, y con un sistema de alertas respecto de ellas. Esta obligación NO está diferida por ningún transitorio.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fr. IX · RCG 41 fr. V</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Guardar confidencialidad absoluta sobre la información y documentación de los actos u operaciones que sean objeto de Aviso.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38 · RCG 31</w:t>
            </w:r>
          </w:p>
        </w:tc>
      </w:tr>
    </w:tbl>
    <w:p>
      <w:pPr>
        <w:spacing w:after="160" w:before="0"/>
      </w:pPr>
      <w:r>
        <w:rPr>
          <w:rFonts w:ascii="Arial" w:cs="Arial" w:eastAsia="Arial" w:hAnsi="Arial"/>
          <w:color w:val="1B1B1E"/>
          <w:sz w:val="20"/>
          <w:szCs w:val="20"/>
        </w:rPr>
        <w:t xml:space="preserve"/>
      </w:r>
    </w:p>
    <w:p>
      <w:pPr>
        <w:pStyle w:val="Heading2"/>
        <w:spacing w:after="120" w:before="240"/>
      </w:pPr>
      <w:r>
        <w:rPr>
          <w:rFonts w:ascii="Arial" w:cs="Arial" w:eastAsia="Arial" w:hAnsi="Arial"/>
          <w:b/>
          <w:bCs/>
          <w:color w:val="1B1B1E"/>
          <w:sz w:val="22"/>
          <w:szCs w:val="22"/>
        </w:rPr>
        <w:t xml:space="preserve">Lo que es método, y así hay que decirlo</w:t>
      </w:r>
    </w:p>
    <w:p>
      <w:pPr>
        <w:spacing w:after="120" w:before="0"/>
      </w:pPr>
      <w:r>
        <w:rPr>
          <w:rFonts w:ascii="Arial" w:cs="Arial" w:eastAsia="Arial" w:hAnsi="Arial"/>
          <w:color w:val="1B1B1E"/>
          <w:sz w:val="20"/>
          <w:szCs w:val="20"/>
        </w:rPr>
        <w:t xml:space="preserve">Ninguna disposición de la Ley, del Reglamento ni de las Reglas fija el formato de una bitácora de alertas o de intentos, ni enumera pasos de escalamiento, ni fija plazos internos de decisión. Lo que sigue se propone porque es la evidencia que la auditoría de efectividad del artículo 18, fracción XI de la Ley va a buscar, y porque sin ella el cumplimiento del plazo de veinticuatro horas no se puede acreditar. Es método, no precepto.</w:t>
      </w:r>
    </w:p>
    <w:p>
      <w:pPr>
        <w:pStyle w:val="ListParagraph"/>
        <w:numPr>
          <w:ilvl w:val="0"/>
          <w:numId w:val="2"/>
        </w:numPr>
        <w:spacing w:after="80"/>
      </w:pPr>
      <w:r>
        <w:rPr>
          <w:rFonts w:ascii="Arial" w:cs="Arial" w:eastAsia="Arial" w:hAnsi="Arial"/>
          <w:color w:val="1B1B1E"/>
          <w:sz w:val="20"/>
          <w:szCs w:val="20"/>
        </w:rPr>
        <w:t xml:space="preserve">El formato de la bitácora de alertas y sus cuatro pasos.</w:t>
      </w:r>
    </w:p>
    <w:p>
      <w:pPr>
        <w:pStyle w:val="ListParagraph"/>
        <w:numPr>
          <w:ilvl w:val="0"/>
          <w:numId w:val="2"/>
        </w:numPr>
        <w:spacing w:after="80"/>
      </w:pPr>
      <w:r>
        <w:rPr>
          <w:rFonts w:ascii="Arial" w:cs="Arial" w:eastAsia="Arial" w:hAnsi="Arial"/>
          <w:color w:val="1B1B1E"/>
          <w:sz w:val="20"/>
          <w:szCs w:val="20"/>
        </w:rPr>
        <w:t xml:space="preserve">El formato de la bitácora de operaciones intentadas.</w:t>
      </w:r>
    </w:p>
    <w:p>
      <w:pPr>
        <w:pStyle w:val="ListParagraph"/>
        <w:numPr>
          <w:ilvl w:val="0"/>
          <w:numId w:val="2"/>
        </w:numPr>
        <w:spacing w:after="80"/>
      </w:pPr>
      <w:r>
        <w:rPr>
          <w:rFonts w:ascii="Arial" w:cs="Arial" w:eastAsia="Arial" w:hAnsi="Arial"/>
          <w:color w:val="1B1B1E"/>
          <w:sz w:val="20"/>
          <w:szCs w:val="20"/>
        </w:rPr>
        <w:t xml:space="preserve">Los seis campos mínimos de registro.</w:t>
      </w:r>
    </w:p>
    <w:p>
      <w:pPr>
        <w:pStyle w:val="ListParagraph"/>
        <w:numPr>
          <w:ilvl w:val="0"/>
          <w:numId w:val="2"/>
        </w:numPr>
        <w:spacing w:after="80"/>
      </w:pPr>
      <w:r>
        <w:rPr>
          <w:rFonts w:ascii="Arial" w:cs="Arial" w:eastAsia="Arial" w:hAnsi="Arial"/>
          <w:color w:val="1B1B1E"/>
          <w:sz w:val="20"/>
          <w:szCs w:val="20"/>
        </w:rPr>
        <w:t xml:space="preserve">Los plazos internos de escalamiento y decisión que se proponen en el apartado 5.</w:t>
      </w:r>
    </w:p>
    <w:p>
      <w:pPr>
        <w:pStyle w:val="Heading1"/>
        <w:spacing w:after="160" w:before="320"/>
      </w:pPr>
      <w:r>
        <w:rPr>
          <w:rFonts w:ascii="Arial" w:cs="Arial" w:eastAsia="Arial" w:hAnsi="Arial"/>
          <w:b/>
          <w:bCs/>
          <w:color w:val="64C27B"/>
          <w:sz w:val="26"/>
          <w:szCs w:val="26"/>
        </w:rPr>
        <w:t xml:space="preserve">2. Los Avisos de veinticuatro horas son tres</w:t>
      </w:r>
    </w:p>
    <w:p>
      <w:pPr>
        <w:spacing w:after="120" w:before="0"/>
      </w:pPr>
      <w:r>
        <w:rPr>
          <w:rFonts w:ascii="Arial" w:cs="Arial" w:eastAsia="Arial" w:hAnsi="Arial"/>
          <w:color w:val="1B1B1E"/>
          <w:sz w:val="20"/>
          <w:szCs w:val="20"/>
        </w:rPr>
        <w:t xml:space="preserve">Cuando el artículo transitorio Quinto del ACUERDO 115/2026 habla del «envío de los Avisos de los artículos 26 Bis, 26 Bis 1, 26 Bis 2 y 27, segundo párrafo», se refiere a lo que sigue. No es un Aviso ni son dos: son tres supuestos distintos, más una regla de alcance que se aplica a los tres.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500"/>
        <w:gridCol w:w="2000"/>
        <w:gridCol w:w="4160"/>
        <w:gridCol w:w="1700"/>
      </w:tblGrid>
      <w:tr>
        <w:trPr>
          <w:tblHeader/>
        </w:trPr>
        <w:tc>
          <w:tcPr>
            <w:tcW w:type="dxa" w:w="15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El precepto</w:t>
            </w:r>
          </w:p>
        </w:tc>
        <w:tc>
          <w:tcPr>
            <w:tcW w:type="dxa" w:w="20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Cómo se llama en este protocolo</w:t>
            </w:r>
          </w:p>
        </w:tc>
        <w:tc>
          <w:tcPr>
            <w:tcW w:type="dxa" w:w="41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De dónde nace</w:t>
            </w:r>
          </w:p>
        </w:tc>
        <w:tc>
          <w:tcPr>
            <w:tcW w:type="dxa" w:w="17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se documenta</w:t>
            </w:r>
          </w:p>
        </w:tc>
      </w:tr>
      <w:tr>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w:t>
            </w:r>
          </w:p>
        </w:tc>
        <w:tc>
          <w:tcPr>
            <w:tcW w:type="dxa" w:w="2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sospecha</w:t>
            </w:r>
          </w:p>
        </w:tc>
        <w:tc>
          <w:tcPr>
            <w:tcW w:type="dxa" w:w="4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 lo que quien realiza la Actividad Vulnerable reconoce en la actividad, conducta o comportamiento del Cliente o Usuaria, contrastado con las características con que comúnmente se llevan a cabo los actos del artículo 17. El verbo del texto es «reconozca»</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se observó, cuándo y quién lo observó</w:t>
            </w:r>
          </w:p>
        </w:tc>
      </w:tr>
      <w:tr>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1</w:t>
            </w:r>
          </w:p>
        </w:tc>
        <w:tc>
          <w:tcPr>
            <w:tcW w:type="dxa" w:w="2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hechos o indicios</w:t>
            </w:r>
          </w:p>
        </w:tc>
        <w:tc>
          <w:tcPr>
            <w:tcW w:type="dxa" w:w="4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 información obtenida por otras fuentes públicas o privadas sobre alguno de sus Clientes o Usuarias. El verbo del texto es «conozca»</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Cuándo se conoció, por qué medio y de qué fuente</w:t>
            </w:r>
          </w:p>
        </w:tc>
      </w:tr>
      <w:tr>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27, segundo párrafo</w:t>
            </w:r>
          </w:p>
        </w:tc>
        <w:tc>
          <w:tcPr>
            <w:tcW w:type="dxa" w:w="2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coincidencia con listas</w:t>
            </w:r>
          </w:p>
        </w:tc>
        <w:tc>
          <w:tcPr>
            <w:tcW w:type="dxa" w:w="4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 que la persona con quien se realiza o se intenta realizar el acto u operación está incluida en el listado a que se refiere el primer párrafo del artículo 38 de las Reglas</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Fecha y hora de la consulta, lista consultada y resultado</w:t>
            </w:r>
          </w:p>
        </w:tc>
      </w:tr>
      <w:tr>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2</w:t>
            </w:r>
          </w:p>
        </w:tc>
        <w:tc>
          <w:tcPr>
            <w:tcW w:type="dxa" w:w="2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No es un cuarto Aviso</w:t>
            </w:r>
          </w:p>
        </w:tc>
        <w:tc>
          <w:tcPr>
            <w:tcW w:type="dxa" w:w="4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la regla de alcance de los tres anteriores: se pueden enviar aunque el acto no cumpla el monto o la condición del artículo 17, e incluso cuando no se haya celebrado</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w:t>
            </w:r>
          </w:p>
        </w:tc>
      </w:tr>
    </w:tbl>
    <w:p>
      <w:pPr>
        <w:spacing w:after="12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La diferencia de fondo entre los tres no es el plazo —los tres corren en veinticuatro horas— sino de dónde sale el deber. Los dos primeros dependen de una valoración de quien realiza la Actividad Vulnerable: hay que reconocer una conducta o conocer un hecho. El tercero es objetivo y no admite valoración: basta que la persona esté en el listado. Por eso el de coincidencia con listas es el más fácil de incumplir sin darse cuenta, y por eso su control no vive en el criterio de nadie sino en el mecanismo del artículo 37 Bis, fracción IX.</w:t>
      </w:r>
    </w:p>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El segundo párrafo del artículo 26 Bis fija qué características hay que considerar al valorar el acto u operación: los montos, la frecuencia, las formas de pago, los periodos e instrumentos de pago, el área geográfica en la que se realizan, y el tipo o naturaleza del acto u operación. Son casi los mismos elementos del Perfil transaccional del artículo 3, fracción XI Sexties de las Reglas, y no es coincidencia: el Aviso de veinticuatro horas es lo que ocurre cuando la alerta del perfil no se puede descartar.</w:t>
      </w:r>
    </w:p>
    <w:p>
      <w:pPr>
        <w:pStyle w:val="Heading1"/>
        <w:spacing w:after="160" w:before="320"/>
      </w:pPr>
      <w:r>
        <w:rPr>
          <w:rFonts w:ascii="Arial" w:cs="Arial" w:eastAsia="Arial" w:hAnsi="Arial"/>
          <w:b/>
          <w:bCs/>
          <w:color w:val="64C27B"/>
          <w:sz w:val="26"/>
          <w:szCs w:val="26"/>
        </w:rPr>
        <w:t xml:space="preserve">3. Cuándo arranca el plazo</w:t>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FFF6D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La regla de oro de este protocolo</w:t>
            </w:r>
          </w:p>
          <w:p>
            <w:pPr>
              <w:spacing w:after="60"/>
            </w:pPr>
            <w:r>
              <w:rPr>
                <w:rFonts w:ascii="Arial" w:cs="Arial" w:eastAsia="Arial" w:hAnsi="Arial"/>
                <w:color w:val="1B1B1E"/>
                <w:sz w:val="19"/>
                <w:szCs w:val="19"/>
              </w:rPr>
              <w:t xml:space="preserve">Las veinticuatro horas no corren desde la operación. Corren desde el momento en que se reconoce la conducta inusitada o se conoce el hecho o indicio.</w:t>
            </w:r>
          </w:p>
          <w:p>
            <w:pPr>
              <w:spacing w:after="60"/>
            </w:pPr>
            <w:r>
              <w:rPr>
                <w:rFonts w:ascii="Arial" w:cs="Arial" w:eastAsia="Arial" w:hAnsi="Arial"/>
                <w:color w:val="1B1B1E"/>
                <w:sz w:val="19"/>
                <w:szCs w:val="19"/>
              </w:rPr>
              <w:t xml:space="preserve">Como ese momento sólo lo puede acreditar quien realiza la Actividad Vulnerable, el dato más importante de todo el registro es la fecha y la hora en que se supo. Sin ese dato no se puede demostrar que se llegó a tiempo, ni defenderse de la afirmación de que se llegó tarde.</w:t>
            </w:r>
          </w:p>
        </w:tc>
      </w:tr>
    </w:tbl>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Las Reglas no fijan una regla especial de cómputo para este plazo. El artículo 36 Bis, que define días y horas hábiles, está redactado para las actuaciones y diligencias que se llevan a cabo ante el Servicio de Administración Tributaria y para los plazos fijados en días, de modo que no alarga este plazo. Criterio de esta plantilla: contar veinticuatro horas naturales desde el registro del momento de conocimiento, y dejar constancia de la hora.</w:t>
      </w:r>
    </w:p>
    <w:p>
      <w:pPr>
        <w:pStyle w:val="Heading1"/>
        <w:spacing w:after="160" w:before="320"/>
      </w:pPr>
      <w:r>
        <w:rPr>
          <w:rFonts w:ascii="Arial" w:cs="Arial" w:eastAsia="Arial" w:hAnsi="Arial"/>
          <w:b/>
          <w:bCs/>
          <w:color w:val="64C27B"/>
          <w:sz w:val="26"/>
          <w:szCs w:val="26"/>
        </w:rPr>
        <w:t xml:space="preserve">4. El acto que no se celebró, y el que no llega al umbral</w:t>
      </w:r>
    </w:p>
    <w:p>
      <w:pPr>
        <w:spacing w:after="120" w:before="0"/>
      </w:pPr>
      <w:r>
        <w:rPr>
          <w:rFonts w:ascii="Arial" w:cs="Arial" w:eastAsia="Arial" w:hAnsi="Arial"/>
          <w:color w:val="1B1B1E"/>
          <w:sz w:val="20"/>
          <w:szCs w:val="20"/>
        </w:rPr>
        <w:t xml:space="preserve">Son dos supuestos distintos, los dos resueltos por texto expreso, y no tienen la misma fuerza. Conviene no confundirlos, porque uno es deber y el otro es facultad.</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5160"/>
        <w:gridCol w:w="1800"/>
      </w:tblGrid>
      <w:tr>
        <w:trPr>
          <w:tblHeader/>
        </w:trPr>
        <w:tc>
          <w:tcPr>
            <w:tcW w:type="dxa" w:w="24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Supuesto</w:t>
            </w:r>
          </w:p>
        </w:tc>
        <w:tc>
          <w:tcPr>
            <w:tcW w:type="dxa" w:w="51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dice el texto</w:t>
            </w:r>
          </w:p>
        </w:tc>
        <w:tc>
          <w:tcPr>
            <w:tcW w:type="dxa" w:w="18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es</w:t>
            </w:r>
          </w:p>
        </w:tc>
      </w:tr>
      <w:tr>
        <w:tc>
          <w:tcPr>
            <w:tcW w:type="dxa" w:w="2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acto NO se celebró</w:t>
            </w:r>
          </w:p>
        </w:tc>
        <w:tc>
          <w:tcPr>
            <w:tcW w:type="dxa" w:w="5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 Ley ordena presentar Aviso «incluso si el acto u operación no se celebró» y el Reglamento dice que «se presentará aunque el acto u operación no se haya celebrado», cuando se cuente con los datos que identifiquen a quien intentó llevarlo a cabo. L 18 fr. VI, segundo párrafo, y R 7 Bis</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Imperativo. Se presenta.</w:t>
            </w:r>
          </w:p>
        </w:tc>
      </w:tr>
      <w:tr>
        <w:tc>
          <w:tcPr>
            <w:tcW w:type="dxa" w:w="2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acto sí se celebró pero NO alcanza el umbral</w:t>
            </w:r>
          </w:p>
        </w:tc>
        <w:tc>
          <w:tcPr>
            <w:tcW w:type="dxa" w:w="5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Las Reglas dicen que los Avisos «se podrán enviar» aunque el acto no cumpla con el monto o la condición del artículo 17. RCG 26 Bis 2</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Facultad. Hay margen de valoración, y lo que se defiende después es la razón escrita de haberla ejercido o no.</w:t>
            </w:r>
          </w:p>
        </w:tc>
      </w:tr>
    </w:tbl>
    <w:p>
      <w:pPr>
        <w:spacing w:after="12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En la práctica esto significa que la persona que llegó, preguntó y se retiró cuando se le pidió identificación no es un cliente perdido: es un intento, y si quedaron datos suficientes para identificarla, presentar el Aviso no es opcional. De ahí que este protocolo exija abrir registro antes de saber si la operación se va a celebrar.</w:t>
      </w:r>
    </w:p>
    <w:p>
      <w:pPr>
        <w:spacing w:after="120" w:before="0"/>
      </w:pPr>
      <w:r>
        <w:rPr>
          <w:rFonts w:ascii="Arial" w:cs="Arial" w:eastAsia="Arial" w:hAnsi="Arial"/>
          <w:color w:val="1B1B1E"/>
          <w:sz w:val="20"/>
          <w:szCs w:val="20"/>
        </w:rPr>
        <w:t xml:space="preserve">Y para el segundo supuesto, la consecuencia operativa es que el registro debe consignar la decisión en los dos sentidos: tanto cuando se decide enviar como cuando se decide no hacerlo. Una facultad ejercida sin constancia se lee, en revisión, igual que una facultad no ejercida.</w:t>
      </w:r>
    </w:p>
    <w:p>
      <w:pPr>
        <w:pStyle w:val="Heading1"/>
        <w:spacing w:after="160" w:before="320"/>
      </w:pPr>
      <w:r>
        <w:rPr>
          <w:rFonts w:ascii="Arial" w:cs="Arial" w:eastAsia="Arial" w:hAnsi="Arial"/>
          <w:b/>
          <w:bCs/>
          <w:color w:val="64C27B"/>
          <w:sz w:val="26"/>
          <w:szCs w:val="26"/>
        </w:rPr>
        <w:t xml:space="preserve">5. El diferimiento del envío, y lo que no está diferido</w:t>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E6F5E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Estado al 7 de septiembre de 2026 — verifíquelo antes de aplicar este apartado</w:t>
            </w:r>
          </w:p>
          <w:p>
            <w:pPr>
              <w:spacing w:after="60"/>
            </w:pPr>
            <w:r>
              <w:rPr>
                <w:rFonts w:ascii="Arial" w:cs="Arial" w:eastAsia="Arial" w:hAnsi="Arial"/>
                <w:color w:val="1B1B1E"/>
                <w:sz w:val="19"/>
                <w:szCs w:val="19"/>
              </w:rPr>
              <w:t xml:space="preserve">El artículo transitorio Quinto del Decreto de reforma al Reglamento (DOF 27-03-2026) sujeta la presentación del Aviso del artículo 7 Bis a que los Anexos de la Resolución de formatos oficiales sean actualizados y abarquen los escenarios del segundo párrafo de la fracción VI del artículo 18 de la Ley.</w:t>
            </w:r>
          </w:p>
          <w:p>
            <w:pPr>
              <w:spacing w:after="60"/>
            </w:pPr>
            <w:r>
              <w:rPr>
                <w:rFonts w:ascii="Arial" w:cs="Arial" w:eastAsia="Arial" w:hAnsi="Arial"/>
                <w:color w:val="1B1B1E"/>
                <w:sz w:val="19"/>
                <w:szCs w:val="19"/>
              </w:rPr>
              <w:t xml:space="preserve">El artículo transitorio Quinto del ACUERDO 115/2026 añade que el envío de los tres Avisos del apartado 2 —sospecha, hechos o indicios, y coincidencia con listas— podrá realizarse seis meses después de que entre en vigor esa Resolución.</w:t>
            </w:r>
          </w:p>
          <w:p>
            <w:pPr>
              <w:spacing w:after="60"/>
            </w:pPr>
            <w:r>
              <w:rPr>
                <w:rFonts w:ascii="Arial" w:cs="Arial" w:eastAsia="Arial" w:hAnsi="Arial"/>
                <w:color w:val="1B1B1E"/>
                <w:sz w:val="19"/>
                <w:szCs w:val="19"/>
              </w:rPr>
              <w:t xml:space="preserve">Lo diferido es el medio de envío. La obligación de detectar, analizar, decidir y documentar no está sujeta a ningún transitorio, y tampoco lo está el mecanismo de identificación de listas del artículo 37 Bis, fracción IX. El día en que exista el formato, el Aviso describirá hechos ocurridos antes, y lo único que los sostendrá será lo que se haya escrito el día en que ocurrieron.</w:t>
            </w:r>
          </w:p>
        </w:tc>
      </w:tr>
    </w:tbl>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Mientras el formato no exista, la columna de estado de envío de la bitácora se llena con la leyenda «pendiente de envío: el formato oficial aún no contempla este escenario», y el expediente conserva el análisis completo. Publicada la Resolución, se actualiza este apartado con su fecha de entrada en vigor y se calcula el plazo de seis meses.</w:t>
      </w:r>
    </w:p>
    <w:p>
      <w:pPr>
        <w:pStyle w:val="Heading1"/>
        <w:spacing w:after="160" w:before="320"/>
      </w:pPr>
      <w:r>
        <w:rPr>
          <w:rFonts w:ascii="Arial" w:cs="Arial" w:eastAsia="Arial" w:hAnsi="Arial"/>
          <w:b/>
          <w:bCs/>
          <w:color w:val="64C27B"/>
          <w:sz w:val="26"/>
          <w:szCs w:val="26"/>
        </w:rPr>
        <w:t xml:space="preserve">6. Quién hace qué</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700"/>
        <w:gridCol w:w="2300"/>
        <w:gridCol w:w="3660"/>
        <w:gridCol w:w="1700"/>
      </w:tblGrid>
      <w:tr>
        <w:trPr>
          <w:tblHeader/>
        </w:trPr>
        <w:tc>
          <w:tcPr>
            <w:tcW w:type="dxa" w:w="17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Función</w:t>
            </w:r>
          </w:p>
        </w:tc>
        <w:tc>
          <w:tcPr>
            <w:tcW w:type="dxa" w:w="23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Quién</w:t>
            </w:r>
          </w:p>
        </w:tc>
        <w:tc>
          <w:tcPr>
            <w:tcW w:type="dxa" w:w="36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le toca</w:t>
            </w:r>
          </w:p>
        </w:tc>
        <w:tc>
          <w:tcPr>
            <w:tcW w:type="dxa" w:w="17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Plazo interno propuesto</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Detección</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Toda persona que atiende público, integra expedientes, opera el sistema de alertas o presenta Avisos</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Abrir registro en cuanto observa la conducta o conoce el hecho. No valorar si «amerita»: eso no le toca</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Inmediato, el mismo día</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Escalamiento</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[cargo del área de cumplimiento]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Recibir el registro, completar los campos faltantes y elevarlo a la persona Representante Encargada de Cumplimiento</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Dentro de las 4 horas siguientes</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Análisis</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[cargo del área de cumplimiento]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Revisar expediente, perfil transaccional, operaciones previas y fuentes de consulta; dejar por escrito qué se revisó</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Dentro de las 8 horas siguientes</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Decisión</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Persona Representante Encargada de Cumplimiento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Resolver entre las tres salidas del apartado 8 y firmar la razón escrita</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Dentro de las 16 horas siguientes al momento de conocimiento</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Envío</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Persona Representante Encargada de Cumplimiento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Presentar el Aviso por el Portal en Internet, con la e.firma asociada al RFC de quien realiza la Actividad Vulnerable</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Dentro de las 24 horas</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Resguardo</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[cargo responsable del archivo]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Integrar el expediente del caso y conservarlo diez años</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mismo día del cierre</w:t>
            </w:r>
          </w:p>
        </w:tc>
      </w:tr>
    </w:tbl>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Los plazos internos de esta tabla son propuesta y suman menos de veinticuatro horas a propósito, para que el plazo legal no se consuma en el trayecto. Ajústelos a su operación y déjelos escritos: un plazo interno que nadie fijó es un plazo que nadie incumple y que nadie cumple.</w:t>
      </w:r>
    </w:p>
    <w:p>
      <w:pPr>
        <w:spacing w:after="120" w:before="0"/>
      </w:pPr>
      <w:r>
        <w:rPr>
          <w:rFonts w:ascii="Arial" w:cs="Arial" w:eastAsia="Arial" w:hAnsi="Arial"/>
          <w:color w:val="1B1B1E"/>
          <w:sz w:val="20"/>
          <w:szCs w:val="20"/>
        </w:rPr>
        <w:t xml:space="preserve">Mientras no haya persona Representante Encargada de Cumplimiento o la designación no sea aceptada, la decisión corresponde a los integrantes del órgano de administración o a quien funja como administrador único, conforme al segundo párrafo del artículo 20 de la Ley.</w:t>
      </w:r>
    </w:p>
    <w:p>
      <w:pPr>
        <w:pStyle w:val="Heading1"/>
        <w:spacing w:after="160" w:before="320"/>
      </w:pPr>
      <w:r>
        <w:rPr>
          <w:rFonts w:ascii="Arial" w:cs="Arial" w:eastAsia="Arial" w:hAnsi="Arial"/>
          <w:b/>
          <w:bCs/>
          <w:color w:val="64C27B"/>
          <w:sz w:val="26"/>
          <w:szCs w:val="26"/>
        </w:rPr>
        <w:t xml:space="preserve">7. El procedimiento, paso a paso</w:t>
      </w:r>
    </w:p>
    <w:p>
      <w:pPr>
        <w:pStyle w:val="ListParagraph"/>
        <w:numPr>
          <w:ilvl w:val="0"/>
          <w:numId w:val="3"/>
        </w:numPr>
        <w:spacing w:after="80"/>
      </w:pPr>
      <w:r>
        <w:rPr>
          <w:rFonts w:ascii="Arial" w:cs="Arial" w:eastAsia="Arial" w:hAnsi="Arial"/>
          <w:color w:val="1B1B1E"/>
          <w:sz w:val="20"/>
          <w:szCs w:val="20"/>
        </w:rPr>
        <w:t xml:space="preserve">Se abre registro. Cualquiera que detecte la conducta o conozca el hecho abre el registro en la bitácora que corresponda, con la fecha y la hora en que se supo. Este paso no admite filtro previo.</w:t>
      </w:r>
    </w:p>
    <w:p>
      <w:pPr>
        <w:pStyle w:val="ListParagraph"/>
        <w:numPr>
          <w:ilvl w:val="0"/>
          <w:numId w:val="3"/>
        </w:numPr>
        <w:spacing w:after="80"/>
      </w:pPr>
      <w:r>
        <w:rPr>
          <w:rFonts w:ascii="Arial" w:cs="Arial" w:eastAsia="Arial" w:hAnsi="Arial"/>
          <w:color w:val="1B1B1E"/>
          <w:sz w:val="20"/>
          <w:szCs w:val="20"/>
        </w:rPr>
        <w:t xml:space="preserve">Se escala. El registro llega al área de cumplimiento con los datos que haya. La falta de datos no detiene el escalamiento.</w:t>
      </w:r>
    </w:p>
    <w:p>
      <w:pPr>
        <w:pStyle w:val="ListParagraph"/>
        <w:numPr>
          <w:ilvl w:val="0"/>
          <w:numId w:val="3"/>
        </w:numPr>
        <w:spacing w:after="80"/>
      </w:pPr>
      <w:r>
        <w:rPr>
          <w:rFonts w:ascii="Arial" w:cs="Arial" w:eastAsia="Arial" w:hAnsi="Arial"/>
          <w:color w:val="1B1B1E"/>
          <w:sz w:val="20"/>
          <w:szCs w:val="20"/>
        </w:rPr>
        <w:t xml:space="preserve">Se analiza. Se revisan expediente único de identificación, Perfil transaccional, operaciones de los últimos seis meses, Grado de Riesgo asignado, condición de Persona Políticamente Expuesta y coincidencias con el listado del artículo 38 de las Reglas. Se anota qué se revisó, no sólo la conclusión.</w:t>
      </w:r>
    </w:p>
    <w:p>
      <w:pPr>
        <w:pStyle w:val="ListParagraph"/>
        <w:numPr>
          <w:ilvl w:val="0"/>
          <w:numId w:val="3"/>
        </w:numPr>
        <w:spacing w:after="80"/>
      </w:pPr>
      <w:r>
        <w:rPr>
          <w:rFonts w:ascii="Arial" w:cs="Arial" w:eastAsia="Arial" w:hAnsi="Arial"/>
          <w:color w:val="1B1B1E"/>
          <w:sz w:val="20"/>
          <w:szCs w:val="20"/>
        </w:rPr>
        <w:t xml:space="preserve">Se decide. La persona Representante Encargada de Cumplimiento resuelve entre las tres salidas del apartado 8 y firma la razón escrita. Una decisión sin razón escrita no acredita nada.</w:t>
      </w:r>
    </w:p>
    <w:p>
      <w:pPr>
        <w:pStyle w:val="ListParagraph"/>
        <w:numPr>
          <w:ilvl w:val="0"/>
          <w:numId w:val="3"/>
        </w:numPr>
        <w:spacing w:after="80"/>
      </w:pPr>
      <w:r>
        <w:rPr>
          <w:rFonts w:ascii="Arial" w:cs="Arial" w:eastAsia="Arial" w:hAnsi="Arial"/>
          <w:color w:val="1B1B1E"/>
          <w:sz w:val="20"/>
          <w:szCs w:val="20"/>
        </w:rPr>
        <w:t xml:space="preserve">Se envía o se deja constancia del diferimiento, según el apartado 5.</w:t>
      </w:r>
    </w:p>
    <w:p>
      <w:pPr>
        <w:pStyle w:val="ListParagraph"/>
        <w:numPr>
          <w:ilvl w:val="0"/>
          <w:numId w:val="3"/>
        </w:numPr>
        <w:spacing w:after="80"/>
      </w:pPr>
      <w:r>
        <w:rPr>
          <w:rFonts w:ascii="Arial" w:cs="Arial" w:eastAsia="Arial" w:hAnsi="Arial"/>
          <w:color w:val="1B1B1E"/>
          <w:sz w:val="20"/>
          <w:szCs w:val="20"/>
        </w:rPr>
        <w:t xml:space="preserve">Se cierra y se resguarda. Se integra el expediente del caso con el registro, el análisis, la decisión y, en su caso, el acuse.</w:t>
      </w:r>
    </w:p>
    <w:p>
      <w:pPr>
        <w:pStyle w:val="Heading1"/>
        <w:spacing w:after="160" w:before="320"/>
      </w:pPr>
      <w:r>
        <w:rPr>
          <w:rFonts w:ascii="Arial" w:cs="Arial" w:eastAsia="Arial" w:hAnsi="Arial"/>
          <w:b/>
          <w:bCs/>
          <w:color w:val="64C27B"/>
          <w:sz w:val="26"/>
          <w:szCs w:val="26"/>
        </w:rPr>
        <w:t xml:space="preserve">8. Las tres salidas</w:t>
      </w:r>
    </w:p>
    <w:p>
      <w:pPr>
        <w:spacing w:after="120" w:before="0"/>
      </w:pPr>
      <w:r>
        <w:rPr>
          <w:rFonts w:ascii="Arial" w:cs="Arial" w:eastAsia="Arial" w:hAnsi="Arial"/>
          <w:color w:val="1B1B1E"/>
          <w:sz w:val="20"/>
          <w:szCs w:val="20"/>
        </w:rPr>
        <w:t xml:space="preserve">Una alerta o un registro de intento puede terminar en tres lugares, y sólo uno de ellos es el Aviso. Confundir «alerta» con «aviso» es lo que lleva a no generar alertas, que es el peor de los mundos posibles.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300"/>
        <w:gridCol w:w="3830"/>
        <w:gridCol w:w="3230"/>
      </w:tblGrid>
      <w:tr>
        <w:trPr>
          <w:tblHeader/>
        </w:trPr>
        <w:tc>
          <w:tcPr>
            <w:tcW w:type="dxa" w:w="23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Salida</w:t>
            </w:r>
          </w:p>
        </w:tc>
        <w:tc>
          <w:tcPr>
            <w:tcW w:type="dxa" w:w="383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Cuándo procede</w:t>
            </w:r>
          </w:p>
        </w:tc>
        <w:tc>
          <w:tcPr>
            <w:tcW w:type="dxa" w:w="323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queda documentado</w:t>
            </w:r>
          </w:p>
        </w:tc>
      </w:tr>
      <w:tr>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Se descarta</w:t>
            </w:r>
          </w:p>
        </w:tc>
        <w:tc>
          <w:tcPr>
            <w:tcW w:type="dxa" w:w="38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Cuando el análisis explica la conducta o el hecho de manera razonable y consistente con el expediente y el Perfil transaccional</w:t>
            </w:r>
          </w:p>
        </w:tc>
        <w:tc>
          <w:tcPr>
            <w:tcW w:type="dxa" w:w="32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 razón escrita, quién la firmó y qué se revisó para llegar a ella. Es la salida más frecuente y es legítima</w:t>
            </w:r>
          </w:p>
        </w:tc>
      </w:tr>
      <w:tr>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Actualiza el expediente o el Perfil transaccional</w:t>
            </w:r>
          </w:p>
        </w:tc>
        <w:tc>
          <w:tcPr>
            <w:tcW w:type="dxa" w:w="38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Cuando el acto se apartó del perfil por una causa real y verificada, y hay cambio significativo. Es el supuesto de la fracción IV del artículo 23 Ter de las Reglas</w:t>
            </w:r>
          </w:p>
        </w:tc>
        <w:tc>
          <w:tcPr>
            <w:tcW w:type="dxa" w:w="32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soporte del cambio, el perfil anterior y el nuevo, y la fecha. El histórico se conserva diez años conforme al artículo 41, fracción IV</w:t>
            </w:r>
          </w:p>
        </w:tc>
      </w:tr>
      <w:tr>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Se convierte en Aviso de 24 horas</w:t>
            </w:r>
          </w:p>
        </w:tc>
        <w:tc>
          <w:tcPr>
            <w:tcW w:type="dxa" w:w="38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Cuando subsiste la sospecha, o cuando el hecho o indicio no se desvirtúa</w:t>
            </w:r>
          </w:p>
        </w:tc>
        <w:tc>
          <w:tcPr>
            <w:tcW w:type="dxa" w:w="32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registro completo, el análisis, la decisión firmada y el acuse cuando exista formato</w:t>
            </w:r>
          </w:p>
        </w:tc>
      </w:tr>
    </w:tbl>
    <w:p>
      <w:pPr>
        <w:spacing w:after="160" w:before="0"/>
      </w:pPr>
      <w:r>
        <w:rPr>
          <w:rFonts w:ascii="Arial" w:cs="Arial" w:eastAsia="Arial" w:hAnsi="Arial"/>
          <w:color w:val="1B1B1E"/>
          <w:sz w:val="20"/>
          <w:szCs w:val="20"/>
        </w:rPr>
        <w:t xml:space="preserve"/>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FFF6D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La frase que conviene tener escrita en el Manual</w:t>
            </w:r>
          </w:p>
          <w:p>
            <w:pPr>
              <w:spacing w:after="60"/>
            </w:pPr>
            <w:r>
              <w:rPr>
                <w:rFonts w:ascii="Arial" w:cs="Arial" w:eastAsia="Arial" w:hAnsi="Arial"/>
                <w:color w:val="1B1B1E"/>
                <w:sz w:val="19"/>
                <w:szCs w:val="19"/>
              </w:rPr>
              <w:t xml:space="preserve">Una alerta no es una confesión: es la prueba de que el control existe y de que alguien lo está mirando. El periodo que no generó una sola alerta no acredita ausencia de riesgo; acredita ausencia de monitoreo.</w:t>
            </w:r>
          </w:p>
        </w:tc>
      </w:tr>
    </w:tbl>
    <w:p>
      <w:pPr>
        <w:pStyle w:val="Heading1"/>
        <w:spacing w:after="160" w:before="320"/>
      </w:pPr>
      <w:r>
        <w:rPr>
          <w:rFonts w:ascii="Arial" w:cs="Arial" w:eastAsia="Arial" w:hAnsi="Arial"/>
          <w:b/>
          <w:bCs/>
          <w:color w:val="64C27B"/>
          <w:sz w:val="26"/>
          <w:szCs w:val="26"/>
        </w:rPr>
        <w:t xml:space="preserve">9. Qué se documenta, como mínimo</w:t>
      </w:r>
    </w:p>
    <w:p>
      <w:pPr>
        <w:spacing w:after="120" w:before="0"/>
      </w:pPr>
      <w:r>
        <w:rPr>
          <w:rFonts w:ascii="Arial" w:cs="Arial" w:eastAsia="Arial" w:hAnsi="Arial"/>
          <w:color w:val="1B1B1E"/>
          <w:sz w:val="20"/>
          <w:szCs w:val="20"/>
        </w:rPr>
        <w:t xml:space="preserve">Seis campos. La bitácora corta se llena y la larga no; ésa es toda la razón de que sean seis.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600"/>
        <w:gridCol w:w="3060"/>
        <w:gridCol w:w="5700"/>
      </w:tblGrid>
      <w:tr>
        <w:trPr>
          <w:tblHeader/>
        </w:trPr>
        <w:tc>
          <w:tcPr>
            <w:tcW w:type="dxa" w:w="6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w:t>
            </w:r>
          </w:p>
        </w:tc>
        <w:tc>
          <w:tcPr>
            <w:tcW w:type="dxa" w:w="30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Campo</w:t>
            </w:r>
          </w:p>
        </w:tc>
        <w:tc>
          <w:tcPr>
            <w:tcW w:type="dxa" w:w="57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Por qué</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1</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Quién detectó</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Acredita que el mecanismo alcanzó al personal que tiene contacto con el Cliente o Usuaria</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2</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detectó</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el hecho, descrito sin calificarlo. La calificación viene después</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3</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 qué hora se supo</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el dato del que depende el plazo. Sin él no hay cumplimiento demostrable</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4</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se revisó</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lo que convierte una corazonada en un análisis</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5</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Quién decidió y con qué razón</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lo que hace defendible la decisión de no avisar</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6</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En qué terminó y dónde queda el soporte</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lo que permite reconstruir el caso años después</w:t>
            </w:r>
          </w:p>
        </w:tc>
      </w:tr>
    </w:tbl>
    <w:p>
      <w:pPr>
        <w:pStyle w:val="Heading1"/>
        <w:spacing w:after="160" w:before="320"/>
      </w:pPr>
      <w:r>
        <w:rPr>
          <w:rFonts w:ascii="Arial" w:cs="Arial" w:eastAsia="Arial" w:hAnsi="Arial"/>
          <w:b/>
          <w:bCs/>
          <w:color w:val="64C27B"/>
          <w:sz w:val="26"/>
          <w:szCs w:val="26"/>
        </w:rPr>
        <w:t xml:space="preserve">10. Confidencialidad</w:t>
      </w:r>
    </w:p>
    <w:p>
      <w:pPr>
        <w:spacing w:after="120" w:before="0"/>
      </w:pPr>
      <w:r>
        <w:rPr>
          <w:rFonts w:ascii="Arial" w:cs="Arial" w:eastAsia="Arial" w:hAnsi="Arial"/>
          <w:color w:val="1B1B1E"/>
          <w:sz w:val="20"/>
          <w:szCs w:val="20"/>
        </w:rPr>
        <w:t xml:space="preserve">No se informa al Cliente o Usuaria, ni a terceros, que se abrió un registro, que se analizó una operación o que se presentó un Aviso. El artículo 38 de la Ley declara confidencial y reservada la información y documentación soporte de los Avisos y la identidad de quien los presenta; el artículo 31 de las Reglas extiende el deber a consejeros, administradores, representantes, directivos, funcionarios, la persona Representante Encargada de Cumplimiento, empleados sin distinción de esquema de contratación, apoderados y factores, e incluye expresamente la documentación relativa a la identificación y estructura de control del Beneficiario Controlador.</w:t>
      </w:r>
    </w:p>
    <w:p>
      <w:pPr>
        <w:spacing w:after="120" w:before="0"/>
      </w:pPr>
      <w:r>
        <w:rPr>
          <w:rFonts w:ascii="Arial" w:cs="Arial" w:eastAsia="Arial" w:hAnsi="Arial"/>
          <w:color w:val="1B1B1E"/>
          <w:sz w:val="20"/>
          <w:szCs w:val="20"/>
        </w:rPr>
        <w:t xml:space="preserve">Revelar o divulgar, por cualquier medio y sin autorización, información que vincule a una persona con un Aviso, está tipificado como delito en la fracción II del artículo 63 de la Ley, con prisión de cuatro a diez años, exista o no el Aviso.</w:t>
      </w:r>
    </w:p>
    <w:p>
      <w:pPr>
        <w:pStyle w:val="Heading1"/>
        <w:spacing w:after="160" w:before="320"/>
      </w:pPr>
      <w:r>
        <w:rPr>
          <w:rFonts w:ascii="Arial" w:cs="Arial" w:eastAsia="Arial" w:hAnsi="Arial"/>
          <w:b/>
          <w:bCs/>
          <w:color w:val="64C27B"/>
          <w:sz w:val="26"/>
          <w:szCs w:val="26"/>
        </w:rPr>
        <w:t xml:space="preserve">11. Conservación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1500"/>
        <w:gridCol w:w="2660"/>
        <w:gridCol w:w="1800"/>
      </w:tblGrid>
      <w:tr>
        <w:trPr>
          <w:tblHeader/>
        </w:trPr>
        <w:tc>
          <w:tcPr>
            <w:tcW w:type="dxa" w:w="34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se conserva</w:t>
            </w:r>
          </w:p>
        </w:tc>
        <w:tc>
          <w:tcPr>
            <w:tcW w:type="dxa" w:w="15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Cuánto</w:t>
            </w:r>
          </w:p>
        </w:tc>
        <w:tc>
          <w:tcPr>
            <w:tcW w:type="dxa" w:w="26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Desde cuándo</w:t>
            </w:r>
          </w:p>
        </w:tc>
        <w:tc>
          <w:tcPr>
            <w:tcW w:type="dxa" w:w="18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Fundamento</w:t>
            </w:r>
          </w:p>
        </w:tc>
      </w:tr>
      <w:tr>
        <w:tc>
          <w:tcPr>
            <w:tcW w:type="dxa" w:w="3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Registros, análisis, decisiones y soporte del caso</w:t>
            </w:r>
          </w:p>
        </w:tc>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Diez años</w:t>
            </w:r>
          </w:p>
        </w:tc>
        <w:tc>
          <w:tcPr>
            <w:tcW w:type="dxa" w:w="2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Desde la realización de la Actividad Vulnerable</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IV, segundo párrafo</w:t>
            </w:r>
          </w:p>
        </w:tc>
      </w:tr>
      <w:tr>
        <w:tc>
          <w:tcPr>
            <w:tcW w:type="dxa" w:w="3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Copia de los Avisos e Informes, su documentación soporte y los acuses electrónicos</w:t>
            </w:r>
          </w:p>
        </w:tc>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Diez años</w:t>
            </w:r>
          </w:p>
        </w:tc>
        <w:tc>
          <w:tcPr>
            <w:tcW w:type="dxa" w:w="2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Desde la presentación del Aviso y la emisión del acuse</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20</w:t>
            </w:r>
          </w:p>
        </w:tc>
      </w:tr>
      <w:tr>
        <w:tc>
          <w:tcPr>
            <w:tcW w:type="dxa" w:w="3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Registros históricos del Grado de Riesgo y del Perfil transaccional</w:t>
            </w:r>
          </w:p>
        </w:tc>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No menos de diez años</w:t>
            </w:r>
          </w:p>
        </w:tc>
        <w:tc>
          <w:tcPr>
            <w:tcW w:type="dxa" w:w="2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Desde cada modificación</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41 fr. IV</w:t>
            </w:r>
          </w:p>
        </w:tc>
      </w:tr>
    </w:tbl>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El cómputo del artículo 20 del Reglamento se contabiliza a partir de los actos u operaciones realizados el 17 de julio de 2025, conforme al artículo transitorio Séptimo del Decreto de 27 de marzo de 2026.</w:t>
      </w:r>
    </w:p>
    <w:p>
      <w:pPr>
        <w:pStyle w:val="Heading1"/>
        <w:spacing w:after="160" w:before="320"/>
      </w:pPr>
      <w:r>
        <w:rPr>
          <w:rFonts w:ascii="Arial" w:cs="Arial" w:eastAsia="Arial" w:hAnsi="Arial"/>
          <w:b/>
          <w:bCs/>
          <w:color w:val="64C27B"/>
          <w:sz w:val="26"/>
          <w:szCs w:val="26"/>
        </w:rPr>
        <w:t xml:space="preserve">12. Cláusulas modelo para el Manual de Políticas Internas</w:t>
      </w:r>
    </w:p>
    <w:p>
      <w:pPr>
        <w:spacing w:after="120" w:before="0"/>
      </w:pPr>
      <w:r>
        <w:rPr>
          <w:rFonts w:ascii="Arial" w:cs="Arial" w:eastAsia="Arial" w:hAnsi="Arial"/>
          <w:color w:val="1B1B1E"/>
          <w:sz w:val="20"/>
          <w:szCs w:val="20"/>
        </w:rPr>
        <w:t xml:space="preserve">Los tres párrafos siguientes se pueden insertar tal cual en el apartado del Manual que desarrolla las fracciones V y VI del artículo 37 Bis de las Reglas. Sustituya lo que va entre corchetes.</w:t>
      </w:r>
    </w:p>
    <w:p>
      <w:pPr>
        <w:spacing w:after="120" w:before="0"/>
        <w:ind w:left="360"/>
      </w:pPr>
      <w:r>
        <w:rPr>
          <w:rFonts w:ascii="Arial" w:cs="Arial" w:eastAsia="Arial" w:hAnsi="Arial"/>
          <w:b/>
          <w:bCs/>
          <w:color w:val="1B1B1E"/>
          <w:sz w:val="20"/>
          <w:szCs w:val="20"/>
        </w:rPr>
        <w:t xml:space="preserve">Detección. </w:t>
      </w:r>
      <w:r>
        <w:rPr>
          <w:rFonts w:ascii="Arial" w:cs="Arial" w:eastAsia="Arial" w:hAnsi="Arial"/>
          <w:color w:val="1B1B1E"/>
          <w:sz w:val="20"/>
          <w:szCs w:val="20"/>
        </w:rPr>
        <w:t xml:space="preserve">[Nombre] cuenta con un sistema de alertas que da seguimiento al comportamiento y al Perfil transaccional de cada Cliente o Usuaria, y genera alerta al menos en los cuatro supuestos del artículo 41, fracción V de las Reglas. Toda persona del personal que observe una actividad, conducta o comportamiento inusitado, o que conozca un hecho o indicio relacionado con un Cliente o Usuaria, abre registro el mismo día, con la fecha y la hora en que se supo, sin valorar previamente si amerita Aviso.</w:t>
      </w:r>
    </w:p>
    <w:p>
      <w:pPr>
        <w:spacing w:after="120" w:before="0"/>
        <w:ind w:left="360"/>
      </w:pPr>
      <w:r>
        <w:rPr>
          <w:rFonts w:ascii="Arial" w:cs="Arial" w:eastAsia="Arial" w:hAnsi="Arial"/>
          <w:b/>
          <w:bCs/>
          <w:color w:val="1B1B1E"/>
          <w:sz w:val="20"/>
          <w:szCs w:val="20"/>
        </w:rPr>
        <w:t xml:space="preserve">Análisis y decisión. </w:t>
      </w:r>
      <w:r>
        <w:rPr>
          <w:rFonts w:ascii="Arial" w:cs="Arial" w:eastAsia="Arial" w:hAnsi="Arial"/>
          <w:color w:val="1B1B1E"/>
          <w:sz w:val="20"/>
          <w:szCs w:val="20"/>
        </w:rPr>
        <w:t xml:space="preserve">El registro se escala al área de cumplimiento y se resuelve por la persona Representante Encargada de Cumplimiento dentro de los plazos internos del protocolo de Aviso de 24 horas, que forma parte de este Manual. Toda decisión consta por escrito con la razón que la sustenta y con la relación de lo que se revisó, cualquiera que sea su sentido.</w:t>
      </w:r>
    </w:p>
    <w:p>
      <w:pPr>
        <w:spacing w:after="120" w:before="0"/>
        <w:ind w:left="360"/>
      </w:pPr>
      <w:r>
        <w:rPr>
          <w:rFonts w:ascii="Arial" w:cs="Arial" w:eastAsia="Arial" w:hAnsi="Arial"/>
          <w:b/>
          <w:bCs/>
          <w:color w:val="1B1B1E"/>
          <w:sz w:val="20"/>
          <w:szCs w:val="20"/>
        </w:rPr>
        <w:t xml:space="preserve">Presentación. </w:t>
      </w:r>
      <w:r>
        <w:rPr>
          <w:rFonts w:ascii="Arial" w:cs="Arial" w:eastAsia="Arial" w:hAnsi="Arial"/>
          <w:color w:val="1B1B1E"/>
          <w:sz w:val="20"/>
          <w:szCs w:val="20"/>
        </w:rPr>
        <w:t xml:space="preserve">Cuando subsista la sospecha, o cuando el hecho o indicio no se desvirtúe, se presenta Aviso dentro de las veinticuatro horas siguientes al momento de conocimiento, aunque el acto u operación no se haya celebrado y aunque no alcance el monto o la condición de Aviso del artículo 17 de la Ley. Mientras no se encuentre disponible el formato oficial que contemple estos escenarios, se deja constancia del análisis y de la fecha, y se presenta el Aviso en cuanto el formato esté disponible.</w:t>
      </w:r>
    </w:p>
    <w:p>
      <w:pPr>
        <w:spacing w:after="20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Si alguno de estos supuestos no aplica a su operación, no lo borre en silencio: el artículo 37 Bis 2 de las Reglas contempla la exención declarada: lo que se espera es que quede constancia en el Manual de que no realiza esos actos u operaciones, y la exención cae en el momento en que decida realizarlos.</w:t>
      </w:r>
    </w:p>
    <w:p>
      <w:r>
        <w:br w:type="page"/>
      </w:r>
    </w:p>
    <w:p>
      <w:pPr>
        <w:pStyle w:val="Heading1"/>
        <w:spacing w:after="160" w:before="320"/>
      </w:pPr>
      <w:r>
        <w:rPr>
          <w:rFonts w:ascii="Arial" w:cs="Arial" w:eastAsia="Arial" w:hAnsi="Arial"/>
          <w:b/>
          <w:bCs/>
          <w:color w:val="64C27B"/>
          <w:sz w:val="26"/>
          <w:szCs w:val="26"/>
        </w:rPr>
        <w:t xml:space="preserve">13. Formato de registro · una hoja por caso</w:t>
      </w:r>
    </w:p>
    <w:p>
      <w:pPr>
        <w:spacing w:after="120" w:before="0"/>
      </w:pPr>
      <w:r>
        <w:rPr>
          <w:rFonts w:ascii="Arial" w:cs="Arial" w:eastAsia="Arial" w:hAnsi="Arial"/>
          <w:i/>
          <w:iCs/>
          <w:color w:val="4D4D4D"/>
          <w:sz w:val="20"/>
          <w:szCs w:val="20"/>
        </w:rPr>
        <w:t xml:space="preserve">Para imprimir o para llenar en pantalla. Es el mismo contenido de las bitácoras del archivo de anexos, en forma de ficha.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600"/>
        <w:gridCol w:w="5760"/>
      </w:tblGrid>
      <w:tr>
        <w:trPr>
          <w:tblHeader/>
        </w:trPr>
        <w:tc>
          <w:tcPr>
            <w:tcW w:type="dxa" w:w="36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Campo</w:t>
            </w:r>
          </w:p>
        </w:tc>
        <w:tc>
          <w:tcPr>
            <w:tcW w:type="dxa" w:w="57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Contenido</w:t>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Folio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Fecha y hora en que se supo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Quién detectó (nombre y cargo)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Cliente o Usuaria, o persona que intentó la operación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¿Se celebró el acto u operación?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Sí ____   No ____</w:t>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Acto u operación de que se trata, y monto aproximado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Tipo de Aviso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(sospecha) ____   RCG 26 Bis 1 (hechos o indicios) ____</w:t>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se observó o qué se conoció, descrito sin calificarlo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Características consideradas (montos, frecuencia, formas y periodos de pago, instrumentos, área geográfica, tipo de acto)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se revisó (expediente, perfil, operaciones previas, listas, fuentes)</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Datos con que se puede identificar a la persona</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Resolución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Se descarta ____   Actualiza expediente o perfil ____   Aviso de 24 horas ____</w:t>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Razón escrita de la resolución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Quién decidió (nombre, cargo y firma)</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Fecha y hora de la decisión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Estado del envío y, en su caso, acuse</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Dónde queda el soporte</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bl>
    <w:p>
      <w:r>
        <w:br w:type="page"/>
      </w:r>
    </w:p>
    <w:p>
      <w:pPr>
        <w:pStyle w:val="Heading1"/>
        <w:spacing w:after="160" w:before="320"/>
      </w:pPr>
      <w:r>
        <w:rPr>
          <w:rFonts w:ascii="Arial" w:cs="Arial" w:eastAsia="Arial" w:hAnsi="Arial"/>
          <w:b/>
          <w:bCs/>
          <w:color w:val="64C27B"/>
          <w:sz w:val="26"/>
          <w:szCs w:val="26"/>
        </w:rPr>
        <w:t xml:space="preserve">14. Fundamentos citados</w:t>
      </w:r>
    </w:p>
    <w:p>
      <w:pPr>
        <w:spacing w:after="120" w:before="0"/>
      </w:pPr>
      <w:r>
        <w:rPr>
          <w:rFonts w:ascii="Arial" w:cs="Arial" w:eastAsia="Arial" w:hAnsi="Arial"/>
          <w:i/>
          <w:iCs/>
          <w:color w:val="4D4D4D"/>
          <w:sz w:val="20"/>
          <w:szCs w:val="20"/>
        </w:rPr>
        <w:t xml:space="preserve">Cita: L = Ley Federal para la Prevención e Identificación de Operaciones con Recursos de Procedencia Ilícita, última reforma DOF 16-07-2025 · R = su Reglamento, reforma DOF 27-03-2026 · RCG = Reglas de Carácter General, con la reforma del ACUERDO 115/2026, DOF 07-08-2026. Ante discrepancia entre el texto compilado y el Diario Oficial, manda el Diario Oficial.</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6760"/>
      </w:tblGrid>
      <w:tr>
        <w:trPr>
          <w:tblHeader/>
        </w:trPr>
        <w:tc>
          <w:tcPr>
            <w:tcW w:type="dxa" w:w="26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Precepto</w:t>
            </w:r>
          </w:p>
        </w:tc>
        <w:tc>
          <w:tcPr>
            <w:tcW w:type="dxa" w:w="67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Materia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IV</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Conservación por diez años desde la realización de la Actividad Vulnerable</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VI, segundo párrafo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Aviso dentro de las 24 horas, incluso si el acto no se celebró</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X</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Mecanismos automatizados y seguimiento intensificado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20, segundo párrafo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 quién corresponde el cumplimiento mientras no haya Representante aceptada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38 y L 63 fr. II</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Confidencialidad y el delito de divulgación</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7 Bis</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Aviso se presenta aunque el acto no se haya celebrado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20 y R Trans. Séptimo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Conservación de Avisos, soporte y acuses, y su cómputo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Trans. Quinto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 presentación del Aviso del 7 Bis queda sujeta a la actualización de los Anexos</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23 Ter fr. IV</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Cuándo el apartamiento del perfil obliga a revisar y actualizar el expediente</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23 Ter 2</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sistema de alertas</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y 26 Bis 1</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Los dos Avisos y el momento en que arranca el plazo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2</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Envío aunque no se alcance el umbral y aunque no se haya celebrado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27, segundo párrafo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cuando la persona está en el listado del artículo 38</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31</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Confidencialidad, incluida la estructura de control del Beneficiario Controlador</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36 Bis</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Días y horas hábiles ante el SAT</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fr. V y VI</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Los dos renglones del Manual que este protocolo desarrolla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fr. IX</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mecanismo para identificar a las personas de las listas. No está diferido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2</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 exención declarada de lo que no aplica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41 fr. IV y V</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Histórico de diez años y los cuatro supuestos de alerta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Trans. Quinto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Los seis meses posteriores a la Resolución de formatos</w:t>
            </w:r>
          </w:p>
        </w:tc>
      </w:tr>
    </w:tbl>
    <w:p>
      <w:pPr>
        <w:spacing w:after="240" w:before="0"/>
      </w:pPr>
      <w:r>
        <w:rPr>
          <w:rFonts w:ascii="Arial" w:cs="Arial" w:eastAsia="Arial" w:hAnsi="Arial"/>
          <w:color w:val="1B1B1E"/>
          <w:sz w:val="20"/>
          <w:szCs w:val="20"/>
        </w:rPr>
        <w:t xml:space="preserve"/>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FFF6D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Control de versiones</w:t>
            </w:r>
          </w:p>
          <w:p>
            <w:pPr>
              <w:spacing w:after="60"/>
            </w:pPr>
            <w:r>
              <w:rPr>
                <w:rFonts w:ascii="Arial" w:cs="Arial" w:eastAsia="Arial" w:hAnsi="Arial"/>
                <w:color w:val="1B1B1E"/>
                <w:sz w:val="19"/>
                <w:szCs w:val="19"/>
              </w:rPr>
              <w:t xml:space="preserve">Versión 1.0 · 8 de septiembre de 2026 · Elaborada para el Taller Antilavado 360, sesión 4, GMC360 / 360Educa.</w:t>
            </w:r>
          </w:p>
          <w:p>
            <w:pPr>
              <w:spacing w:after="60"/>
            </w:pPr>
            <w:r>
              <w:rPr>
                <w:rFonts w:ascii="Arial" w:cs="Arial" w:eastAsia="Arial" w:hAnsi="Arial"/>
                <w:color w:val="1B1B1E"/>
                <w:sz w:val="19"/>
                <w:szCs w:val="19"/>
              </w:rPr>
              <w:t xml:space="preserve">Actualícela cuando se publique la Resolución que modifique los formatos oficiales de Avisos e Informes, y cada vez que cambie su Manual de Políticas Internas o su modelo de evaluación de Riesgos.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D4D4D"/>
        <w:sz w:val="16"/>
        <w:szCs w:val="16"/>
      </w:rPr>
      <w:t xml:space="preserve">Protocolo del Aviso de 24 horas · Plantilla 04 · Taller Antilavado 360 · GMC360 / 360Educa · página </w:t>
    </w:r>
    <w:r>
      <w:rPr>
        <w:rFonts w:ascii="Arial" w:cs="Arial" w:eastAsia="Arial" w:hAnsi="Arial"/>
        <w:color w:val="4D4D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2026-09-08T11:48:50.634Z</dcterms:created>
  <dcterms:modified xsi:type="dcterms:W3CDTF">2026-09-08T11:48:50.634Z</dcterms:modified>
</cp:coreProperties>
</file>

<file path=docProps/custom.xml><?xml version="1.0" encoding="utf-8"?>
<Properties xmlns="http://schemas.openxmlformats.org/officeDocument/2006/custom-properties" xmlns:vt="http://schemas.openxmlformats.org/officeDocument/2006/docPropsVTypes"/>
</file>