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900"/>
      </w:pPr>
      <w:r>
        <w:rPr>
          <w:rFonts w:ascii="Arial" w:cs="Arial" w:eastAsia="Arial" w:hAnsi="Arial"/>
          <w:b/>
          <w:bCs/>
          <w:i w:val="false"/>
          <w:iCs w:val="false"/>
          <w:caps/>
          <w:color w:val="B07A12"/>
          <w:spacing w:val="50"/>
          <w:sz w:val="15"/>
          <w:szCs w:val="15"/>
        </w:rPr>
        <w:t xml:space="preserve">TALLER DE IMPLEMENTACIÓN DE LA REFORMA LFPIORPI</w:t>
      </w:r>
    </w:p>
    <w:p>
      <w:pPr>
        <w:pBdr>
          <w:bottom w:val="single" w:color="12224A" w:sz="14" w:space="12"/>
        </w:pBdr>
        <w:spacing w:after="340" w:before="0"/>
      </w:pPr>
      <w:r>
        <w:rPr>
          <w:rFonts w:ascii="Arial" w:cs="Arial" w:eastAsia="Arial" w:hAnsi="Arial"/>
          <w:b w:val="false"/>
          <w:bCs w:val="false"/>
          <w:i w:val="false"/>
          <w:iCs w:val="false"/>
          <w:caps w:val="false"/>
          <w:color w:val="5A6472"/>
          <w:sz w:val="17"/>
          <w:szCs w:val="17"/>
        </w:rPr>
        <w:t xml:space="preserve">Herramienta 3 · Sesión 5.A</w:t>
      </w:r>
    </w:p>
    <w:p>
      <w:pPr>
        <w:spacing w:after="0" w:before="0" w:line="520"/>
      </w:pPr>
      <w:r>
        <w:rPr>
          <w:rFonts w:ascii="Georgia" w:cs="Georgia" w:eastAsia="Georgia" w:hAnsi="Georgia"/>
          <w:b/>
          <w:bCs/>
          <w:i w:val="false"/>
          <w:iCs w:val="false"/>
          <w:caps w:val="false"/>
          <w:color w:val="12224A"/>
          <w:sz w:val="56"/>
          <w:szCs w:val="56"/>
        </w:rPr>
        <w:t xml:space="preserve">Guía de cambios</w:t>
      </w:r>
    </w:p>
    <w:p>
      <w:pPr>
        <w:spacing w:after="220" w:before="0" w:line="520"/>
      </w:pPr>
      <w:r>
        <w:rPr>
          <w:rFonts w:ascii="Georgia" w:cs="Georgia" w:eastAsia="Georgia" w:hAnsi="Georgia"/>
          <w:b/>
          <w:bCs/>
          <w:i w:val="false"/>
          <w:iCs w:val="false"/>
          <w:caps w:val="false"/>
          <w:color w:val="12224A"/>
          <w:sz w:val="56"/>
          <w:szCs w:val="56"/>
        </w:rPr>
        <w:t xml:space="preserve">en el sistema</w:t>
      </w:r>
    </w:p>
    <w:p>
      <w:pPr>
        <w:spacing w:after="60" w:before="0" w:line="360"/>
      </w:pPr>
      <w:r>
        <w:rPr>
          <w:rFonts w:ascii="Georgia" w:cs="Georgia" w:eastAsia="Georgia" w:hAnsi="Georgia"/>
          <w:b w:val="false"/>
          <w:bCs w:val="false"/>
          <w:i/>
          <w:iCs/>
          <w:caps w:val="false"/>
          <w:color w:val="2C4278"/>
          <w:sz w:val="26"/>
          <w:szCs w:val="26"/>
        </w:rPr>
        <w:t xml:space="preserve">Documento para entregar al proveedor de software o al área de TI</w:t>
      </w:r>
    </w:p>
    <w:p>
      <w:pPr>
        <w:spacing w:after="520" w:before="0" w:line="300"/>
      </w:pPr>
      <w:r>
        <w:rPr>
          <w:rFonts w:ascii="Arial" w:cs="Arial" w:eastAsia="Arial" w:hAnsi="Arial"/>
          <w:b w:val="false"/>
          <w:bCs w:val="false"/>
          <w:i w:val="false"/>
          <w:iCs w:val="false"/>
          <w:caps w:val="false"/>
          <w:color w:val="5A6472"/>
          <w:sz w:val="19"/>
          <w:szCs w:val="19"/>
        </w:rPr>
        <w:t xml:space="preserve">Nuevos formatos de Avisos e Informes de Actividades Vulnerables · DOF 24 de septiembre de 2026</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Cómo usar este documento</w:t>
            </w:r>
          </w:p>
          <w:p>
            <w:pPr>
              <w:spacing w:after="80" w:before="0" w:line="280"/>
            </w:pPr>
            <w:r>
              <w:rPr>
                <w:rFonts w:ascii="Arial" w:cs="Arial" w:eastAsia="Arial" w:hAnsi="Arial"/>
                <w:b w:val="false"/>
                <w:bCs w:val="false"/>
                <w:i w:val="false"/>
                <w:iCs w:val="false"/>
                <w:caps w:val="false"/>
                <w:color w:val="1B2430"/>
                <w:sz w:val="18"/>
                <w:szCs w:val="18"/>
              </w:rPr>
              <w:t xml:space="preserve">Este documento no está escrito para el oficial de cumplimiento: está escrito para quien va a tocar el sistema. Imprímalo o mándelo tal cual a su proveedor, a su área de sistemas o a quien le desarrolla el XML.</w:t>
            </w:r>
          </w:p>
          <w:p>
            <w:pPr>
              <w:spacing w:after="80" w:before="0" w:line="280"/>
            </w:pPr>
            <w:r>
              <w:rPr>
                <w:rFonts w:ascii="Arial" w:cs="Arial" w:eastAsia="Arial" w:hAnsi="Arial"/>
                <w:b w:val="false"/>
                <w:bCs w:val="false"/>
                <w:i w:val="false"/>
                <w:iCs w:val="false"/>
                <w:caps w:val="false"/>
                <w:color w:val="1B2430"/>
                <w:sz w:val="18"/>
                <w:szCs w:val="18"/>
              </w:rPr>
              <w:t xml:space="preserve">Todo lo que dice aquí está verificado campo por campo contra el texto publicado en el </w:t>
            </w:r>
            <w:r>
              <w:rPr>
                <w:rFonts w:ascii="Arial" w:cs="Arial" w:eastAsia="Arial" w:hAnsi="Arial"/>
                <w:b w:val="false"/>
                <w:bCs w:val="false"/>
                <w:i/>
                <w:iCs/>
                <w:caps w:val="false"/>
                <w:color w:val="1B2430"/>
                <w:sz w:val="18"/>
                <w:szCs w:val="18"/>
              </w:rPr>
              <w:t xml:space="preserve">Diario Oficial de la Federación</w:t>
            </w:r>
            <w:r>
              <w:rPr>
                <w:rFonts w:ascii="Arial" w:cs="Arial" w:eastAsia="Arial" w:hAnsi="Arial"/>
                <w:b w:val="false"/>
                <w:bCs w:val="false"/>
                <w:i w:val="false"/>
                <w:iCs w:val="false"/>
                <w:caps w:val="false"/>
                <w:color w:val="1B2430"/>
                <w:sz w:val="18"/>
                <w:szCs w:val="18"/>
              </w:rPr>
              <w:t xml:space="preserve"> el 24 de septiembre de 2026. Los conteos salen de los 4,182 campos de los 22 anexos, contados directamente sobre el texto oficial.</w:t>
            </w:r>
          </w:p>
          <w:p>
            <w:pPr>
              <w:spacing w:after="0" w:before="0" w:line="280"/>
            </w:pPr>
            <w:r>
              <w:rPr>
                <w:rFonts w:ascii="Arial" w:cs="Arial" w:eastAsia="Arial" w:hAnsi="Arial"/>
                <w:b w:val="false"/>
                <w:bCs w:val="false"/>
                <w:i w:val="false"/>
                <w:iCs w:val="false"/>
                <w:caps w:val="false"/>
                <w:color w:val="1B2430"/>
                <w:sz w:val="18"/>
                <w:szCs w:val="18"/>
              </w:rPr>
              <w:t xml:space="preserve">Va acompañado de dos archivos de Excel: </w:t>
            </w:r>
            <w:r>
              <w:rPr>
                <w:rFonts w:ascii="Arial" w:cs="Arial" w:eastAsia="Arial" w:hAnsi="Arial"/>
                <w:b/>
                <w:bCs/>
                <w:i w:val="false"/>
                <w:iCs w:val="false"/>
                <w:caps w:val="false"/>
                <w:color w:val="1B2430"/>
                <w:sz w:val="18"/>
                <w:szCs w:val="18"/>
              </w:rPr>
              <w:t xml:space="preserve">Diagnóstico de brecha</w:t>
            </w:r>
            <w:r>
              <w:rPr>
                <w:rFonts w:ascii="Arial" w:cs="Arial" w:eastAsia="Arial" w:hAnsi="Arial"/>
                <w:b w:val="false"/>
                <w:bCs w:val="false"/>
                <w:i w:val="false"/>
                <w:iCs w:val="false"/>
                <w:caps w:val="false"/>
                <w:color w:val="1B2430"/>
                <w:sz w:val="18"/>
                <w:szCs w:val="18"/>
              </w:rPr>
              <w:t xml:space="preserve"> (el catálogo completo de campos, filtrable por anexo) y </w:t>
            </w:r>
            <w:r>
              <w:rPr>
                <w:rFonts w:ascii="Arial" w:cs="Arial" w:eastAsia="Arial" w:hAnsi="Arial"/>
                <w:b/>
                <w:bCs/>
                <w:i w:val="false"/>
                <w:iCs w:val="false"/>
                <w:caps w:val="false"/>
                <w:color w:val="1B2430"/>
                <w:sz w:val="18"/>
                <w:szCs w:val="18"/>
              </w:rPr>
              <w:t xml:space="preserve">Comparativo 2021 vs 2026</w:t>
            </w:r>
            <w:r>
              <w:rPr>
                <w:rFonts w:ascii="Arial" w:cs="Arial" w:eastAsia="Arial" w:hAnsi="Arial"/>
                <w:b w:val="false"/>
                <w:bCs w:val="false"/>
                <w:i w:val="false"/>
                <w:iCs w:val="false"/>
                <w:caps w:val="false"/>
                <w:color w:val="1B2430"/>
                <w:sz w:val="18"/>
                <w:szCs w:val="18"/>
              </w:rPr>
              <w:t xml:space="preserve"> (los 1,766 renglones que cambian, con el número anterior y el nuevo). El proveedor necesita los dos.</w:t>
            </w:r>
          </w:p>
        </w:tc>
      </w:tr>
    </w:tbl>
    <w:p>
      <w:pPr>
        <w:spacing w:after="340" w:before="0"/>
      </w:pPr>
      <w:r>
        <w:rPr>
          <w:rFonts w:ascii="Arial" w:cs="Arial" w:eastAsia="Arial" w:hAnsi="Arial"/>
          <w:b w:val="false"/>
          <w:bCs w:val="false"/>
          <w:i w:val="false"/>
          <w:iCs w:val="false"/>
          <w:caps w:val="false"/>
          <w:color w:val="1B2430"/>
          <w:sz w:val="20"/>
          <w:szCs w:val="20"/>
        </w:rPr>
        <w:t xml:space="preserve"/>
      </w:r>
    </w:p>
    <w:p>
      <w:pPr>
        <w:pBdr>
          <w:top w:val="single" w:color="12224A" w:sz="14" w:space="10"/>
        </w:pBdr>
        <w:spacing w:after="0" w:before="0"/>
      </w:pPr>
      <w:r>
        <w:rPr>
          <w:rFonts w:ascii="Arial" w:cs="Arial" w:eastAsia="Arial" w:hAnsi="Arial"/>
          <w:b/>
          <w:bCs/>
          <w:i w:val="false"/>
          <w:iCs w:val="false"/>
          <w:caps w:val="false"/>
          <w:color w:val="12224A"/>
          <w:sz w:val="18"/>
          <w:szCs w:val="18"/>
        </w:rPr>
        <w:t xml:space="preserve">GMC360 · 360Educa · ASONOC</w:t>
      </w:r>
      <w:r>
        <w:rPr>
          <w:rFonts w:ascii="Arial" w:cs="Arial" w:eastAsia="Arial" w:hAnsi="Arial"/>
          <w:b w:val="false"/>
          <w:bCs w:val="false"/>
          <w:i w:val="false"/>
          <w:iCs w:val="false"/>
          <w:caps w:val="false"/>
          <w:color w:val="E4E8EE"/>
          <w:sz w:val="18"/>
          <w:szCs w:val="18"/>
        </w:rPr>
        <w:t xml:space="preserve">     |     </w:t>
      </w:r>
      <w:r>
        <w:rPr>
          <w:rFonts w:ascii="Arial" w:cs="Arial" w:eastAsia="Arial" w:hAnsi="Arial"/>
          <w:b w:val="false"/>
          <w:bCs w:val="false"/>
          <w:i w:val="false"/>
          <w:iCs w:val="false"/>
          <w:caps w:val="false"/>
          <w:color w:val="5A6472"/>
          <w:sz w:val="18"/>
          <w:szCs w:val="18"/>
        </w:rPr>
        <w:t xml:space="preserve">Imparte: Maribel Vázquez Menchaca</w:t>
      </w:r>
    </w:p>
    <w:p>
      <w:r>
        <w:br w:type="page"/>
      </w:r>
    </w:p>
    <w:p>
      <w:pPr>
        <w:keepNext/>
        <w:spacing w:after="20" w:before="360"/>
      </w:pPr>
      <w:r>
        <w:rPr>
          <w:rFonts w:ascii="Arial" w:cs="Arial" w:eastAsia="Arial" w:hAnsi="Arial"/>
          <w:b/>
          <w:bCs/>
          <w:i w:val="false"/>
          <w:iCs w:val="false"/>
          <w:caps/>
          <w:color w:val="B07A12"/>
          <w:spacing w:val="40"/>
          <w:sz w:val="16"/>
          <w:szCs w:val="16"/>
        </w:rPr>
        <w:t xml:space="preserve">Resumen ejecutivo</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En una página: qué hay que hacer</w:t>
      </w:r>
    </w:p>
    <w:p>
      <w:pPr>
        <w:spacing w:after="140" w:before="0" w:line="288"/>
      </w:pPr>
      <w:r>
        <w:rPr>
          <w:rFonts w:ascii="Arial" w:cs="Arial" w:eastAsia="Arial" w:hAnsi="Arial"/>
          <w:b w:val="false"/>
          <w:bCs w:val="false"/>
          <w:i w:val="false"/>
          <w:iCs w:val="false"/>
          <w:caps w:val="false"/>
          <w:color w:val="1B2430"/>
          <w:sz w:val="20"/>
          <w:szCs w:val="20"/>
        </w:rPr>
        <w:t xml:space="preserve">El 24 de septiembre de 2026 se publicaron en el DOF los nuevos formatos oficiales de Avisos e Informes de Actividades Vulnerables. Son 22 anexos y 4,182 campos. Sustituyen a los formatos publicados en 2021, que tenían 20 anexos y 3,501 campos.</w:t>
      </w:r>
    </w:p>
    <w:p>
      <w:pPr>
        <w:spacing w:after="140" w:before="0" w:line="288"/>
      </w:pPr>
      <w:r>
        <w:rPr>
          <w:rFonts w:ascii="Arial" w:cs="Arial" w:eastAsia="Arial" w:hAnsi="Arial"/>
          <w:b w:val="false"/>
          <w:bCs w:val="false"/>
          <w:i w:val="false"/>
          <w:iCs w:val="false"/>
          <w:caps w:val="false"/>
          <w:color w:val="1B2430"/>
          <w:sz w:val="20"/>
          <w:szCs w:val="20"/>
        </w:rPr>
        <w:t xml:space="preserve">El sistema que hoy genera el XML del Aviso va a dejar de servir. No es un ajuste cosmético: la estructura del árbol XML se movió, hay 877 campos nuevos, 487 campos que existen pero cambiaron de lugar, y un bloque entero —el del Dueño Beneficiario— que se sustituyó por otro con reglas distintas.</w:t>
      </w:r>
    </w:p>
    <w:p>
      <w:pPr>
        <w:keepNext/>
        <w:spacing w:after="80" w:before="260"/>
      </w:pPr>
      <w:r>
        <w:rPr>
          <w:rFonts w:ascii="Georgia" w:cs="Georgia" w:eastAsia="Georgia" w:hAnsi="Georgia"/>
          <w:b/>
          <w:bCs/>
          <w:i w:val="false"/>
          <w:iCs w:val="false"/>
          <w:caps w:val="false"/>
          <w:color w:val="2C4278"/>
          <w:sz w:val="22"/>
          <w:szCs w:val="22"/>
        </w:rPr>
        <w:t xml:space="preserve">Los seis trabajos, en orden de esfuerzo</w:t>
      </w:r>
    </w:p>
    <w:tbl>
      <w:tblPr>
        <w:tblW w:type="dxa" w:w="9360"/>
        <w:tblBorders>
          <w:top w:val="single" w:color="E4E8EE" w:sz="4"/>
          <w:left w:val="none"/>
          <w:bottom w:val="single" w:color="E4E8EE" w:sz="4"/>
          <w:right w:val="none"/>
          <w:insideH w:val="single" w:color="E4E8EE" w:sz="4"/>
          <w:insideV w:val="none"/>
        </w:tblBorders>
      </w:tblPr>
      <w:tblGrid>
        <w:gridCol w:w="560"/>
        <w:gridCol w:w="4700"/>
        <w:gridCol w:w="1500"/>
        <w:gridCol w:w="2600"/>
      </w:tblGrid>
      <w:tr>
        <w:trPr>
          <w:tblHeader/>
        </w:trPr>
        <w:tc>
          <w:tcPr>
            <w:tcW w:type="dxa" w:w="56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w:t>
            </w:r>
          </w:p>
        </w:tc>
        <w:tc>
          <w:tcPr>
            <w:tcW w:type="dxa" w:w="47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Trabajo</w:t>
            </w:r>
          </w:p>
        </w:tc>
        <w:tc>
          <w:tcPr>
            <w:tcW w:type="dxa" w:w="150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Esfuerzo</w:t>
            </w:r>
          </w:p>
        </w:tc>
        <w:tc>
          <w:tcPr>
            <w:tcW w:type="dxa" w:w="26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Se puede empezar</w:t>
            </w:r>
          </w:p>
        </w:tc>
      </w:tr>
      <w:tr>
        <w:tc>
          <w:tcPr>
            <w:tcW w:type="dxa" w:w="560"/>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1</w:t>
            </w:r>
          </w:p>
        </w:tc>
        <w:tc>
          <w:tcPr>
            <w:tcW w:type="dxa" w:w="47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Rediseñar la captura y el almacenamiento del Beneficiario Controlador, incluyendo el conteo de figuras jurídicas intermedias</w:t>
            </w:r>
          </w:p>
        </w:tc>
        <w:tc>
          <w:tcPr>
            <w:tcW w:type="dxa" w:w="15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Alto</w:t>
            </w:r>
          </w:p>
        </w:tc>
        <w:tc>
          <w:tcPr>
            <w:tcW w:type="dxa" w:w="26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Hoy</w:t>
            </w:r>
          </w:p>
        </w:tc>
      </w:tr>
      <w:tr>
        <w:tc>
          <w:tcPr>
            <w:tcW w:type="dxa" w:w="56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2</w:t>
            </w:r>
          </w:p>
        </w:tc>
        <w:tc>
          <w:tcPr>
            <w:tcW w:type="dxa" w:w="47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Agregar los campos nuevos a la base de datos y a las pantallas de captura</w:t>
            </w:r>
          </w:p>
        </w:tc>
        <w:tc>
          <w:tcPr>
            <w:tcW w:type="dxa" w:w="15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Alto</w:t>
            </w:r>
          </w:p>
        </w:tc>
        <w:tc>
          <w:tcPr>
            <w:tcW w:type="dxa" w:w="26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Hoy</w:t>
            </w:r>
          </w:p>
        </w:tc>
      </w:tr>
      <w:tr>
        <w:tc>
          <w:tcPr>
            <w:tcW w:type="dxa" w:w="560"/>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3</w:t>
            </w:r>
          </w:p>
        </w:tc>
        <w:tc>
          <w:tcPr>
            <w:tcW w:type="dxa" w:w="47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Rehacer el generador de XML contra la nueva estructura del árbol</w:t>
            </w:r>
          </w:p>
        </w:tc>
        <w:tc>
          <w:tcPr>
            <w:tcW w:type="dxa" w:w="15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Alto</w:t>
            </w:r>
          </w:p>
        </w:tc>
        <w:tc>
          <w:tcPr>
            <w:tcW w:type="dxa" w:w="26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Hoy</w:t>
            </w:r>
          </w:p>
        </w:tc>
      </w:tr>
      <w:tr>
        <w:tc>
          <w:tcPr>
            <w:tcW w:type="dxa" w:w="56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4</w:t>
            </w:r>
          </w:p>
        </w:tc>
        <w:tc>
          <w:tcPr>
            <w:tcW w:type="dxa" w:w="47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Volver a mapear los campos que cambiaron de número (el dato ya existe, la ruta no)</w:t>
            </w:r>
          </w:p>
        </w:tc>
        <w:tc>
          <w:tcPr>
            <w:tcW w:type="dxa" w:w="15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Medio</w:t>
            </w:r>
          </w:p>
        </w:tc>
        <w:tc>
          <w:tcPr>
            <w:tcW w:type="dxa" w:w="26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Hoy</w:t>
            </w:r>
          </w:p>
        </w:tc>
      </w:tr>
      <w:tr>
        <w:tc>
          <w:tcPr>
            <w:tcW w:type="dxa" w:w="560"/>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5</w:t>
            </w:r>
          </w:p>
        </w:tc>
        <w:tc>
          <w:tcPr>
            <w:tcW w:type="dxa" w:w="47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Cargar los catálogos nuevos de claves</w:t>
            </w:r>
          </w:p>
        </w:tc>
        <w:tc>
          <w:tcPr>
            <w:tcW w:type="dxa" w:w="15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Bajo</w:t>
            </w:r>
          </w:p>
        </w:tc>
        <w:tc>
          <w:tcPr>
            <w:tcW w:type="dxa" w:w="26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Cuando la UIF los publique</w:t>
            </w:r>
          </w:p>
        </w:tc>
      </w:tr>
      <w:tr>
        <w:tc>
          <w:tcPr>
            <w:tcW w:type="dxa" w:w="56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6</w:t>
            </w:r>
          </w:p>
        </w:tc>
        <w:tc>
          <w:tcPr>
            <w:tcW w:type="dxa" w:w="47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Programar el flujo del Aviso de 24 horas</w:t>
            </w:r>
          </w:p>
        </w:tc>
        <w:tc>
          <w:tcPr>
            <w:tcW w:type="dxa" w:w="15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Por definir</w:t>
            </w:r>
          </w:p>
        </w:tc>
        <w:tc>
          <w:tcPr>
            <w:tcW w:type="dxa" w:w="26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No todavía · falta instructivo</w:t>
            </w:r>
          </w:p>
        </w:tc>
      </w:tr>
    </w:tbl>
    <w:p>
      <w:pPr>
        <w:spacing w:after="180" w:before="0"/>
      </w:pPr>
      <w:r>
        <w:rPr>
          <w:rFonts w:ascii="Arial" w:cs="Arial" w:eastAsia="Arial" w:hAnsi="Arial"/>
          <w:b w:val="false"/>
          <w:bCs w:val="false"/>
          <w:i w:val="false"/>
          <w:iCs w:val="false"/>
          <w:caps w:val="false"/>
          <w:color w:val="1B2430"/>
          <w:sz w:val="20"/>
          <w:szCs w:val="20"/>
        </w:rPr>
        <w:t xml:space="preserve"/>
      </w:r>
    </w:p>
    <w:tbl>
      <w:tblPr>
        <w:tblW w:type="dxa" w:w="9360"/>
        <w:tblBorders>
          <w:top w:val="none"/>
          <w:left w:val="single" w:color="F2A541"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La fecha que manda el proyecto</w:t>
            </w:r>
          </w:p>
          <w:p>
            <w:pPr>
              <w:spacing w:after="80" w:before="0" w:line="280"/>
            </w:pPr>
            <w:r>
              <w:rPr>
                <w:rFonts w:ascii="Arial" w:cs="Arial" w:eastAsia="Arial" w:hAnsi="Arial"/>
                <w:b/>
                <w:bCs/>
                <w:i w:val="false"/>
                <w:iCs w:val="false"/>
                <w:caps w:val="false"/>
                <w:color w:val="12224A"/>
                <w:sz w:val="19"/>
                <w:szCs w:val="19"/>
              </w:rPr>
              <w:t xml:space="preserve">1 de junio de 2027</w:t>
            </w:r>
            <w:r>
              <w:rPr>
                <w:rFonts w:ascii="Arial" w:cs="Arial" w:eastAsia="Arial" w:hAnsi="Arial"/>
                <w:b w:val="false"/>
                <w:bCs w:val="false"/>
                <w:i w:val="false"/>
                <w:iCs w:val="false"/>
                <w:caps w:val="false"/>
                <w:color w:val="1B2430"/>
                <w:sz w:val="18"/>
                <w:szCs w:val="18"/>
              </w:rPr>
              <w:t xml:space="preserve">. A partir de ese día todos los Avisos se presentan con el formato nuevo, y </w:t>
            </w:r>
            <w:r>
              <w:rPr>
                <w:rFonts w:ascii="Arial" w:cs="Arial" w:eastAsia="Arial" w:hAnsi="Arial"/>
                <w:b/>
                <w:bCs/>
                <w:i w:val="false"/>
                <w:iCs w:val="false"/>
                <w:caps w:val="false"/>
                <w:color w:val="1B2430"/>
                <w:sz w:val="18"/>
                <w:szCs w:val="18"/>
              </w:rPr>
              <w:t xml:space="preserve">aplica hacia atrás</w:t>
            </w:r>
            <w:r>
              <w:rPr>
                <w:rFonts w:ascii="Arial" w:cs="Arial" w:eastAsia="Arial" w:hAnsi="Arial"/>
                <w:b w:val="false"/>
                <w:bCs w:val="false"/>
                <w:i w:val="false"/>
                <w:iCs w:val="false"/>
                <w:caps w:val="false"/>
                <w:color w:val="1B2430"/>
                <w:sz w:val="18"/>
                <w:szCs w:val="18"/>
              </w:rPr>
              <w:t xml:space="preserve">: el Aviso correspondiente a las operaciones de mayo de 2027, que se presenta a más tardar el 17 de junio, ya se sube con formato nuevo. El sistema tiene que estar en producción antes, no ese día.</w:t>
            </w:r>
          </w:p>
          <w:p>
            <w:pPr>
              <w:spacing w:after="0" w:before="0" w:line="280"/>
            </w:pPr>
            <w:r>
              <w:rPr>
                <w:rFonts w:ascii="Arial" w:cs="Arial" w:eastAsia="Arial" w:hAnsi="Arial"/>
                <w:b w:val="false"/>
                <w:bCs w:val="false"/>
                <w:i w:val="false"/>
                <w:iCs w:val="false"/>
                <w:caps w:val="false"/>
                <w:color w:val="1B2430"/>
                <w:sz w:val="18"/>
                <w:szCs w:val="18"/>
              </w:rPr>
              <w:t xml:space="preserve">Antes de eso: el 1 de febrero de 2027 entra el formato nuevo de alta y registro, y el 1 de octubre de 2026 vencía el plazo para que la UIF publicara instructivos y catálogos.</w:t>
            </w:r>
          </w:p>
        </w:tc>
      </w:tr>
    </w:tbl>
    <w:p>
      <w:pPr>
        <w:keepNext/>
        <w:spacing w:after="20" w:before="360"/>
      </w:pPr>
      <w:r>
        <w:rPr>
          <w:rFonts w:ascii="Arial" w:cs="Arial" w:eastAsia="Arial" w:hAnsi="Arial"/>
          <w:b/>
          <w:bCs/>
          <w:i w:val="false"/>
          <w:iCs w:val="false"/>
          <w:caps/>
          <w:color w:val="B07A12"/>
          <w:spacing w:val="40"/>
          <w:sz w:val="16"/>
          <w:szCs w:val="16"/>
        </w:rPr>
        <w:t xml:space="preserve">Uno</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Cómo está armado el XML</w:t>
      </w:r>
    </w:p>
    <w:p>
      <w:pPr>
        <w:spacing w:after="140" w:before="0" w:line="288"/>
      </w:pPr>
      <w:r>
        <w:rPr>
          <w:rFonts w:ascii="Arial" w:cs="Arial" w:eastAsia="Arial" w:hAnsi="Arial"/>
          <w:b w:val="false"/>
          <w:bCs w:val="false"/>
          <w:i w:val="false"/>
          <w:iCs w:val="false"/>
          <w:caps w:val="false"/>
          <w:color w:val="1B2430"/>
          <w:sz w:val="20"/>
          <w:szCs w:val="20"/>
        </w:rPr>
        <w:t xml:space="preserve">Los 22 anexos comparten el mismo esqueleto. Programado una vez, sirve para todos; lo que cambia es lo que va dentro del nodo del Aviso.</w:t>
      </w:r>
    </w:p>
    <w:tbl>
      <w:tblPr>
        <w:tblW w:type="dxa" w:w="9360"/>
        <w:tblBorders>
          <w:top w:val="single" w:color="E4E8EE" w:sz="4"/>
          <w:left w:val="none"/>
          <w:bottom w:val="single" w:color="E4E8EE" w:sz="4"/>
          <w:right w:val="none"/>
          <w:insideH w:val="single" w:color="E4E8EE" w:sz="4"/>
          <w:insideV w:val="none"/>
        </w:tblBorders>
      </w:tblPr>
      <w:tblGrid>
        <w:gridCol w:w="1100"/>
        <w:gridCol w:w="2700"/>
        <w:gridCol w:w="5560"/>
      </w:tblGrid>
      <w:tr>
        <w:trPr>
          <w:tblHeader/>
        </w:trPr>
        <w:tc>
          <w:tcPr>
            <w:tcW w:type="dxa" w:w="110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Campo</w:t>
            </w:r>
          </w:p>
        </w:tc>
        <w:tc>
          <w:tcPr>
            <w:tcW w:type="dxa" w:w="27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Etiqueta</w:t>
            </w:r>
          </w:p>
        </w:tc>
        <w:tc>
          <w:tcPr>
            <w:tcW w:type="dxa" w:w="556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Qué lleva</w:t>
            </w:r>
          </w:p>
        </w:tc>
      </w:tr>
      <w:tr>
        <w:tc>
          <w:tcPr>
            <w:tcW w:type="dxa" w:w="1100"/>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A</w:t>
            </w:r>
          </w:p>
        </w:tc>
        <w:tc>
          <w:tcPr>
            <w:tcW w:type="dxa" w:w="27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&lt;archivo&gt;</w:t>
            </w:r>
          </w:p>
        </w:tc>
        <w:tc>
          <w:tcPr>
            <w:tcW w:type="dxa" w:w="55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Nodo raíz del archivo. Envuelve todo.</w:t>
            </w:r>
          </w:p>
        </w:tc>
      </w:tr>
      <w:tr>
        <w:tc>
          <w:tcPr>
            <w:tcW w:type="dxa" w:w="11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AA</w:t>
            </w:r>
          </w:p>
        </w:tc>
        <w:tc>
          <w:tcPr>
            <w:tcW w:type="dxa" w:w="27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&lt;informe&gt;</w:t>
            </w:r>
          </w:p>
        </w:tc>
        <w:tc>
          <w:tcPr>
            <w:tcW w:type="dxa" w:w="55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Nodo del informe. Uno por periodo reportado.</w:t>
            </w:r>
          </w:p>
        </w:tc>
      </w:tr>
      <w:tr>
        <w:tc>
          <w:tcPr>
            <w:tcW w:type="dxa" w:w="1100"/>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1</w:t>
            </w:r>
          </w:p>
        </w:tc>
        <w:tc>
          <w:tcPr>
            <w:tcW w:type="dxa" w:w="27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&lt;mes_reportado&gt;</w:t>
            </w:r>
          </w:p>
        </w:tc>
        <w:tc>
          <w:tcPr>
            <w:tcW w:type="dxa" w:w="55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Mes y año del periodo. Numérico.</w:t>
            </w:r>
          </w:p>
        </w:tc>
      </w:tr>
      <w:tr>
        <w:tc>
          <w:tcPr>
            <w:tcW w:type="dxa" w:w="11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2</w:t>
            </w:r>
          </w:p>
        </w:tc>
        <w:tc>
          <w:tcPr>
            <w:tcW w:type="dxa" w:w="27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&lt;sujeto_obligado&gt;</w:t>
            </w:r>
          </w:p>
        </w:tc>
        <w:tc>
          <w:tcPr>
            <w:tcW w:type="dxa" w:w="55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Quién presenta. Clave de actividad, RFC, número de registro.</w:t>
            </w:r>
          </w:p>
        </w:tc>
      </w:tr>
      <w:tr>
        <w:tc>
          <w:tcPr>
            <w:tcW w:type="dxa" w:w="1100"/>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3</w:t>
            </w:r>
          </w:p>
        </w:tc>
        <w:tc>
          <w:tcPr>
            <w:tcW w:type="dxa" w:w="27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&lt;aviso&gt;</w:t>
            </w:r>
          </w:p>
        </w:tc>
        <w:tc>
          <w:tcPr>
            <w:tcW w:type="dxa" w:w="55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Se repite una vez por cada Aviso. Aquí vive todo lo que cambió.</w:t>
            </w:r>
          </w:p>
        </w:tc>
      </w:tr>
    </w:tbl>
    <w:p>
      <w:pPr>
        <w:spacing w:after="170" w:before="0"/>
      </w:pPr>
      <w:r>
        <w:rPr>
          <w:rFonts w:ascii="Arial" w:cs="Arial" w:eastAsia="Arial" w:hAnsi="Arial"/>
          <w:b w:val="false"/>
          <w:bCs w:val="false"/>
          <w:i w:val="false"/>
          <w:iCs w:val="false"/>
          <w:caps w:val="false"/>
          <w:color w:val="1B2430"/>
          <w:sz w:val="20"/>
          <w:szCs w:val="20"/>
        </w:rPr>
        <w:t xml:space="preserve"/>
      </w:r>
    </w:p>
    <w:p>
      <w:pPr>
        <w:spacing w:after="140" w:before="0" w:line="288"/>
      </w:pPr>
      <w:r>
        <w:rPr>
          <w:rFonts w:ascii="Arial" w:cs="Arial" w:eastAsia="Arial" w:hAnsi="Arial"/>
          <w:b w:val="false"/>
          <w:bCs w:val="false"/>
          <w:i w:val="false"/>
          <w:iCs w:val="false"/>
          <w:caps w:val="false"/>
          <w:color w:val="1B2430"/>
          <w:sz w:val="20"/>
          <w:szCs w:val="20"/>
        </w:rPr>
        <w:t xml:space="preserve">Tres avisos de una misma actividad en un mes son tres nodos &lt;aviso&gt; dentro de un solo &lt;informe&gt;, no tres archivos. Esto no cambió respecto de 2021.</w:t>
      </w:r>
    </w:p>
    <w:p>
      <w:pPr>
        <w:keepNext/>
        <w:spacing w:after="80" w:before="260"/>
      </w:pPr>
      <w:r>
        <w:rPr>
          <w:rFonts w:ascii="Georgia" w:cs="Georgia" w:eastAsia="Georgia" w:hAnsi="Georgia"/>
          <w:b/>
          <w:bCs/>
          <w:i w:val="false"/>
          <w:iCs w:val="false"/>
          <w:caps w:val="false"/>
          <w:color w:val="2C4278"/>
          <w:sz w:val="22"/>
          <w:szCs w:val="22"/>
        </w:rPr>
        <w:t xml:space="preserve">Dos excepciones que hay que codificar aparte</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Anexo 12-B (servidores públicos con fe pública): el campo 2 no es </w:t>
      </w:r>
      <w:r>
        <w:rPr>
          <w:rFonts w:ascii="Courier New" w:cs="Courier New" w:eastAsia="Courier New" w:hAnsi="Courier New"/>
          <w:b w:val="false"/>
          <w:bCs w:val="false"/>
          <w:color w:val="12224A"/>
          <w:sz w:val="17"/>
          <w:szCs w:val="17"/>
        </w:rPr>
        <w:t xml:space="preserve">&lt;sujeto_obligado&gt;</w:t>
      </w:r>
      <w:r>
        <w:rPr>
          <w:rFonts w:ascii="Arial" w:cs="Arial" w:eastAsia="Arial" w:hAnsi="Arial"/>
          <w:b w:val="false"/>
          <w:bCs w:val="false"/>
          <w:i w:val="false"/>
          <w:iCs w:val="false"/>
          <w:caps w:val="false"/>
          <w:color w:val="1B2430"/>
          <w:sz w:val="18"/>
          <w:szCs w:val="18"/>
        </w:rPr>
        <w:t xml:space="preserve"> sino </w:t>
      </w:r>
      <w:r>
        <w:rPr>
          <w:rFonts w:ascii="Courier New" w:cs="Courier New" w:eastAsia="Courier New" w:hAnsi="Courier New"/>
          <w:b w:val="false"/>
          <w:bCs w:val="false"/>
          <w:color w:val="12224A"/>
          <w:sz w:val="17"/>
          <w:szCs w:val="17"/>
        </w:rPr>
        <w:t xml:space="preserve">&lt;tribunal_dependencia&gt;</w:t>
      </w:r>
      <w:r>
        <w:rPr>
          <w:rFonts w:ascii="Arial" w:cs="Arial" w:eastAsia="Arial" w:hAnsi="Arial"/>
          <w:b w:val="false"/>
          <w:bCs w:val="false"/>
          <w:i w:val="false"/>
          <w:iCs w:val="false"/>
          <w:caps w:val="false"/>
          <w:color w:val="1B2430"/>
          <w:sz w:val="18"/>
          <w:szCs w:val="18"/>
        </w:rPr>
        <w:t xml:space="preserve">.</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Anexo 16 (activos virtuales): la cabecera del aviso invierte el orden. El campo 3.2 es la prioridad y el 3.3 el folio del aviso modificatorio; en los otros 20 anexos es al revés. Si se genera el XML con un solo template de cabecera, el 16 sale mal.</w:t>
      </w:r>
    </w:p>
    <w:p>
      <w:pPr>
        <w:keepNext/>
        <w:spacing w:after="80" w:before="260"/>
      </w:pPr>
      <w:r>
        <w:rPr>
          <w:rFonts w:ascii="Georgia" w:cs="Georgia" w:eastAsia="Georgia" w:hAnsi="Georgia"/>
          <w:b/>
          <w:bCs/>
          <w:i w:val="false"/>
          <w:iCs w:val="false"/>
          <w:caps w:val="false"/>
          <w:color w:val="2C4278"/>
          <w:sz w:val="22"/>
          <w:szCs w:val="22"/>
        </w:rPr>
        <w:t xml:space="preserve">Las dos familias del campo 3.5</w:t>
      </w:r>
    </w:p>
    <w:p>
      <w:pPr>
        <w:spacing w:after="140" w:before="0" w:line="288"/>
      </w:pPr>
      <w:r>
        <w:rPr>
          <w:rFonts w:ascii="Arial" w:cs="Arial" w:eastAsia="Arial" w:hAnsi="Arial"/>
          <w:b w:val="false"/>
          <w:bCs w:val="false"/>
          <w:i w:val="false"/>
          <w:iCs w:val="false"/>
          <w:caps w:val="false"/>
          <w:color w:val="1B2430"/>
          <w:sz w:val="20"/>
          <w:szCs w:val="20"/>
        </w:rPr>
        <w:t xml:space="preserve">Después de la cabecera común (3.1 a 3.4: folio, prioridad, modificatorio y fecha), el campo 3.5 se bifurca y define la forma de todo el resto del árbol:</w:t>
      </w:r>
    </w:p>
    <w:tbl>
      <w:tblPr>
        <w:tblW w:type="dxa" w:w="9360"/>
        <w:tblBorders>
          <w:top w:val="single" w:color="E4E8EE" w:sz="4"/>
          <w:left w:val="none"/>
          <w:bottom w:val="single" w:color="E4E8EE" w:sz="4"/>
          <w:right w:val="none"/>
          <w:insideH w:val="single" w:color="E4E8EE" w:sz="4"/>
          <w:insideV w:val="none"/>
        </w:tblBorders>
      </w:tblPr>
      <w:tblGrid>
        <w:gridCol w:w="2000"/>
        <w:gridCol w:w="1400"/>
        <w:gridCol w:w="5960"/>
      </w:tblGrid>
      <w:tr>
        <w:trPr>
          <w:tblHeader/>
        </w:trPr>
        <w:tc>
          <w:tcPr>
            <w:tcW w:type="dxa" w:w="20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Familia</w:t>
            </w:r>
          </w:p>
        </w:tc>
        <w:tc>
          <w:tcPr>
            <w:tcW w:type="dxa" w:w="140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Anexos</w:t>
            </w:r>
          </w:p>
        </w:tc>
        <w:tc>
          <w:tcPr>
            <w:tcW w:type="dxa" w:w="596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Campo 3.5 y qué implica</w:t>
            </w:r>
          </w:p>
        </w:tc>
      </w:tr>
      <w:tr>
        <w:tc>
          <w:tcPr>
            <w:tcW w:type="dxa" w:w="200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2224A"/>
                <w:sz w:val="17"/>
                <w:szCs w:val="17"/>
              </w:rPr>
              <w:t xml:space="preserve">PERSONA</w:t>
            </w:r>
          </w:p>
        </w:tc>
        <w:tc>
          <w:tcPr>
            <w:tcW w:type="dxa" w:w="14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13</w:t>
            </w:r>
          </w:p>
        </w:tc>
        <w:tc>
          <w:tcPr>
            <w:tcW w:type="dxa" w:w="59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El aviso arranca identificando a la persona. Anexos 1, 2-B, 2-C, 3, 6, 7, 8, 9, 10, 11, 12-A, 13 y 14-A.</w:t>
            </w:r>
          </w:p>
        </w:tc>
      </w:tr>
      <w:tr>
        <w:tc>
          <w:tcPr>
            <w:tcW w:type="dxa" w:w="200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2224A"/>
                <w:sz w:val="17"/>
                <w:szCs w:val="17"/>
              </w:rPr>
              <w:t xml:space="preserve">OPERACIÓN</w:t>
            </w:r>
          </w:p>
        </w:tc>
        <w:tc>
          <w:tcPr>
            <w:tcW w:type="dxa" w:w="14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8</w:t>
            </w:r>
          </w:p>
        </w:tc>
        <w:tc>
          <w:tcPr>
            <w:tcW w:type="dxa" w:w="59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El aviso arranca describiendo la operación y la persona va dentro. Anexos 2-A, 4, 5-A, 5-B, 12-B, 12-C, 15 y 16.</w:t>
            </w:r>
          </w:p>
        </w:tc>
      </w:tr>
      <w:tr>
        <w:tc>
          <w:tcPr>
            <w:tcW w:type="dxa" w:w="200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5A6472"/>
                <w:sz w:val="17"/>
                <w:szCs w:val="17"/>
              </w:rPr>
              <w:t xml:space="preserve">INFORME</w:t>
            </w:r>
          </w:p>
        </w:tc>
        <w:tc>
          <w:tcPr>
            <w:tcW w:type="dxa" w:w="14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w:t>
            </w:r>
          </w:p>
        </w:tc>
        <w:tc>
          <w:tcPr>
            <w:tcW w:type="dxa" w:w="59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Anexo 14. Sólo 7 campos, no tiene bloque 3.</w:t>
            </w:r>
          </w:p>
        </w:tc>
      </w:tr>
    </w:tbl>
    <w:p>
      <w:pPr>
        <w:spacing w:after="170" w:before="0"/>
      </w:pPr>
      <w:r>
        <w:rPr>
          <w:rFonts w:ascii="Arial" w:cs="Arial" w:eastAsia="Arial" w:hAnsi="Arial"/>
          <w:b w:val="false"/>
          <w:bCs w:val="false"/>
          <w:i w:val="false"/>
          <w:iCs w:val="false"/>
          <w:caps w:val="false"/>
          <w:color w:val="1B2430"/>
          <w:sz w:val="20"/>
          <w:szCs w:val="20"/>
        </w:rPr>
        <w:t xml:space="preserve"/>
      </w:r>
    </w:p>
    <w:tbl>
      <w:tblPr>
        <w:tblW w:type="dxa" w:w="9360"/>
        <w:tblBorders>
          <w:top w:val="none"/>
          <w:left w:val="single" w:color="2C4278"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Implicación para el desarrollo</w:t>
            </w:r>
          </w:p>
          <w:p>
            <w:pPr>
              <w:spacing w:after="0" w:before="0" w:line="280"/>
            </w:pPr>
            <w:r>
              <w:rPr>
                <w:rFonts w:ascii="Arial" w:cs="Arial" w:eastAsia="Arial" w:hAnsi="Arial"/>
                <w:b w:val="false"/>
                <w:bCs w:val="false"/>
                <w:i w:val="false"/>
                <w:iCs w:val="false"/>
                <w:caps w:val="false"/>
                <w:color w:val="1B2430"/>
                <w:sz w:val="18"/>
                <w:szCs w:val="18"/>
              </w:rPr>
              <w:t xml:space="preserve">Si el sistema hoy tiene un solo modelo de datos "aviso = persona + operación", va a chocar con la familia OPERACIÓN, donde una operación puede colgar varias personas. Conviene modelar la relación como muchos-a-muchos desde el principio, aunque el anexo que se use hoy no lo requiera.</w:t>
            </w:r>
          </w:p>
        </w:tc>
      </w:tr>
    </w:tbl>
    <w:p>
      <w:r>
        <w:br w:type="page"/>
      </w:r>
    </w:p>
    <w:p>
      <w:pPr>
        <w:keepNext/>
        <w:spacing w:after="20" w:before="360"/>
      </w:pPr>
      <w:r>
        <w:rPr>
          <w:rFonts w:ascii="Arial" w:cs="Arial" w:eastAsia="Arial" w:hAnsi="Arial"/>
          <w:b/>
          <w:bCs/>
          <w:i w:val="false"/>
          <w:iCs w:val="false"/>
          <w:caps/>
          <w:color w:val="B07A12"/>
          <w:spacing w:val="40"/>
          <w:sz w:val="16"/>
          <w:szCs w:val="16"/>
        </w:rPr>
        <w:t xml:space="preserve">Dos</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Los seis cambios que pegan en la base de datos</w:t>
      </w:r>
    </w:p>
    <w:p>
      <w:pPr>
        <w:spacing w:after="140" w:before="0" w:line="288"/>
      </w:pPr>
      <w:r>
        <w:rPr>
          <w:rFonts w:ascii="Arial" w:cs="Arial" w:eastAsia="Arial" w:hAnsi="Arial"/>
          <w:b w:val="false"/>
          <w:bCs w:val="false"/>
          <w:i w:val="false"/>
          <w:iCs w:val="false"/>
          <w:caps w:val="false"/>
          <w:color w:val="1B2430"/>
          <w:sz w:val="20"/>
          <w:szCs w:val="20"/>
        </w:rPr>
        <w:t xml:space="preserve">Éstos no son campos sueltos: son cambios de modelo. Cada uno aparece en casi todos los anexos, así que se resuelven una vez y sirven para todos.</w:t>
      </w:r>
    </w:p>
    <w:p>
      <w:pPr>
        <w:keepNext/>
        <w:spacing w:after="80" w:before="260"/>
      </w:pPr>
      <w:r>
        <w:rPr>
          <w:rFonts w:ascii="Georgia" w:cs="Georgia" w:eastAsia="Georgia" w:hAnsi="Georgia"/>
          <w:b/>
          <w:bCs/>
          <w:i w:val="false"/>
          <w:iCs w:val="false"/>
          <w:caps w:val="false"/>
          <w:color w:val="2C4278"/>
          <w:sz w:val="22"/>
          <w:szCs w:val="22"/>
        </w:rPr>
        <w:t xml:space="preserve">1 · Dueño Beneficiario → Beneficiario Controlador</w:t>
      </w:r>
    </w:p>
    <w:p>
      <w:pPr>
        <w:spacing w:after="140" w:before="0" w:line="288"/>
      </w:pPr>
      <w:r>
        <w:rPr>
          <w:rFonts w:ascii="Arial" w:cs="Arial" w:eastAsia="Arial" w:hAnsi="Arial"/>
          <w:b w:val="false"/>
          <w:bCs w:val="false"/>
          <w:i w:val="false"/>
          <w:iCs w:val="false"/>
          <w:caps w:val="false"/>
          <w:color w:val="1B2430"/>
          <w:sz w:val="20"/>
          <w:szCs w:val="20"/>
        </w:rPr>
        <w:t xml:space="preserve">El cambio más grande de los formatos. El bloque &lt;dueno_beneficiario&gt; de 2021 desaparece de los 16 anexos donde estaba y se sustituye por &lt;beneficiario_controlador&gt;, que aparece en 20 de los 22 anexos, en 46 bloques distintos.</w:t>
      </w:r>
    </w:p>
    <w:tbl>
      <w:tblPr>
        <w:tblW w:type="dxa" w:w="9360"/>
        <w:tblBorders>
          <w:top w:val="single" w:color="E4E8EE" w:sz="4"/>
          <w:left w:val="none"/>
          <w:bottom w:val="single" w:color="E4E8EE" w:sz="4"/>
          <w:right w:val="none"/>
          <w:insideH w:val="single" w:color="E4E8EE" w:sz="4"/>
          <w:insideV w:val="none"/>
        </w:tblBorders>
      </w:tblPr>
      <w:tblGrid>
        <w:gridCol w:w="2260"/>
        <w:gridCol w:w="3550"/>
        <w:gridCol w:w="3550"/>
      </w:tblGrid>
      <w:tr>
        <w:trPr>
          <w:tblHeader/>
        </w:trPr>
        <w:tc>
          <w:tcPr>
            <w:tcW w:type="dxa" w:w="226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
            </w:r>
          </w:p>
        </w:tc>
        <w:tc>
          <w:tcPr>
            <w:tcW w:type="dxa" w:w="355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2021 · &lt;dueno_beneficiario&gt;</w:t>
            </w:r>
          </w:p>
        </w:tc>
        <w:tc>
          <w:tcPr>
            <w:tcW w:type="dxa" w:w="355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2026 · &lt;beneficiario_controlador&gt;</w:t>
            </w:r>
          </w:p>
        </w:tc>
      </w:tr>
      <w:tr>
        <w:tc>
          <w:tcPr>
            <w:tcW w:type="dxa" w:w="226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Qué se podía capturar</w:t>
            </w:r>
          </w:p>
        </w:tc>
        <w:tc>
          <w:tcPr>
            <w:tcW w:type="dxa" w:w="35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Persona física, persona moral o fideicomiso</w:t>
            </w:r>
          </w:p>
        </w:tc>
        <w:tc>
          <w:tcPr>
            <w:tcW w:type="dxa" w:w="35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Únicamente persona física</w:t>
            </w:r>
          </w:p>
        </w:tc>
      </w:tr>
      <w:tr>
        <w:tc>
          <w:tcPr>
            <w:tcW w:type="dxa" w:w="226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Etiqueta interna</w:t>
            </w:r>
          </w:p>
        </w:tc>
        <w:tc>
          <w:tcPr>
            <w:tcW w:type="dxa" w:w="35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&lt;persona_fisica&gt; · &lt;persona_moral&gt; · &lt;fideicomiso&gt;</w:t>
            </w:r>
          </w:p>
        </w:tc>
        <w:tc>
          <w:tcPr>
            <w:tcW w:type="dxa" w:w="35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&lt;bc_persona_fisica&gt; y nada más</w:t>
            </w:r>
          </w:p>
        </w:tc>
      </w:tr>
      <w:tr>
        <w:tc>
          <w:tcPr>
            <w:tcW w:type="dxa" w:w="226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Campos de cadena</w:t>
            </w:r>
          </w:p>
        </w:tc>
        <w:tc>
          <w:tcPr>
            <w:tcW w:type="dxa" w:w="35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Ninguno</w:t>
            </w:r>
          </w:p>
        </w:tc>
        <w:tc>
          <w:tcPr>
            <w:tcW w:type="dxa" w:w="35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&lt;naturaleza_juridica&gt; · &lt;otro_pm&gt; · &lt;total_fig_juridicas&gt;</w:t>
            </w:r>
          </w:p>
        </w:tc>
      </w:tr>
      <w:tr>
        <w:tc>
          <w:tcPr>
            <w:tcW w:type="dxa" w:w="226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En cuántos anexos</w:t>
            </w:r>
          </w:p>
        </w:tc>
        <w:tc>
          <w:tcPr>
            <w:tcW w:type="dxa" w:w="35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16</w:t>
            </w:r>
          </w:p>
        </w:tc>
        <w:tc>
          <w:tcPr>
            <w:tcW w:type="dxa" w:w="35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20 (no está en el 14 ni en el 14-A)</w:t>
            </w:r>
          </w:p>
        </w:tc>
      </w:tr>
    </w:tbl>
    <w:p>
      <w:pPr>
        <w:spacing w:after="170" w:before="0"/>
      </w:pPr>
      <w:r>
        <w:rPr>
          <w:rFonts w:ascii="Arial" w:cs="Arial" w:eastAsia="Arial" w:hAnsi="Arial"/>
          <w:b w:val="false"/>
          <w:bCs w:val="false"/>
          <w:i w:val="false"/>
          <w:iCs w:val="false"/>
          <w:caps w:val="false"/>
          <w:color w:val="1B2430"/>
          <w:sz w:val="20"/>
          <w:szCs w:val="20"/>
        </w:rPr>
        <w:t xml:space="preserve"/>
      </w:r>
    </w:p>
    <w:tbl>
      <w:tblPr>
        <w:tblW w:type="dxa" w:w="9360"/>
        <w:tblBorders>
          <w:top w:val="none"/>
          <w:left w:val="single" w:color="F2A541"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Lo que esto le cambia al sistema</w:t>
            </w:r>
          </w:p>
          <w:p>
            <w:pPr>
              <w:spacing w:after="80" w:before="0" w:line="280"/>
            </w:pPr>
            <w:r>
              <w:rPr>
                <w:rFonts w:ascii="Arial" w:cs="Arial" w:eastAsia="Arial" w:hAnsi="Arial"/>
                <w:b w:val="false"/>
                <w:bCs w:val="false"/>
                <w:i w:val="false"/>
                <w:iCs w:val="false"/>
                <w:caps w:val="false"/>
                <w:color w:val="1B2430"/>
                <w:sz w:val="18"/>
                <w:szCs w:val="18"/>
              </w:rPr>
              <w:t xml:space="preserve">El campo de Beneficiario Controlador ya no es un nombre: es el final de una cadena. El nuevo campo </w:t>
            </w:r>
            <w:r>
              <w:rPr>
                <w:rFonts w:ascii="Courier New" w:cs="Courier New" w:eastAsia="Courier New" w:hAnsi="Courier New"/>
                <w:b w:val="false"/>
                <w:bCs w:val="false"/>
                <w:color w:val="12224A"/>
                <w:sz w:val="17"/>
                <w:szCs w:val="17"/>
              </w:rPr>
              <w:t xml:space="preserve">&lt;total_fig_juridicas&gt;</w:t>
            </w:r>
            <w:r>
              <w:rPr>
                <w:rFonts w:ascii="Arial" w:cs="Arial" w:eastAsia="Arial" w:hAnsi="Arial"/>
                <w:b w:val="false"/>
                <w:bCs w:val="false"/>
                <w:i w:val="false"/>
                <w:iCs w:val="false"/>
                <w:caps w:val="false"/>
                <w:color w:val="1B2430"/>
                <w:sz w:val="18"/>
                <w:szCs w:val="18"/>
              </w:rPr>
              <w:t xml:space="preserve"> pide declarar cuántas figuras jurídicas hay entre el cliente y la persona física que controla. Eso no se saca de un campo de texto: hay que modelar la cadena de control, o por lo menos guardar el conteo y la naturaleza jurídica de cada eslabón.</w:t>
            </w:r>
          </w:p>
          <w:p>
            <w:pPr>
              <w:spacing w:after="0" w:before="0" w:line="280"/>
            </w:pPr>
            <w:r>
              <w:rPr>
                <w:rFonts w:ascii="Arial" w:cs="Arial" w:eastAsia="Arial" w:hAnsi="Arial"/>
                <w:b w:val="false"/>
                <w:bCs w:val="false"/>
                <w:i w:val="false"/>
                <w:iCs w:val="false"/>
                <w:caps w:val="false"/>
                <w:color w:val="1B2430"/>
                <w:sz w:val="18"/>
                <w:szCs w:val="18"/>
              </w:rPr>
              <w:t xml:space="preserve">Si hoy la tabla de dueño beneficiario admite tipo = física / moral / fideicomiso, esa columna ya no aplica. La migración tiene que decidir qué hacer con los registros históricos donde el dueño beneficiario capturado es una persona moral: en el formato nuevo ese dato es incapturable.</w:t>
            </w:r>
          </w:p>
        </w:tc>
      </w:tr>
    </w:tbl>
    <w:p>
      <w:pPr>
        <w:spacing w:after="140" w:before="0"/>
      </w:pPr>
      <w:r>
        <w:rPr>
          <w:rFonts w:ascii="Arial" w:cs="Arial" w:eastAsia="Arial" w:hAnsi="Arial"/>
          <w:b w:val="false"/>
          <w:bCs w:val="false"/>
          <w:i w:val="false"/>
          <w:iCs w:val="false"/>
          <w:caps w:val="false"/>
          <w:color w:val="1B2430"/>
          <w:sz w:val="20"/>
          <w:szCs w:val="20"/>
        </w:rPr>
        <w:t xml:space="preserve"/>
      </w:r>
    </w:p>
    <w:tbl>
      <w:tblPr>
        <w:tblW w:type="dxa" w:w="9360"/>
        <w:tblBorders>
          <w:top w:val="none"/>
          <w:left w:val="single" w:color="B07A12"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Trampa de obligatoriedad</w:t>
            </w:r>
          </w:p>
          <w:p>
            <w:pPr>
              <w:spacing w:after="0" w:before="0" w:line="280"/>
            </w:pPr>
            <w:r>
              <w:rPr>
                <w:rFonts w:ascii="Arial" w:cs="Arial" w:eastAsia="Arial" w:hAnsi="Arial"/>
                <w:b w:val="false"/>
                <w:bCs w:val="false"/>
                <w:i w:val="false"/>
                <w:iCs w:val="false"/>
                <w:caps w:val="false"/>
                <w:color w:val="1B2430"/>
                <w:sz w:val="18"/>
                <w:szCs w:val="18"/>
              </w:rPr>
              <w:t xml:space="preserve">De las 46 apariciones del bloque, </w:t>
            </w:r>
            <w:r>
              <w:rPr>
                <w:rFonts w:ascii="Arial" w:cs="Arial" w:eastAsia="Arial" w:hAnsi="Arial"/>
                <w:b/>
                <w:bCs/>
                <w:i w:val="false"/>
                <w:iCs w:val="false"/>
                <w:caps w:val="false"/>
                <w:color w:val="1B2430"/>
                <w:sz w:val="18"/>
                <w:szCs w:val="18"/>
              </w:rPr>
              <w:t xml:space="preserve">13 son Opcionales</w:t>
            </w:r>
            <w:r>
              <w:rPr>
                <w:rFonts w:ascii="Arial" w:cs="Arial" w:eastAsia="Arial" w:hAnsi="Arial"/>
                <w:b w:val="false"/>
                <w:bCs w:val="false"/>
                <w:i w:val="false"/>
                <w:iCs w:val="false"/>
                <w:caps w:val="false"/>
                <w:color w:val="1B2430"/>
                <w:sz w:val="18"/>
                <w:szCs w:val="18"/>
              </w:rPr>
              <w:t xml:space="preserve">: siete de los ocho bloques del Anexo 12-B, dos del 11, dos del 12-A, uno del 2-B y uno del 10. No se puede programar la validación "BC siempre requerido": el XML se va a rechazar por exceso de rigor en unos casos y a pasar incompleto en otros. La obligatoriedad hay que leerla bloque por bloque en el catálogo de campos.</w:t>
            </w:r>
          </w:p>
        </w:tc>
      </w:tr>
    </w:tbl>
    <w:p>
      <w:pPr>
        <w:keepNext/>
        <w:spacing w:after="80" w:before="260"/>
      </w:pPr>
      <w:r>
        <w:rPr>
          <w:rFonts w:ascii="Georgia" w:cs="Georgia" w:eastAsia="Georgia" w:hAnsi="Georgia"/>
          <w:b/>
          <w:bCs/>
          <w:i w:val="false"/>
          <w:iCs w:val="false"/>
          <w:caps w:val="false"/>
          <w:color w:val="2C4278"/>
          <w:sz w:val="22"/>
          <w:szCs w:val="22"/>
        </w:rPr>
        <w:t xml:space="preserve">2 · Naturaleza jurídica y "otro"</w:t>
      </w:r>
    </w:p>
    <w:p>
      <w:pPr>
        <w:spacing w:after="140" w:before="0" w:line="288"/>
      </w:pPr>
      <w:r>
        <w:rPr>
          <w:rFonts w:ascii="Arial" w:cs="Arial" w:eastAsia="Arial" w:hAnsi="Arial"/>
          <w:b w:val="false"/>
          <w:bCs w:val="false"/>
          <w:i w:val="false"/>
          <w:iCs w:val="false"/>
          <w:caps w:val="false"/>
          <w:color w:val="1B2430"/>
          <w:sz w:val="20"/>
          <w:szCs w:val="20"/>
        </w:rPr>
        <w:t xml:space="preserve">Dos etiquetas nuevas que aparecen en 21 de los 22 anexos, siempre juntas, y en más de un bloque dentro de cada anexo:</w:t>
      </w:r>
    </w:p>
    <w:p>
      <w:pPr>
        <w:pStyle w:val="ListParagraph"/>
        <w:numPr>
          <w:ilvl w:val="0"/>
          <w:numId w:val="2"/>
        </w:numPr>
        <w:spacing w:after="70" w:before="0" w:line="280"/>
      </w:pPr>
      <w:r>
        <w:rPr>
          <w:rFonts w:ascii="Courier New" w:cs="Courier New" w:eastAsia="Courier New" w:hAnsi="Courier New"/>
          <w:b w:val="false"/>
          <w:bCs w:val="false"/>
          <w:color w:val="12224A"/>
          <w:sz w:val="17"/>
          <w:szCs w:val="17"/>
        </w:rPr>
        <w:t xml:space="preserve">&lt;naturaleza_juridica&gt;</w:t>
      </w:r>
      <w:r>
        <w:rPr>
          <w:rFonts w:ascii="Arial" w:cs="Arial" w:eastAsia="Arial" w:hAnsi="Arial"/>
          <w:b w:val="false"/>
          <w:bCs w:val="false"/>
          <w:i w:val="false"/>
          <w:iCs w:val="false"/>
          <w:caps w:val="false"/>
          <w:color w:val="1B2430"/>
          <w:sz w:val="18"/>
          <w:szCs w:val="18"/>
        </w:rPr>
        <w:t xml:space="preserve"> — clave de catálogo. Requiere el catálogo de la UIF; hasta que salga, dejar el campo como clave libre validada contra tabla vacía, no hardcodear valores.</w:t>
      </w:r>
    </w:p>
    <w:p>
      <w:pPr>
        <w:pStyle w:val="ListParagraph"/>
        <w:numPr>
          <w:ilvl w:val="0"/>
          <w:numId w:val="2"/>
        </w:numPr>
        <w:spacing w:after="70" w:before="0" w:line="280"/>
      </w:pPr>
      <w:r>
        <w:rPr>
          <w:rFonts w:ascii="Courier New" w:cs="Courier New" w:eastAsia="Courier New" w:hAnsi="Courier New"/>
          <w:b w:val="false"/>
          <w:bCs w:val="false"/>
          <w:color w:val="12224A"/>
          <w:sz w:val="17"/>
          <w:szCs w:val="17"/>
        </w:rPr>
        <w:t xml:space="preserve">&lt;otro_pm&gt;</w:t>
      </w:r>
      <w:r>
        <w:rPr>
          <w:rFonts w:ascii="Arial" w:cs="Arial" w:eastAsia="Arial" w:hAnsi="Arial"/>
          <w:b w:val="false"/>
          <w:bCs w:val="false"/>
          <w:i w:val="false"/>
          <w:iCs w:val="false"/>
          <w:caps w:val="false"/>
          <w:color w:val="1B2430"/>
          <w:sz w:val="18"/>
          <w:szCs w:val="18"/>
        </w:rPr>
        <w:t xml:space="preserve"> — texto libre para cuando la naturaleza jurídica no está en el catálogo. Es el campo condicionado clásico: se habilita sólo si la clave capturada es la de "otro".</w:t>
      </w:r>
    </w:p>
    <w:p>
      <w:pPr>
        <w:pStyle w:val="ListParagraph"/>
        <w:numPr>
          <w:ilvl w:val="0"/>
          <w:numId w:val="2"/>
        </w:numPr>
        <w:spacing w:after="70" w:before="0" w:line="280"/>
      </w:pPr>
      <w:r>
        <w:rPr>
          <w:rFonts w:ascii="Courier New" w:cs="Courier New" w:eastAsia="Courier New" w:hAnsi="Courier New"/>
          <w:b w:val="false"/>
          <w:bCs w:val="false"/>
          <w:color w:val="12224A"/>
          <w:sz w:val="17"/>
          <w:szCs w:val="17"/>
        </w:rPr>
        <w:t xml:space="preserve">&lt;tipo_persona_moral&gt;</w:t>
      </w:r>
      <w:r>
        <w:rPr>
          <w:rFonts w:ascii="Arial" w:cs="Arial" w:eastAsia="Arial" w:hAnsi="Arial"/>
          <w:b w:val="false"/>
          <w:bCs w:val="false"/>
          <w:i w:val="false"/>
          <w:iCs w:val="false"/>
          <w:caps w:val="false"/>
          <w:color w:val="1B2430"/>
          <w:sz w:val="18"/>
          <w:szCs w:val="18"/>
        </w:rPr>
        <w:t xml:space="preserve"> — aparece en 20 anexos. Clave de catálogo, también nueva.</w:t>
      </w:r>
    </w:p>
    <w:p>
      <w:pPr>
        <w:keepNext/>
        <w:spacing w:after="80" w:before="260"/>
      </w:pPr>
      <w:r>
        <w:rPr>
          <w:rFonts w:ascii="Georgia" w:cs="Georgia" w:eastAsia="Georgia" w:hAnsi="Georgia"/>
          <w:b/>
          <w:bCs/>
          <w:i w:val="false"/>
          <w:iCs w:val="false"/>
          <w:caps w:val="false"/>
          <w:color w:val="2C4278"/>
          <w:sz w:val="22"/>
          <w:szCs w:val="22"/>
        </w:rPr>
        <w:t xml:space="preserve">3 · Acumulación</w:t>
      </w:r>
    </w:p>
    <w:p>
      <w:pPr>
        <w:spacing w:after="140" w:before="0" w:line="288"/>
      </w:pPr>
      <w:r>
        <w:rPr>
          <w:rFonts w:ascii="Arial" w:cs="Arial" w:eastAsia="Arial" w:hAnsi="Arial"/>
          <w:b w:val="false"/>
          <w:bCs w:val="false"/>
          <w:i w:val="false"/>
          <w:iCs w:val="false"/>
          <w:caps w:val="false"/>
          <w:color w:val="1B2430"/>
          <w:sz w:val="20"/>
          <w:szCs w:val="20"/>
        </w:rPr>
        <w:t xml:space="preserve">La etiqueta &lt;acumulacion&gt; no existía en los formatos de 2021. Aparece en 17 de los 22 anexos. No está en el 2-B, 2-C, 11, 14 ni 14-A.</w:t>
      </w:r>
    </w:p>
    <w:tbl>
      <w:tblPr>
        <w:tblW w:type="dxa" w:w="9360"/>
        <w:tblBorders>
          <w:top w:val="none"/>
          <w:left w:val="single" w:color="2C4278"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0" w:before="0" w:line="280"/>
            </w:pPr>
            <w:r>
              <w:rPr>
                <w:rFonts w:ascii="Arial" w:cs="Arial" w:eastAsia="Arial" w:hAnsi="Arial"/>
                <w:b w:val="false"/>
                <w:bCs w:val="false"/>
                <w:i w:val="false"/>
                <w:iCs w:val="false"/>
                <w:caps w:val="false"/>
                <w:color w:val="1B2430"/>
                <w:sz w:val="18"/>
                <w:szCs w:val="18"/>
              </w:rPr>
              <w:t xml:space="preserve">Esto es lo que más trabajo da del lado del sistema, porque no es un campo de captura: es un cálculo. Para marcarlo el sistema tiene que poder sumar las operaciones del mismo cliente en el periodo que corresponda y decidir si el umbral se alcanzó por acumulación. Si hoy cada operación se captura aislada, sin llave de cliente que las amarre, ese cálculo no se puede hacer y el campo se va a llenar a mano —que es exactamente lo que la autoridad va a poder contrastar contra el resto del Aviso.</w:t>
            </w:r>
          </w:p>
        </w:tc>
      </w:tr>
    </w:tbl>
    <w:p>
      <w:pPr>
        <w:keepNext/>
        <w:spacing w:after="80" w:before="260"/>
      </w:pPr>
      <w:r>
        <w:rPr>
          <w:rFonts w:ascii="Georgia" w:cs="Georgia" w:eastAsia="Georgia" w:hAnsi="Georgia"/>
          <w:b/>
          <w:bCs/>
          <w:i w:val="false"/>
          <w:iCs w:val="false"/>
          <w:caps w:val="false"/>
          <w:color w:val="2C4278"/>
          <w:sz w:val="22"/>
          <w:szCs w:val="22"/>
        </w:rPr>
        <w:t xml:space="preserve">4 · Pago por tercero</w:t>
      </w:r>
    </w:p>
    <w:p>
      <w:pPr>
        <w:spacing w:after="140" w:before="0" w:line="288"/>
      </w:pPr>
      <w:r>
        <w:rPr>
          <w:rFonts w:ascii="Arial" w:cs="Arial" w:eastAsia="Arial" w:hAnsi="Arial"/>
          <w:b w:val="false"/>
          <w:bCs w:val="false"/>
          <w:i w:val="false"/>
          <w:iCs w:val="false"/>
          <w:caps w:val="false"/>
          <w:color w:val="1B2430"/>
          <w:sz w:val="20"/>
          <w:szCs w:val="20"/>
        </w:rPr>
        <w:t xml:space="preserve">&lt;pago_por_tercero&gt; es nueva y aparece en 8 anexos. Implica poder registrar, en la misma operación, a alguien que paga y que no es el cliente: otro renglón de persona, con sus propios datos de identificación.</w:t>
      </w:r>
    </w:p>
    <w:p>
      <w:pPr>
        <w:keepNext/>
        <w:spacing w:after="80" w:before="260"/>
      </w:pPr>
      <w:r>
        <w:rPr>
          <w:rFonts w:ascii="Georgia" w:cs="Georgia" w:eastAsia="Georgia" w:hAnsi="Georgia"/>
          <w:b/>
          <w:bCs/>
          <w:i w:val="false"/>
          <w:iCs w:val="false"/>
          <w:caps w:val="false"/>
          <w:color w:val="2C4278"/>
          <w:sz w:val="22"/>
          <w:szCs w:val="22"/>
        </w:rPr>
        <w:t xml:space="preserve">5 · Los campos que se van</w:t>
      </w:r>
    </w:p>
    <w:p>
      <w:pPr>
        <w:spacing w:after="140" w:before="0" w:line="288"/>
      </w:pPr>
      <w:r>
        <w:rPr>
          <w:rFonts w:ascii="Arial" w:cs="Arial" w:eastAsia="Arial" w:hAnsi="Arial"/>
          <w:b w:val="false"/>
          <w:bCs w:val="false"/>
          <w:i w:val="false"/>
          <w:iCs w:val="false"/>
          <w:caps w:val="false"/>
          <w:color w:val="1B2430"/>
          <w:sz w:val="20"/>
          <w:szCs w:val="20"/>
        </w:rPr>
        <w:t xml:space="preserve">En 16 anexos desaparece el mismo paquete de 12 campos: los once del bloque de Dueño Beneficiario que se sustituyó, y aparte la casilla de exento.</w:t>
      </w:r>
    </w:p>
    <w:p>
      <w:pPr>
        <w:spacing w:after="120" w:before="60" w:line="320"/>
      </w:pPr>
      <w:r>
        <w:rPr>
          <w:rFonts w:ascii="Courier New" w:cs="Courier New" w:eastAsia="Courier New" w:hAnsi="Courier New"/>
          <w:b w:val="false"/>
          <w:bCs w:val="false"/>
          <w:color w:val="12224A"/>
          <w:sz w:val="16"/>
          <w:szCs w:val="16"/>
        </w:rPr>
        <w:t xml:space="preserve">&lt;dueno_beneficiario&gt;</w:t>
      </w:r>
      <w:r>
        <w:rPr>
          <w:rFonts w:ascii="Arial" w:cs="Arial" w:eastAsia="Arial" w:hAnsi="Arial"/>
          <w:b w:val="false"/>
          <w:bCs w:val="false"/>
          <w:i w:val="false"/>
          <w:iCs w:val="false"/>
          <w:caps w:val="false"/>
          <w:color w:val="5A6472"/>
          <w:sz w:val="17"/>
          <w:szCs w:val="17"/>
        </w:rPr>
        <w:t xml:space="preserve">  con sus hijos  </w:t>
      </w:r>
      <w:r>
        <w:rPr>
          <w:rFonts w:ascii="Courier New" w:cs="Courier New" w:eastAsia="Courier New" w:hAnsi="Courier New"/>
          <w:b w:val="false"/>
          <w:bCs w:val="false"/>
          <w:color w:val="12224A"/>
          <w:sz w:val="16"/>
          <w:szCs w:val="16"/>
        </w:rPr>
        <w:t xml:space="preserve">&lt;persona_fisica&gt;</w:t>
      </w:r>
      <w:r>
        <w:rPr>
          <w:rFonts w:ascii="Arial" w:cs="Arial" w:eastAsia="Arial" w:hAnsi="Arial"/>
          <w:b w:val="false"/>
          <w:bCs w:val="false"/>
          <w:i w:val="false"/>
          <w:iCs w:val="false"/>
          <w:caps w:val="false"/>
          <w:color w:val="5A6472"/>
          <w:sz w:val="17"/>
          <w:szCs w:val="17"/>
        </w:rPr>
        <w:t xml:space="preserve">  ·  </w:t>
      </w:r>
      <w:r>
        <w:rPr>
          <w:rFonts w:ascii="Courier New" w:cs="Courier New" w:eastAsia="Courier New" w:hAnsi="Courier New"/>
          <w:b w:val="false"/>
          <w:bCs w:val="false"/>
          <w:color w:val="12224A"/>
          <w:sz w:val="16"/>
          <w:szCs w:val="16"/>
        </w:rPr>
        <w:t xml:space="preserve">&lt;persona_moral&gt;</w:t>
      </w:r>
      <w:r>
        <w:rPr>
          <w:rFonts w:ascii="Arial" w:cs="Arial" w:eastAsia="Arial" w:hAnsi="Arial"/>
          <w:b w:val="false"/>
          <w:bCs w:val="false"/>
          <w:i w:val="false"/>
          <w:iCs w:val="false"/>
          <w:caps w:val="false"/>
          <w:color w:val="5A6472"/>
          <w:sz w:val="17"/>
          <w:szCs w:val="17"/>
        </w:rPr>
        <w:t xml:space="preserve">  (</w:t>
      </w:r>
      <w:r>
        <w:rPr>
          <w:rFonts w:ascii="Courier New" w:cs="Courier New" w:eastAsia="Courier New" w:hAnsi="Courier New"/>
          <w:b w:val="false"/>
          <w:bCs w:val="false"/>
          <w:color w:val="12224A"/>
          <w:sz w:val="16"/>
          <w:szCs w:val="16"/>
        </w:rPr>
        <w:t xml:space="preserve">&lt;denominacion_razon&gt; &lt;fecha_constitucion&gt; &lt;rfc&gt; &lt;pais_nacionalidad&gt;</w:t>
      </w:r>
      <w:r>
        <w:rPr>
          <w:rFonts w:ascii="Arial" w:cs="Arial" w:eastAsia="Arial" w:hAnsi="Arial"/>
          <w:b w:val="false"/>
          <w:bCs w:val="false"/>
          <w:i w:val="false"/>
          <w:iCs w:val="false"/>
          <w:caps w:val="false"/>
          <w:color w:val="5A6472"/>
          <w:sz w:val="17"/>
          <w:szCs w:val="17"/>
        </w:rPr>
        <w:t xml:space="preserve">)  ·  </w:t>
      </w:r>
      <w:r>
        <w:rPr>
          <w:rFonts w:ascii="Courier New" w:cs="Courier New" w:eastAsia="Courier New" w:hAnsi="Courier New"/>
          <w:b w:val="false"/>
          <w:bCs w:val="false"/>
          <w:color w:val="12224A"/>
          <w:sz w:val="16"/>
          <w:szCs w:val="16"/>
        </w:rPr>
        <w:t xml:space="preserve">&lt;fideicomiso&gt;</w:t>
      </w:r>
      <w:r>
        <w:rPr>
          <w:rFonts w:ascii="Arial" w:cs="Arial" w:eastAsia="Arial" w:hAnsi="Arial"/>
          <w:b w:val="false"/>
          <w:bCs w:val="false"/>
          <w:i w:val="false"/>
          <w:iCs w:val="false"/>
          <w:caps w:val="false"/>
          <w:color w:val="5A6472"/>
          <w:sz w:val="17"/>
          <w:szCs w:val="17"/>
        </w:rPr>
        <w:t xml:space="preserve">  (</w:t>
      </w:r>
      <w:r>
        <w:rPr>
          <w:rFonts w:ascii="Courier New" w:cs="Courier New" w:eastAsia="Courier New" w:hAnsi="Courier New"/>
          <w:b w:val="false"/>
          <w:bCs w:val="false"/>
          <w:color w:val="12224A"/>
          <w:sz w:val="16"/>
          <w:szCs w:val="16"/>
        </w:rPr>
        <w:t xml:space="preserve">&lt;denominacion_razon&gt; &lt;rfc&gt; &lt;identificador_fideicomiso&gt;</w:t>
      </w:r>
      <w:r>
        <w:rPr>
          <w:rFonts w:ascii="Arial" w:cs="Arial" w:eastAsia="Arial" w:hAnsi="Arial"/>
          <w:b w:val="false"/>
          <w:bCs w:val="false"/>
          <w:i w:val="false"/>
          <w:iCs w:val="false"/>
          <w:caps w:val="false"/>
          <w:color w:val="5A6472"/>
          <w:sz w:val="17"/>
          <w:szCs w:val="17"/>
        </w:rPr>
        <w:t xml:space="preserve">)</w:t>
      </w:r>
    </w:p>
    <w:p>
      <w:pPr>
        <w:spacing w:after="140" w:before="0" w:line="288"/>
      </w:pPr>
      <w:r>
        <w:rPr>
          <w:rFonts w:ascii="Arial" w:cs="Arial" w:eastAsia="Arial" w:hAnsi="Arial"/>
          <w:b w:val="false"/>
          <w:bCs w:val="false"/>
          <w:i w:val="false"/>
          <w:iCs w:val="false"/>
          <w:caps w:val="false"/>
          <w:color w:val="1B2430"/>
          <w:sz w:val="20"/>
          <w:szCs w:val="20"/>
        </w:rPr>
        <w:t xml:space="preserve">Ojo con las repeticiones: &lt;denominacion_razon&gt; y &lt;rfc&gt; aparecen dos veces, una bajo persona moral y otra bajo fideicomiso. Son campos distintos con la misma etiqueta y distinta ruta; si el mapeo se hace por nombre de etiqueta y no por ruta completa, se pisan.</w:t>
      </w:r>
    </w:p>
    <w:p>
      <w:pPr>
        <w:spacing w:after="140" w:before="0" w:line="288"/>
      </w:pPr>
      <w:r>
        <w:rPr>
          <w:rFonts w:ascii="Arial" w:cs="Arial" w:eastAsia="Arial" w:hAnsi="Arial"/>
          <w:b w:val="false"/>
          <w:bCs w:val="false"/>
          <w:i w:val="false"/>
          <w:iCs w:val="false"/>
          <w:caps w:val="false"/>
          <w:color w:val="1B2430"/>
          <w:sz w:val="20"/>
          <w:szCs w:val="20"/>
        </w:rPr>
        <w:t xml:space="preserve">El campo &lt;exento&gt; desaparece de 15 anexos: en 2026 sólo sobrevive en el 4, 5-A, 8 y 15, como campo 2.4. Si el sistema hoy pinta la casilla de exento en todos los avisos, hay que quitarla de los otros 18.</w:t>
      </w:r>
    </w:p>
    <w:p>
      <w:pPr>
        <w:keepNext/>
        <w:spacing w:after="80" w:before="260"/>
      </w:pPr>
      <w:r>
        <w:rPr>
          <w:rFonts w:ascii="Georgia" w:cs="Georgia" w:eastAsia="Georgia" w:hAnsi="Georgia"/>
          <w:b/>
          <w:bCs/>
          <w:i w:val="false"/>
          <w:iCs w:val="false"/>
          <w:caps w:val="false"/>
          <w:color w:val="2C4278"/>
          <w:sz w:val="22"/>
          <w:szCs w:val="22"/>
        </w:rPr>
        <w:t xml:space="preserve">6 · Los que cambian de lugar sin cambiar de nombre</w:t>
      </w:r>
    </w:p>
    <w:p>
      <w:pPr>
        <w:spacing w:after="140" w:before="0" w:line="288"/>
      </w:pPr>
      <w:r>
        <w:rPr>
          <w:rFonts w:ascii="Arial" w:cs="Arial" w:eastAsia="Arial" w:hAnsi="Arial"/>
          <w:b w:val="false"/>
          <w:bCs w:val="false"/>
          <w:i w:val="false"/>
          <w:iCs w:val="false"/>
          <w:caps w:val="false"/>
          <w:color w:val="1B2430"/>
          <w:sz w:val="20"/>
          <w:szCs w:val="20"/>
        </w:rPr>
        <w:t xml:space="preserve">487 campos existen igual en 2026 pero colgados de otra rama del árbol. No hay que capturar nada nuevo: hay que volver a mapear. Ejemplo del Anexo 4, donde se metió un nivel completo:</w:t>
      </w:r>
    </w:p>
    <w:tbl>
      <w:tblPr>
        <w:tblW w:type="dxa" w:w="9360"/>
        <w:tblBorders>
          <w:top w:val="single" w:color="E4E8EE" w:sz="4"/>
          <w:left w:val="none"/>
          <w:bottom w:val="single" w:color="E4E8EE" w:sz="4"/>
          <w:right w:val="none"/>
          <w:insideH w:val="single" w:color="E4E8EE" w:sz="4"/>
          <w:insideV w:val="none"/>
        </w:tblBorders>
      </w:tblPr>
      <w:tblGrid>
        <w:gridCol w:w="2500"/>
        <w:gridCol w:w="2500"/>
        <w:gridCol w:w="4360"/>
      </w:tblGrid>
      <w:tr>
        <w:trPr>
          <w:tblHeader/>
        </w:trPr>
        <w:tc>
          <w:tcPr>
            <w:tcW w:type="dxa" w:w="25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Número 2021</w:t>
            </w:r>
          </w:p>
        </w:tc>
        <w:tc>
          <w:tcPr>
            <w:tcW w:type="dxa" w:w="25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Número 2026</w:t>
            </w:r>
          </w:p>
        </w:tc>
        <w:tc>
          <w:tcPr>
            <w:tcW w:type="dxa" w:w="436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Etiqueta</w:t>
            </w:r>
          </w:p>
        </w:tc>
      </w:tr>
      <w:tr>
        <w:tc>
          <w:tcPr>
            <w:tcW w:type="dxa" w:w="25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3.5</w:t>
            </w:r>
          </w:p>
        </w:tc>
        <w:tc>
          <w:tcPr>
            <w:tcW w:type="dxa" w:w="25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3.6.1</w:t>
            </w:r>
          </w:p>
        </w:tc>
        <w:tc>
          <w:tcPr>
            <w:tcW w:type="dxa" w:w="436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&lt;persona_aviso&gt;</w:t>
            </w:r>
          </w:p>
        </w:tc>
      </w:tr>
      <w:tr>
        <w:tc>
          <w:tcPr>
            <w:tcW w:type="dxa" w:w="25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3.5.1</w:t>
            </w:r>
          </w:p>
        </w:tc>
        <w:tc>
          <w:tcPr>
            <w:tcW w:type="dxa" w:w="25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3.6.1.1</w:t>
            </w:r>
          </w:p>
        </w:tc>
        <w:tc>
          <w:tcPr>
            <w:tcW w:type="dxa" w:w="436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&lt;tipo_persona&gt;</w:t>
            </w:r>
          </w:p>
        </w:tc>
      </w:tr>
      <w:tr>
        <w:tc>
          <w:tcPr>
            <w:tcW w:type="dxa" w:w="25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3.5.1.1</w:t>
            </w:r>
          </w:p>
        </w:tc>
        <w:tc>
          <w:tcPr>
            <w:tcW w:type="dxa" w:w="25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3.6.1.1.1</w:t>
            </w:r>
          </w:p>
        </w:tc>
        <w:tc>
          <w:tcPr>
            <w:tcW w:type="dxa" w:w="436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&lt;persona_fisica&gt;</w:t>
            </w:r>
          </w:p>
        </w:tc>
      </w:tr>
      <w:tr>
        <w:tc>
          <w:tcPr>
            <w:tcW w:type="dxa" w:w="25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3.5.1.1.1</w:t>
            </w:r>
          </w:p>
        </w:tc>
        <w:tc>
          <w:tcPr>
            <w:tcW w:type="dxa" w:w="25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3.6.1.1.1.1</w:t>
            </w:r>
          </w:p>
        </w:tc>
        <w:tc>
          <w:tcPr>
            <w:tcW w:type="dxa" w:w="436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&lt;nombre&gt;</w:t>
            </w:r>
          </w:p>
        </w:tc>
      </w:tr>
      <w:tr>
        <w:tc>
          <w:tcPr>
            <w:tcW w:type="dxa" w:w="25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3.5.1.2</w:t>
            </w:r>
          </w:p>
        </w:tc>
        <w:tc>
          <w:tcPr>
            <w:tcW w:type="dxa" w:w="25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3.6.1.1.2</w:t>
            </w:r>
          </w:p>
        </w:tc>
        <w:tc>
          <w:tcPr>
            <w:tcW w:type="dxa" w:w="436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&lt;persona_moral&gt;</w:t>
            </w:r>
          </w:p>
        </w:tc>
      </w:tr>
      <w:tr>
        <w:tc>
          <w:tcPr>
            <w:tcW w:type="dxa" w:w="25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3.5.1.2.1</w:t>
            </w:r>
          </w:p>
        </w:tc>
        <w:tc>
          <w:tcPr>
            <w:tcW w:type="dxa" w:w="25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3.6.1.1.2.1</w:t>
            </w:r>
          </w:p>
        </w:tc>
        <w:tc>
          <w:tcPr>
            <w:tcW w:type="dxa" w:w="436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&lt;denominacion_razon&gt;</w:t>
            </w:r>
          </w:p>
        </w:tc>
      </w:tr>
    </w:tbl>
    <w:p>
      <w:pPr>
        <w:spacing w:after="160" w:before="0"/>
      </w:pPr>
      <w:r>
        <w:rPr>
          <w:rFonts w:ascii="Arial" w:cs="Arial" w:eastAsia="Arial" w:hAnsi="Arial"/>
          <w:b w:val="false"/>
          <w:bCs w:val="false"/>
          <w:i w:val="false"/>
          <w:iCs w:val="false"/>
          <w:caps w:val="false"/>
          <w:color w:val="1B2430"/>
          <w:sz w:val="20"/>
          <w:szCs w:val="20"/>
        </w:rPr>
        <w:t xml:space="preserve"/>
      </w:r>
    </w:p>
    <w:tbl>
      <w:tblPr>
        <w:tblW w:type="dxa" w:w="9360"/>
        <w:tblBorders>
          <w:top w:val="none"/>
          <w:left w:val="single" w:color="F2A541"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Dónde está el mapeo completo</w:t>
            </w:r>
          </w:p>
          <w:p>
            <w:pPr>
              <w:spacing w:after="0" w:before="0" w:line="280"/>
            </w:pPr>
            <w:r>
              <w:rPr>
                <w:rFonts w:ascii="Arial" w:cs="Arial" w:eastAsia="Arial" w:hAnsi="Arial"/>
                <w:b w:val="false"/>
                <w:bCs w:val="false"/>
                <w:i w:val="false"/>
                <w:iCs w:val="false"/>
                <w:caps w:val="false"/>
                <w:color w:val="1B2430"/>
                <w:sz w:val="18"/>
                <w:szCs w:val="18"/>
              </w:rPr>
              <w:t xml:space="preserve">La hoja </w:t>
            </w:r>
            <w:r>
              <w:rPr>
                <w:rFonts w:ascii="Arial" w:cs="Arial" w:eastAsia="Arial" w:hAnsi="Arial"/>
                <w:b/>
                <w:bCs/>
                <w:i w:val="false"/>
                <w:iCs w:val="false"/>
                <w:caps w:val="false"/>
                <w:color w:val="1B2430"/>
                <w:sz w:val="18"/>
                <w:szCs w:val="18"/>
              </w:rPr>
              <w:t xml:space="preserve">BASE</w:t>
            </w:r>
            <w:r>
              <w:rPr>
                <w:rFonts w:ascii="Arial" w:cs="Arial" w:eastAsia="Arial" w:hAnsi="Arial"/>
                <w:b w:val="false"/>
                <w:bCs w:val="false"/>
                <w:i w:val="false"/>
                <w:iCs w:val="false"/>
                <w:caps w:val="false"/>
                <w:color w:val="1B2430"/>
                <w:sz w:val="18"/>
                <w:szCs w:val="18"/>
              </w:rPr>
              <w:t xml:space="preserve"> del archivo </w:t>
            </w:r>
            <w:r>
              <w:rPr>
                <w:rFonts w:ascii="Arial" w:cs="Arial" w:eastAsia="Arial" w:hAnsi="Arial"/>
                <w:b w:val="false"/>
                <w:bCs w:val="false"/>
                <w:i/>
                <w:iCs/>
                <w:caps w:val="false"/>
                <w:color w:val="1B2430"/>
                <w:sz w:val="18"/>
                <w:szCs w:val="18"/>
              </w:rPr>
              <w:t xml:space="preserve">Comparativo Anexos 2021 vs 2026</w:t>
            </w:r>
            <w:r>
              <w:rPr>
                <w:rFonts w:ascii="Arial" w:cs="Arial" w:eastAsia="Arial" w:hAnsi="Arial"/>
                <w:b w:val="false"/>
                <w:bCs w:val="false"/>
                <w:i w:val="false"/>
                <w:iCs w:val="false"/>
                <w:caps w:val="false"/>
                <w:color w:val="1B2430"/>
                <w:sz w:val="18"/>
                <w:szCs w:val="18"/>
              </w:rPr>
              <w:t xml:space="preserve"> trae los 1,766 renglones que cambian, con las columnas "Número 2021" y "Número 2026" lado a lado. Filtrando por el anexo propio y por estado = REUBICADO se obtiene la tabla de mapeo para el desarrollador, lista para pegar en su herramienta.</w:t>
            </w:r>
          </w:p>
        </w:tc>
      </w:tr>
    </w:tbl>
    <w:p>
      <w:pPr>
        <w:keepNext/>
        <w:spacing w:after="20" w:before="360"/>
      </w:pPr>
      <w:r>
        <w:rPr>
          <w:rFonts w:ascii="Arial" w:cs="Arial" w:eastAsia="Arial" w:hAnsi="Arial"/>
          <w:b/>
          <w:bCs/>
          <w:i w:val="false"/>
          <w:iCs w:val="false"/>
          <w:caps/>
          <w:color w:val="B07A12"/>
          <w:spacing w:val="40"/>
          <w:sz w:val="16"/>
          <w:szCs w:val="16"/>
        </w:rPr>
        <w:t xml:space="preserve">Tres</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Cuánto trabajo es, anexo por anexo</w:t>
      </w:r>
    </w:p>
    <w:p>
      <w:pPr>
        <w:spacing w:after="140" w:before="0" w:line="288"/>
      </w:pPr>
      <w:r>
        <w:rPr>
          <w:rFonts w:ascii="Arial" w:cs="Arial" w:eastAsia="Arial" w:hAnsi="Arial"/>
          <w:b w:val="false"/>
          <w:bCs w:val="false"/>
          <w:i w:val="false"/>
          <w:iCs w:val="false"/>
          <w:caps w:val="false"/>
          <w:color w:val="1B2430"/>
          <w:sz w:val="20"/>
          <w:szCs w:val="20"/>
        </w:rPr>
        <w:t xml:space="preserve">Antes de cotizar o de calendarizar, ubique su anexo en esta tabla. Sólo dos anexos son estrictamente nuevos —el 12-C y el 14-A—, pero el 12-A y el 12-B se rehicieron a tal grado que en la práctica hay que tratarlos igual.</w:t>
      </w:r>
    </w:p>
    <w:tbl>
      <w:tblPr>
        <w:tblW w:type="dxa" w:w="9360"/>
        <w:tblBorders>
          <w:top w:val="single" w:color="E4E8EE" w:sz="4"/>
          <w:left w:val="none"/>
          <w:bottom w:val="single" w:color="E4E8EE" w:sz="4"/>
          <w:right w:val="none"/>
          <w:insideH w:val="single" w:color="E4E8EE" w:sz="4"/>
          <w:insideV w:val="none"/>
        </w:tblBorders>
      </w:tblPr>
      <w:tblGrid>
        <w:gridCol w:w="1050"/>
        <w:gridCol w:w="1300"/>
        <w:gridCol w:w="1180"/>
        <w:gridCol w:w="1300"/>
        <w:gridCol w:w="1300"/>
        <w:gridCol w:w="3230"/>
      </w:tblGrid>
      <w:tr>
        <w:trPr>
          <w:tblHeader/>
        </w:trPr>
        <w:tc>
          <w:tcPr>
            <w:tcW w:type="dxa" w:w="105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Anexo</w:t>
            </w:r>
          </w:p>
        </w:tc>
        <w:tc>
          <w:tcPr>
            <w:tcW w:type="dxa" w:w="130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Nuevos</w:t>
            </w:r>
          </w:p>
        </w:tc>
        <w:tc>
          <w:tcPr>
            <w:tcW w:type="dxa" w:w="118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Se van</w:t>
            </w:r>
          </w:p>
        </w:tc>
        <w:tc>
          <w:tcPr>
            <w:tcW w:type="dxa" w:w="130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Cambian de lugar</w:t>
            </w:r>
          </w:p>
        </w:tc>
        <w:tc>
          <w:tcPr>
            <w:tcW w:type="dxa" w:w="130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Modificados</w:t>
            </w:r>
          </w:p>
        </w:tc>
        <w:tc>
          <w:tcPr>
            <w:tcW w:type="dxa" w:w="323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Qué significa para el sistema</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12-A</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259</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23</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Rehacer. Es el anexo más grande: 776 campos.</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12-B</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141</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24</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Rehecho. Pasa de 444 a 585 campos, con el BC opcional en 7 de sus 8 bloques.</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14-A</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118</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Anexo nuevo. No existía en 2021 y no tiene bloque de Beneficiario Controlador.</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12-C</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111</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Anexo nuevo. No existía en 2021. 111 campos.</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16</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60</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15</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12</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98</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Rehacer validaciones: 98 campos modificados y cabecera invertida.</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5-B</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47</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4</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16</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25</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Crecimiento fuerte. 12 niveles de profundidad, el más anidado.</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11</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16</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38</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Cambios de ruta y de longitud. Ver erratas.</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2-A</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13</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12</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69</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Casi todo es re-mapeo.</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4</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9</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94</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5</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Casi todo es re-mapeo. Se insertó un nivel.</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5-A</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89</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25</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Re-mapeo más revisión de obligatoriedad.</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15</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80</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4</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Casi todo es re-mapeo.</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10</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12</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17</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Paquete común más un bloque propio.</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 2-B, 2-C, 3, 6, 7, 8, 9, 13</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6 a 9</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 o 12</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8</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Paquete común: sustituir el bloque de BC y agregar los campos de cadena.</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14</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Sólo pierde un campo. 7 campos en total.</w:t>
            </w:r>
          </w:p>
        </w:tc>
      </w:tr>
    </w:tbl>
    <w:p>
      <w:pPr>
        <w:spacing w:after="170" w:before="0"/>
      </w:pPr>
      <w:r>
        <w:rPr>
          <w:rFonts w:ascii="Arial" w:cs="Arial" w:eastAsia="Arial" w:hAnsi="Arial"/>
          <w:b w:val="false"/>
          <w:bCs w:val="false"/>
          <w:i w:val="false"/>
          <w:iCs w:val="false"/>
          <w:caps w:val="false"/>
          <w:color w:val="1B2430"/>
          <w:sz w:val="20"/>
          <w:szCs w:val="20"/>
        </w:rPr>
        <w:t xml:space="preserve"/>
      </w:r>
    </w:p>
    <w:p>
      <w:pPr>
        <w:spacing w:after="80" w:before="0" w:line="288"/>
      </w:pPr>
      <w:r>
        <w:rPr>
          <w:rFonts w:ascii="Arial" w:cs="Arial" w:eastAsia="Arial" w:hAnsi="Arial"/>
          <w:b w:val="false"/>
          <w:bCs w:val="false"/>
          <w:i w:val="false"/>
          <w:iCs w:val="false"/>
          <w:caps w:val="false"/>
          <w:color w:val="1B2430"/>
          <w:sz w:val="20"/>
          <w:szCs w:val="20"/>
        </w:rPr>
        <w:t xml:space="preserve">Totales de los 22 anexos: 877 campos nuevos, 196 que desaparecen, 487 que cambian de lugar y 206 modificados. Los 2,612 restantes quedan idénticos.</w:t>
      </w:r>
    </w:p>
    <w:p>
      <w:pPr>
        <w:keepNext/>
        <w:spacing w:after="20" w:before="360"/>
      </w:pPr>
      <w:r>
        <w:rPr>
          <w:rFonts w:ascii="Arial" w:cs="Arial" w:eastAsia="Arial" w:hAnsi="Arial"/>
          <w:b/>
          <w:bCs/>
          <w:i w:val="false"/>
          <w:iCs w:val="false"/>
          <w:caps/>
          <w:color w:val="B07A12"/>
          <w:spacing w:val="40"/>
          <w:sz w:val="16"/>
          <w:szCs w:val="16"/>
        </w:rPr>
        <w:t xml:space="preserve">Cuatro</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Erratas del texto publicado</w:t>
      </w:r>
    </w:p>
    <w:p>
      <w:pPr>
        <w:spacing w:after="140" w:before="0" w:line="288"/>
      </w:pPr>
      <w:r>
        <w:rPr>
          <w:rFonts w:ascii="Arial" w:cs="Arial" w:eastAsia="Arial" w:hAnsi="Arial"/>
          <w:b w:val="false"/>
          <w:bCs w:val="false"/>
          <w:i w:val="false"/>
          <w:iCs w:val="false"/>
          <w:caps w:val="false"/>
          <w:color w:val="1B2430"/>
          <w:sz w:val="20"/>
          <w:szCs w:val="20"/>
        </w:rPr>
        <w:t xml:space="preserve">Estas inconsistencias están en el texto oficial del DOF, no son errores de transcripción: se verificaron una por una contra el archivo del propio Diario Oficial. Pasaron del proyecto al texto publicado sin corregirse. El desarrollador tiene que saberlas antes de escribir el generador, porque son la clase de detalle que hace que el XML se rechace sin explicación clara.</w:t>
      </w:r>
    </w:p>
    <w:tbl>
      <w:tblPr>
        <w:tblW w:type="dxa" w:w="9360"/>
        <w:tblBorders>
          <w:top w:val="single" w:color="E4E8EE" w:sz="4"/>
          <w:left w:val="none"/>
          <w:bottom w:val="single" w:color="E4E8EE" w:sz="4"/>
          <w:right w:val="none"/>
          <w:insideH w:val="single" w:color="E4E8EE" w:sz="4"/>
          <w:insideV w:val="none"/>
        </w:tblBorders>
      </w:tblPr>
      <w:tblGrid>
        <w:gridCol w:w="1050"/>
        <w:gridCol w:w="1750"/>
        <w:gridCol w:w="3200"/>
        <w:gridCol w:w="3360"/>
      </w:tblGrid>
      <w:tr>
        <w:trPr>
          <w:tblHeader/>
        </w:trPr>
        <w:tc>
          <w:tcPr>
            <w:tcW w:type="dxa" w:w="105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Anexo</w:t>
            </w:r>
          </w:p>
        </w:tc>
        <w:tc>
          <w:tcPr>
            <w:tcW w:type="dxa" w:w="175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Campo</w:t>
            </w:r>
          </w:p>
        </w:tc>
        <w:tc>
          <w:tcPr>
            <w:tcW w:type="dxa" w:w="32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Qué dice el DOF</w:t>
            </w:r>
          </w:p>
        </w:tc>
        <w:tc>
          <w:tcPr>
            <w:tcW w:type="dxa" w:w="336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Qué hay que hacer</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2-B</w:t>
            </w:r>
          </w:p>
        </w:tc>
        <w:tc>
          <w:tcPr>
            <w:tcW w:type="dxa" w:w="17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3.6.2</w:t>
            </w:r>
          </w:p>
        </w:tc>
        <w:tc>
          <w:tcPr>
            <w:tcW w:type="dxa" w:w="32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&lt;total_fg_juridicas&gt;</w:t>
            </w:r>
          </w:p>
        </w:tc>
        <w:tc>
          <w:tcPr>
            <w:tcW w:type="dxa" w:w="33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En los otros 19 anexos la etiqueta es &lt;total_fig_juridicas&gt;, con "i". Programar la del DOF y probar contra el XSD en cuanto se publique.</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9</w:t>
            </w:r>
          </w:p>
        </w:tc>
        <w:tc>
          <w:tcPr>
            <w:tcW w:type="dxa" w:w="17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3.5.1.2.8</w:t>
            </w:r>
          </w:p>
        </w:tc>
        <w:tc>
          <w:tcPr>
            <w:tcW w:type="dxa" w:w="32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&lt;tipo_pesona_moral&gt;</w:t>
            </w:r>
          </w:p>
        </w:tc>
        <w:tc>
          <w:tcPr>
            <w:tcW w:type="dxa" w:w="33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Falta la "r" de persona. Misma regla: respetar el texto y verificar contra el XSD.</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10</w:t>
            </w:r>
          </w:p>
        </w:tc>
        <w:tc>
          <w:tcPr>
            <w:tcW w:type="dxa" w:w="17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3.7.1.7.2.1 y .2</w:t>
            </w:r>
          </w:p>
        </w:tc>
        <w:tc>
          <w:tcPr>
            <w:tcW w:type="dxa" w:w="32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5"/>
                <w:szCs w:val="15"/>
              </w:rPr>
              <w:t xml:space="preserve">&lt;persona _fisica&gt;  &lt;persona _moral&gt;</w:t>
            </w:r>
          </w:p>
        </w:tc>
        <w:tc>
          <w:tcPr>
            <w:tcW w:type="dxa" w:w="33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Espacio DENTRO de la etiqueta. En los otros 63 y 64 lugares donde aparecen van sin espacio: &lt;persona_fisica&gt; y &lt;persona_moral&gt;.</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12-C</w:t>
            </w:r>
          </w:p>
        </w:tc>
        <w:tc>
          <w:tcPr>
            <w:tcW w:type="dxa" w:w="17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3.5.1.4.1.3.1.2</w:t>
            </w:r>
          </w:p>
        </w:tc>
        <w:tc>
          <w:tcPr>
            <w:tcW w:type="dxa" w:w="32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&lt;valor_avalúo_catastral&gt;</w:t>
            </w:r>
          </w:p>
        </w:tc>
        <w:tc>
          <w:tcPr>
            <w:tcW w:type="dxa" w:w="33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Lleva acento DENTRO del nombre de la etiqueta. En el Anexo 5-A (3.5.2.2.1.5) el mismo campo va sin acento: &lt;valor_avaluo_catastral&gt;. Además de la inconsistencia, un carácter acentuado en un nombre de etiqueta es un riesgo de codificación.</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11</w:t>
            </w:r>
          </w:p>
        </w:tc>
        <w:tc>
          <w:tcPr>
            <w:tcW w:type="dxa" w:w="17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3.7.1.2.2.3.1.1.1</w:t>
            </w:r>
          </w:p>
        </w:tc>
        <w:tc>
          <w:tcPr>
            <w:tcW w:type="dxa" w:w="32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En la columna de obligatoriedad dice "1-200"</w:t>
            </w:r>
          </w:p>
        </w:tc>
        <w:tc>
          <w:tcPr>
            <w:tcW w:type="dxa" w:w="33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Es la longitud, mal colocada. El campo &lt;nombre&gt; es Obligatorio.</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11 y 12-A</w:t>
            </w:r>
          </w:p>
        </w:tc>
        <w:tc>
          <w:tcPr>
            <w:tcW w:type="dxa" w:w="17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varios</w:t>
            </w:r>
          </w:p>
        </w:tc>
        <w:tc>
          <w:tcPr>
            <w:tcW w:type="dxa" w:w="32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"Obligatiorio"</w:t>
            </w:r>
          </w:p>
        </w:tc>
        <w:tc>
          <w:tcPr>
            <w:tcW w:type="dxa" w:w="33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Errata de dedo. Se lee Obligatorio.</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16</w:t>
            </w:r>
          </w:p>
        </w:tc>
        <w:tc>
          <w:tcPr>
            <w:tcW w:type="dxa" w:w="17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3.5.3.3.1.4.5</w:t>
            </w:r>
          </w:p>
        </w:tc>
        <w:tc>
          <w:tcPr>
            <w:tcW w:type="dxa" w:w="32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La numeración salta a 3.5.3.3.1.6</w:t>
            </w:r>
          </w:p>
        </w:tc>
        <w:tc>
          <w:tcPr>
            <w:tcW w:type="dxa" w:w="33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No existe el 3.5.3.3.1.5. No es un campo faltante: es un salto en la numeración.</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14-A y 16</w:t>
            </w:r>
          </w:p>
        </w:tc>
        <w:tc>
          <w:tcPr>
            <w:tcW w:type="dxa" w:w="17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3.5.3 / 3.6</w:t>
            </w:r>
          </w:p>
        </w:tc>
        <w:tc>
          <w:tcPr>
            <w:tcW w:type="dxa" w:w="32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Tipo "Etiqueta" con longitud 2 y formato SI/NO</w:t>
            </w:r>
          </w:p>
        </w:tc>
        <w:tc>
          <w:tcPr>
            <w:tcW w:type="dxa" w:w="33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Una etiqueta no lleva longitud ni formato. Tratar como etiqueta contenedora.</w:t>
            </w:r>
          </w:p>
        </w:tc>
      </w:tr>
    </w:tbl>
    <w:p>
      <w:pPr>
        <w:spacing w:after="170" w:before="0"/>
      </w:pPr>
      <w:r>
        <w:rPr>
          <w:rFonts w:ascii="Arial" w:cs="Arial" w:eastAsia="Arial" w:hAnsi="Arial"/>
          <w:b w:val="false"/>
          <w:bCs w:val="false"/>
          <w:i w:val="false"/>
          <w:iCs w:val="false"/>
          <w:caps w:val="false"/>
          <w:color w:val="1B2430"/>
          <w:sz w:val="20"/>
          <w:szCs w:val="20"/>
        </w:rPr>
        <w:t xml:space="preserve"/>
      </w:r>
    </w:p>
    <w:tbl>
      <w:tblPr>
        <w:tblW w:type="dxa" w:w="9360"/>
        <w:tblBorders>
          <w:top w:val="none"/>
          <w:left w:val="single" w:color="2C4278"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Regla práctica</w:t>
            </w:r>
          </w:p>
          <w:p>
            <w:pPr>
              <w:spacing w:after="0" w:before="0" w:line="280"/>
            </w:pPr>
            <w:r>
              <w:rPr>
                <w:rFonts w:ascii="Arial" w:cs="Arial" w:eastAsia="Arial" w:hAnsi="Arial"/>
                <w:b w:val="false"/>
                <w:bCs w:val="false"/>
                <w:i w:val="false"/>
                <w:iCs w:val="false"/>
                <w:caps w:val="false"/>
                <w:color w:val="1B2430"/>
                <w:sz w:val="18"/>
                <w:szCs w:val="18"/>
              </w:rPr>
              <w:t xml:space="preserve">Mientras la UIF no publique el XSD, programe exactamente lo que dice el DOF, pero deje las etiquetas en una tabla de configuración, no incrustadas en el código. Cuando salga el esquema se corrigen en un renglón, no recompilando.</w:t>
            </w:r>
          </w:p>
        </w:tc>
      </w:tr>
    </w:tbl>
    <w:p>
      <w:pPr>
        <w:keepNext/>
        <w:spacing w:after="20" w:before="360"/>
      </w:pPr>
      <w:r>
        <w:rPr>
          <w:rFonts w:ascii="Arial" w:cs="Arial" w:eastAsia="Arial" w:hAnsi="Arial"/>
          <w:b/>
          <w:bCs/>
          <w:i w:val="false"/>
          <w:iCs w:val="false"/>
          <w:caps/>
          <w:color w:val="B07A12"/>
          <w:spacing w:val="40"/>
          <w:sz w:val="16"/>
          <w:szCs w:val="16"/>
        </w:rPr>
        <w:t xml:space="preserve">Cinco</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Lo que todavía no se puede programar</w:t>
      </w:r>
    </w:p>
    <w:p>
      <w:pPr>
        <w:spacing w:after="140" w:before="0" w:line="288"/>
      </w:pPr>
      <w:r>
        <w:rPr>
          <w:rFonts w:ascii="Arial" w:cs="Arial" w:eastAsia="Arial" w:hAnsi="Arial"/>
          <w:b w:val="false"/>
          <w:bCs w:val="false"/>
          <w:i w:val="false"/>
          <w:iCs w:val="false"/>
          <w:caps w:val="false"/>
          <w:color w:val="1B2430"/>
          <w:sz w:val="20"/>
          <w:szCs w:val="20"/>
        </w:rPr>
        <w:t xml:space="preserve">Hay dos cosas que no dependen del proveedor. Conviene dejarlas por escrito para que no se conviertan en el pretexto para no arrancar con todo lo demás.</w:t>
      </w:r>
    </w:p>
    <w:p>
      <w:pPr>
        <w:keepNext/>
        <w:spacing w:after="80" w:before="260"/>
      </w:pPr>
      <w:r>
        <w:rPr>
          <w:rFonts w:ascii="Georgia" w:cs="Georgia" w:eastAsia="Georgia" w:hAnsi="Georgia"/>
          <w:b/>
          <w:bCs/>
          <w:i w:val="false"/>
          <w:iCs w:val="false"/>
          <w:caps w:val="false"/>
          <w:color w:val="2C4278"/>
          <w:sz w:val="22"/>
          <w:szCs w:val="22"/>
        </w:rPr>
        <w:t xml:space="preserve">Los catálogos de claves</w:t>
      </w:r>
    </w:p>
    <w:p>
      <w:pPr>
        <w:spacing w:after="140" w:before="0" w:line="288"/>
      </w:pPr>
      <w:r>
        <w:rPr>
          <w:rFonts w:ascii="Arial" w:cs="Arial" w:eastAsia="Arial" w:hAnsi="Arial"/>
          <w:b w:val="false"/>
          <w:bCs w:val="false"/>
          <w:i w:val="false"/>
          <w:iCs w:val="false"/>
          <w:caps w:val="false"/>
          <w:color w:val="1B2430"/>
          <w:sz w:val="20"/>
          <w:szCs w:val="20"/>
        </w:rPr>
        <w:t xml:space="preserve">Las etiquetas nuevas de catálogo —&lt;naturaleza_juridica&gt;, &lt;tipo_persona_moral&gt; y las claves de actividad— necesitan la lista de valores válidos. El Transitorio Sexto de la Resolución daba cinco días hábiles a partir de la publicación para que la UIF publicara instructivos y catálogos en el portal, es decir al 1 de octubre de 2026.</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Lo que sí se puede hacer hoy: dejar las tablas de catálogo creadas y vacías, con la relación desde el campo, y una pantalla de carga.</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Lo que no se debe hacer: adivinar las claves, o reutilizar las de 2021 dando por hecho que se conservan.</w:t>
      </w:r>
    </w:p>
    <w:p>
      <w:pPr>
        <w:keepNext/>
        <w:spacing w:after="80" w:before="260"/>
      </w:pPr>
      <w:r>
        <w:rPr>
          <w:rFonts w:ascii="Georgia" w:cs="Georgia" w:eastAsia="Georgia" w:hAnsi="Georgia"/>
          <w:b/>
          <w:bCs/>
          <w:i w:val="false"/>
          <w:iCs w:val="false"/>
          <w:caps w:val="false"/>
          <w:color w:val="2C4278"/>
          <w:sz w:val="22"/>
          <w:szCs w:val="22"/>
        </w:rPr>
        <w:t xml:space="preserve">El Aviso de 24 horas</w:t>
      </w:r>
    </w:p>
    <w:p>
      <w:pPr>
        <w:spacing w:after="140" w:before="0" w:line="288"/>
      </w:pPr>
      <w:r>
        <w:rPr>
          <w:rFonts w:ascii="Arial" w:cs="Arial" w:eastAsia="Arial" w:hAnsi="Arial"/>
          <w:b w:val="false"/>
          <w:bCs w:val="false"/>
          <w:i w:val="false"/>
          <w:iCs w:val="false"/>
          <w:caps w:val="false"/>
          <w:color w:val="1B2430"/>
          <w:sz w:val="20"/>
          <w:szCs w:val="20"/>
        </w:rPr>
        <w:t xml:space="preserve">El Aviso de 24 horas no tiene etiqueta propia en ninguno de los 22 layouts. No hay un campo que diga "este aviso es de 24 horas". Sin el instructivo no se sabe si se presenta por el mismo canal, con otro anexo, o con una marca dentro del Aviso normal. Ese flujo se queda pendiente y no bloquea nada de lo demás.</w:t>
      </w:r>
    </w:p>
    <w:p>
      <w:pPr>
        <w:keepNext/>
        <w:spacing w:after="80" w:before="260"/>
      </w:pPr>
      <w:r>
        <w:rPr>
          <w:rFonts w:ascii="Georgia" w:cs="Georgia" w:eastAsia="Georgia" w:hAnsi="Georgia"/>
          <w:b/>
          <w:bCs/>
          <w:i w:val="false"/>
          <w:iCs w:val="false"/>
          <w:caps w:val="false"/>
          <w:color w:val="2C4278"/>
          <w:sz w:val="22"/>
          <w:szCs w:val="22"/>
        </w:rPr>
        <w:t xml:space="preserve">La pregunta que hay que hacerle al proveedor</w:t>
      </w:r>
    </w:p>
    <w:tbl>
      <w:tblPr>
        <w:tblW w:type="dxa" w:w="9360"/>
        <w:tblBorders>
          <w:top w:val="none"/>
          <w:left w:val="single" w:color="B07A12"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80" w:before="0" w:line="280"/>
            </w:pPr>
            <w:r>
              <w:rPr>
                <w:rFonts w:ascii="Arial" w:cs="Arial" w:eastAsia="Arial" w:hAnsi="Arial"/>
                <w:b/>
                <w:bCs/>
                <w:i w:val="false"/>
                <w:iCs w:val="false"/>
                <w:caps w:val="false"/>
                <w:color w:val="12224A"/>
                <w:sz w:val="19"/>
                <w:szCs w:val="19"/>
              </w:rPr>
              <w:t xml:space="preserve">¿El sistema va a poder convivir con los dos formatos al mismo tiempo, del 1 de junio al 30 de junio de 2027?</w:t>
            </w:r>
          </w:p>
          <w:p>
            <w:pPr>
              <w:spacing w:after="80" w:before="0" w:line="280"/>
            </w:pPr>
            <w:r>
              <w:rPr>
                <w:rFonts w:ascii="Arial" w:cs="Arial" w:eastAsia="Arial" w:hAnsi="Arial"/>
                <w:b w:val="false"/>
                <w:bCs w:val="false"/>
                <w:i w:val="false"/>
                <w:iCs w:val="false"/>
                <w:caps w:val="false"/>
                <w:color w:val="1B2430"/>
                <w:sz w:val="18"/>
                <w:szCs w:val="18"/>
              </w:rPr>
              <w:t xml:space="preserve">Es la pregunta que decide la arquitectura, y casi siempre se descubre tarde. El 1 de junio de 2027 todos los Avisos van en formato nuevo, pero un Aviso modificatorio de una operación anterior puede seguir presentándose con el formato viejo hasta el 30 de junio de 2027 —dentro de los 30 días naturales del artículo 8 del Reglamento—. A partir del 1 de julio los formatos viejos se retiran.</w:t>
            </w:r>
          </w:p>
          <w:p>
            <w:pPr>
              <w:spacing w:after="0" w:before="0" w:line="280"/>
            </w:pPr>
            <w:r>
              <w:rPr>
                <w:rFonts w:ascii="Arial" w:cs="Arial" w:eastAsia="Arial" w:hAnsi="Arial"/>
                <w:b w:val="false"/>
                <w:bCs w:val="false"/>
                <w:i w:val="false"/>
                <w:iCs w:val="false"/>
                <w:caps w:val="false"/>
                <w:color w:val="1B2430"/>
                <w:sz w:val="18"/>
                <w:szCs w:val="18"/>
              </w:rPr>
              <w:t xml:space="preserve">Si el sistema se programa como un reemplazo en frío ("el 1 de junio apago el viejo y prendo el nuevo"), ese mes de traslape no tiene solución y los modificatorios se van a tener que capturar a mano en el portal. Hay que pedir explícitamente que el generador reciba el formato como parámetro.</w:t>
            </w:r>
          </w:p>
        </w:tc>
      </w:tr>
    </w:tbl>
    <w:p>
      <w:r>
        <w:br w:type="page"/>
      </w:r>
    </w:p>
    <w:p>
      <w:pPr>
        <w:keepNext/>
        <w:spacing w:after="20" w:before="360"/>
      </w:pPr>
      <w:r>
        <w:rPr>
          <w:rFonts w:ascii="Arial" w:cs="Arial" w:eastAsia="Arial" w:hAnsi="Arial"/>
          <w:b/>
          <w:bCs/>
          <w:i w:val="false"/>
          <w:iCs w:val="false"/>
          <w:caps/>
          <w:color w:val="B07A12"/>
          <w:spacing w:val="40"/>
          <w:sz w:val="16"/>
          <w:szCs w:val="16"/>
        </w:rPr>
        <w:t xml:space="preserve">Seis</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Calendario del proyecto</w:t>
      </w:r>
    </w:p>
    <w:tbl>
      <w:tblPr>
        <w:tblW w:type="dxa" w:w="9360"/>
        <w:tblBorders>
          <w:top w:val="single" w:color="E4E8EE" w:sz="4"/>
          <w:left w:val="none"/>
          <w:bottom w:val="single" w:color="E4E8EE" w:sz="4"/>
          <w:right w:val="none"/>
          <w:insideH w:val="single" w:color="E4E8EE" w:sz="4"/>
          <w:insideV w:val="none"/>
        </w:tblBorders>
      </w:tblPr>
      <w:tblGrid>
        <w:gridCol w:w="1750"/>
        <w:gridCol w:w="2500"/>
        <w:gridCol w:w="3100"/>
        <w:gridCol w:w="2010"/>
      </w:tblGrid>
      <w:tr>
        <w:trPr>
          <w:tblHeader/>
        </w:trPr>
        <w:tc>
          <w:tcPr>
            <w:tcW w:type="dxa" w:w="175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Fecha</w:t>
            </w:r>
          </w:p>
        </w:tc>
        <w:tc>
          <w:tcPr>
            <w:tcW w:type="dxa" w:w="25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Qué pasa</w:t>
            </w:r>
          </w:p>
        </w:tc>
        <w:tc>
          <w:tcPr>
            <w:tcW w:type="dxa" w:w="31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Fundamento</w:t>
            </w:r>
          </w:p>
        </w:tc>
        <w:tc>
          <w:tcPr>
            <w:tcW w:type="dxa" w:w="201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Quién lo trabaja</w:t>
            </w:r>
          </w:p>
        </w:tc>
      </w:tr>
      <w:tr>
        <w:tc>
          <w:tcPr>
            <w:tcW w:type="dxa" w:w="17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 oct 2026</w:t>
            </w:r>
          </w:p>
        </w:tc>
        <w:tc>
          <w:tcPr>
            <w:tcW w:type="dxa" w:w="25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Vencía el plazo para que la UIF publicara instructivos y catálogos.</w:t>
            </w:r>
          </w:p>
        </w:tc>
        <w:tc>
          <w:tcPr>
            <w:tcW w:type="dxa" w:w="31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Transitorio Sexto, Resolución de Avisos</w:t>
            </w:r>
          </w:p>
        </w:tc>
        <w:tc>
          <w:tcPr>
            <w:tcW w:type="dxa" w:w="201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Cumplimiento vigila el portal</w:t>
            </w:r>
          </w:p>
        </w:tc>
      </w:tr>
      <w:tr>
        <w:tc>
          <w:tcPr>
            <w:tcW w:type="dxa" w:w="17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 feb 2027</w:t>
            </w:r>
          </w:p>
        </w:tc>
        <w:tc>
          <w:tcPr>
            <w:tcW w:type="dxa" w:w="25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Entra el formato nuevo de alta y registro. También la baja y re-alta de quienes cambian de supuesto.</w:t>
            </w:r>
          </w:p>
        </w:tc>
        <w:tc>
          <w:tcPr>
            <w:tcW w:type="dxa" w:w="31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Transitorios Primero y Tercero, Resolución de alta y registro</w:t>
            </w:r>
          </w:p>
        </w:tc>
        <w:tc>
          <w:tcPr>
            <w:tcW w:type="dxa" w:w="201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Cumplimiento. No es desarrollo.</w:t>
            </w:r>
          </w:p>
        </w:tc>
      </w:tr>
      <w:tr>
        <w:tc>
          <w:tcPr>
            <w:tcW w:type="dxa" w:w="17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 jun 2027</w:t>
            </w:r>
          </w:p>
        </w:tc>
        <w:tc>
          <w:tcPr>
            <w:tcW w:type="dxa" w:w="25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Todos los Avisos con formato nuevo. Aplica hacia atrás: el Aviso de mayo, presentado en junio, ya va en formato nuevo.</w:t>
            </w:r>
          </w:p>
        </w:tc>
        <w:tc>
          <w:tcPr>
            <w:tcW w:type="dxa" w:w="31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Transitorios Primero y Segundo, Resolución de Avisos</w:t>
            </w:r>
          </w:p>
        </w:tc>
        <w:tc>
          <w:tcPr>
            <w:tcW w:type="dxa" w:w="201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Sistema en producción ANTES de esta fecha</w:t>
            </w:r>
          </w:p>
        </w:tc>
      </w:tr>
      <w:tr>
        <w:tc>
          <w:tcPr>
            <w:tcW w:type="dxa" w:w="17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30 jun 2027</w:t>
            </w:r>
          </w:p>
        </w:tc>
        <w:tc>
          <w:tcPr>
            <w:tcW w:type="dxa" w:w="25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Último día para presentar un modificatorio con el formato anterior.</w:t>
            </w:r>
          </w:p>
        </w:tc>
        <w:tc>
          <w:tcPr>
            <w:tcW w:type="dxa" w:w="31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Art. 8 del Reglamento, 30 días naturales</w:t>
            </w:r>
          </w:p>
        </w:tc>
        <w:tc>
          <w:tcPr>
            <w:tcW w:type="dxa" w:w="201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El sistema debe soportar los dos formatos</w:t>
            </w:r>
          </w:p>
        </w:tc>
      </w:tr>
      <w:tr>
        <w:tc>
          <w:tcPr>
            <w:tcW w:type="dxa" w:w="17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 jul 2027</w:t>
            </w:r>
          </w:p>
        </w:tc>
        <w:tc>
          <w:tcPr>
            <w:tcW w:type="dxa" w:w="25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Se retiran los formatos anteriores.</w:t>
            </w:r>
          </w:p>
        </w:tc>
        <w:tc>
          <w:tcPr>
            <w:tcW w:type="dxa" w:w="31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Resolución de Avisos</w:t>
            </w:r>
          </w:p>
        </w:tc>
        <w:tc>
          <w:tcPr>
            <w:tcW w:type="dxa" w:w="201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Se puede apagar el generador viejo</w:t>
            </w:r>
          </w:p>
        </w:tc>
      </w:tr>
    </w:tbl>
    <w:p>
      <w:pPr>
        <w:spacing w:after="200" w:before="0"/>
      </w:pPr>
      <w:r>
        <w:rPr>
          <w:rFonts w:ascii="Arial" w:cs="Arial" w:eastAsia="Arial" w:hAnsi="Arial"/>
          <w:b w:val="false"/>
          <w:bCs w:val="false"/>
          <w:i w:val="false"/>
          <w:iCs w:val="false"/>
          <w:caps w:val="false"/>
          <w:color w:val="1B2430"/>
          <w:sz w:val="20"/>
          <w:szCs w:val="20"/>
        </w:rPr>
        <w:t xml:space="preserve"/>
      </w:r>
    </w:p>
    <w:p>
      <w:pPr>
        <w:keepNext/>
        <w:spacing w:after="80" w:before="260"/>
      </w:pPr>
      <w:r>
        <w:rPr>
          <w:rFonts w:ascii="Georgia" w:cs="Georgia" w:eastAsia="Georgia" w:hAnsi="Georgia"/>
          <w:b/>
          <w:bCs/>
          <w:i w:val="false"/>
          <w:iCs w:val="false"/>
          <w:caps w:val="false"/>
          <w:color w:val="2C4278"/>
          <w:sz w:val="22"/>
          <w:szCs w:val="22"/>
        </w:rPr>
        <w:t xml:space="preserve">Calendario sugerido de desarrollo, contando hacia atrás</w:t>
      </w:r>
    </w:p>
    <w:p>
      <w:pPr>
        <w:pStyle w:val="ListParagraph"/>
        <w:numPr>
          <w:ilvl w:val="0"/>
          <w:numId w:val="3"/>
        </w:numPr>
        <w:spacing w:after="90" w:before="0" w:line="280"/>
      </w:pPr>
      <w:r>
        <w:rPr>
          <w:rFonts w:ascii="Arial" w:cs="Arial" w:eastAsia="Arial" w:hAnsi="Arial"/>
          <w:b w:val="false"/>
          <w:bCs w:val="false"/>
          <w:i w:val="false"/>
          <w:iCs w:val="false"/>
          <w:caps w:val="false"/>
          <w:color w:val="1B2430"/>
          <w:sz w:val="18"/>
          <w:szCs w:val="18"/>
        </w:rPr>
        <w:t xml:space="preserve">Octubre a diciembre de 2026 — modelo de datos: cadena de control del Beneficiario Controlador, campos nuevos, llave de cliente que permita calcular acumulación. Es lo que más tarda y no depende de ningún catálogo.</w:t>
      </w:r>
    </w:p>
    <w:p>
      <w:pPr>
        <w:pStyle w:val="ListParagraph"/>
        <w:numPr>
          <w:ilvl w:val="0"/>
          <w:numId w:val="3"/>
        </w:numPr>
        <w:spacing w:after="90" w:before="0" w:line="280"/>
      </w:pPr>
      <w:r>
        <w:rPr>
          <w:rFonts w:ascii="Arial" w:cs="Arial" w:eastAsia="Arial" w:hAnsi="Arial"/>
          <w:b w:val="false"/>
          <w:bCs w:val="false"/>
          <w:i w:val="false"/>
          <w:iCs w:val="false"/>
          <w:caps w:val="false"/>
          <w:color w:val="1B2430"/>
          <w:sz w:val="18"/>
          <w:szCs w:val="18"/>
        </w:rPr>
        <w:t xml:space="preserve">Enero a marzo de 2027 — generador de XML contra la nueva estructura, con las etiquetas en tabla de configuración y el formato como parámetro.</w:t>
      </w:r>
    </w:p>
    <w:p>
      <w:pPr>
        <w:pStyle w:val="ListParagraph"/>
        <w:numPr>
          <w:ilvl w:val="0"/>
          <w:numId w:val="3"/>
        </w:numPr>
        <w:spacing w:after="90" w:before="0" w:line="280"/>
      </w:pPr>
      <w:r>
        <w:rPr>
          <w:rFonts w:ascii="Arial" w:cs="Arial" w:eastAsia="Arial" w:hAnsi="Arial"/>
          <w:b w:val="false"/>
          <w:bCs w:val="false"/>
          <w:i w:val="false"/>
          <w:iCs w:val="false"/>
          <w:caps w:val="false"/>
          <w:color w:val="1B2430"/>
          <w:sz w:val="18"/>
          <w:szCs w:val="18"/>
        </w:rPr>
        <w:t xml:space="preserve">Abril de 2027 — carga de catálogos (si ya salieron) y pruebas contra el XSD.</w:t>
      </w:r>
    </w:p>
    <w:p>
      <w:pPr>
        <w:pStyle w:val="ListParagraph"/>
        <w:numPr>
          <w:ilvl w:val="0"/>
          <w:numId w:val="3"/>
        </w:numPr>
        <w:spacing w:after="90" w:before="0" w:line="280"/>
      </w:pPr>
      <w:r>
        <w:rPr>
          <w:rFonts w:ascii="Arial" w:cs="Arial" w:eastAsia="Arial" w:hAnsi="Arial"/>
          <w:b w:val="false"/>
          <w:bCs w:val="false"/>
          <w:i w:val="false"/>
          <w:iCs w:val="false"/>
          <w:caps w:val="false"/>
          <w:color w:val="1B2430"/>
          <w:sz w:val="18"/>
          <w:szCs w:val="18"/>
        </w:rPr>
        <w:t xml:space="preserve">Mayo de 2027 — pruebas en paralelo: el mismo mes generado con los dos formatos, cotejando campo por campo. Un mes completo de holgura antes del corte.</w:t>
      </w:r>
    </w:p>
    <w:p>
      <w:pPr>
        <w:pStyle w:val="ListParagraph"/>
        <w:numPr>
          <w:ilvl w:val="0"/>
          <w:numId w:val="3"/>
        </w:numPr>
        <w:spacing w:after="90" w:before="0" w:line="280"/>
      </w:pPr>
      <w:r>
        <w:rPr>
          <w:rFonts w:ascii="Arial" w:cs="Arial" w:eastAsia="Arial" w:hAnsi="Arial"/>
          <w:b w:val="false"/>
          <w:bCs w:val="false"/>
          <w:i w:val="false"/>
          <w:iCs w:val="false"/>
          <w:caps w:val="false"/>
          <w:color w:val="1B2430"/>
          <w:sz w:val="18"/>
          <w:szCs w:val="18"/>
        </w:rPr>
        <w:t xml:space="preserve">1 de junio de 2027 — producción. El Aviso de mayo ya sale del sistema nuevo.</w:t>
      </w:r>
    </w:p>
    <w:p>
      <w:pPr>
        <w:keepNext/>
        <w:spacing w:after="20" w:before="360"/>
      </w:pPr>
      <w:r>
        <w:rPr>
          <w:rFonts w:ascii="Arial" w:cs="Arial" w:eastAsia="Arial" w:hAnsi="Arial"/>
          <w:b/>
          <w:bCs/>
          <w:i w:val="false"/>
          <w:iCs w:val="false"/>
          <w:caps/>
          <w:color w:val="B07A12"/>
          <w:spacing w:val="40"/>
          <w:sz w:val="16"/>
          <w:szCs w:val="16"/>
        </w:rPr>
        <w:t xml:space="preserve">Siete</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Qué entregarle al proveedor</w:t>
      </w:r>
    </w:p>
    <w:p>
      <w:pPr>
        <w:spacing w:after="140" w:before="0" w:line="288"/>
      </w:pPr>
      <w:r>
        <w:rPr>
          <w:rFonts w:ascii="Arial" w:cs="Arial" w:eastAsia="Arial" w:hAnsi="Arial"/>
          <w:b w:val="false"/>
          <w:bCs w:val="false"/>
          <w:i w:val="false"/>
          <w:iCs w:val="false"/>
          <w:caps w:val="false"/>
          <w:color w:val="1B2430"/>
          <w:sz w:val="20"/>
          <w:szCs w:val="20"/>
        </w:rPr>
        <w:t xml:space="preserve">Junto con este documento, el proveedor necesita cinco cosas. Si le manda sólo el enlace del DOF, va a tener que volver a extraer los 4,182 campos a mano.</w:t>
      </w:r>
    </w:p>
    <w:p>
      <w:pPr>
        <w:pStyle w:val="ListParagraph"/>
        <w:numPr>
          <w:ilvl w:val="0"/>
          <w:numId w:val="4"/>
        </w:numPr>
        <w:spacing w:after="110" w:before="0" w:line="280"/>
      </w:pPr>
      <w:r>
        <w:rPr>
          <w:rFonts w:ascii="Arial" w:cs="Arial" w:eastAsia="Arial" w:hAnsi="Arial"/>
          <w:b/>
          <w:bCs/>
          <w:i w:val="false"/>
          <w:iCs w:val="false"/>
          <w:caps w:val="false"/>
          <w:color w:val="1B2430"/>
          <w:sz w:val="18"/>
          <w:szCs w:val="18"/>
        </w:rPr>
        <w:t xml:space="preserve">El catálogo de campos de su anexo.</w:t>
      </w:r>
      <w:r>
        <w:rPr>
          <w:rFonts w:ascii="Arial" w:cs="Arial" w:eastAsia="Arial" w:hAnsi="Arial"/>
          <w:b w:val="false"/>
          <w:bCs w:val="false"/>
          <w:i w:val="false"/>
          <w:iCs w:val="false"/>
          <w:caps w:val="false"/>
          <w:color w:val="1B2430"/>
          <w:sz w:val="18"/>
          <w:szCs w:val="18"/>
        </w:rPr>
        <w:t xml:space="preserve"> Hoja DIAGNÓSTICO del archivo </w:t>
      </w:r>
      <w:r>
        <w:rPr>
          <w:rFonts w:ascii="Arial" w:cs="Arial" w:eastAsia="Arial" w:hAnsi="Arial"/>
          <w:b w:val="false"/>
          <w:bCs w:val="false"/>
          <w:i/>
          <w:iCs/>
          <w:caps w:val="false"/>
          <w:color w:val="1B2430"/>
          <w:sz w:val="17"/>
          <w:szCs w:val="17"/>
        </w:rPr>
        <w:t xml:space="preserve">S5A_ALU_01_Diagnostico_de_Brecha_Anexos.xlsx</w:t>
      </w:r>
      <w:r>
        <w:rPr>
          <w:rFonts w:ascii="Arial" w:cs="Arial" w:eastAsia="Arial" w:hAnsi="Arial"/>
          <w:b w:val="false"/>
          <w:bCs w:val="false"/>
          <w:i w:val="false"/>
          <w:iCs w:val="false"/>
          <w:caps w:val="false"/>
          <w:color w:val="1B2430"/>
          <w:sz w:val="18"/>
          <w:szCs w:val="18"/>
        </w:rPr>
        <w:t xml:space="preserve">, filtrada por su clave de anexo. Trae número, nombre, etiqueta, obligatoriedad, tipo, longitud y formato de cada campo.</w:t>
      </w:r>
    </w:p>
    <w:p>
      <w:pPr>
        <w:pStyle w:val="ListParagraph"/>
        <w:numPr>
          <w:ilvl w:val="0"/>
          <w:numId w:val="4"/>
        </w:numPr>
        <w:spacing w:after="110" w:before="0" w:line="280"/>
      </w:pPr>
      <w:r>
        <w:rPr>
          <w:rFonts w:ascii="Arial" w:cs="Arial" w:eastAsia="Arial" w:hAnsi="Arial"/>
          <w:b/>
          <w:bCs/>
          <w:i w:val="false"/>
          <w:iCs w:val="false"/>
          <w:caps w:val="false"/>
          <w:color w:val="1B2430"/>
          <w:sz w:val="18"/>
          <w:szCs w:val="18"/>
        </w:rPr>
        <w:t xml:space="preserve">El mapeo de campos que cambian de lugar.</w:t>
      </w:r>
      <w:r>
        <w:rPr>
          <w:rFonts w:ascii="Arial" w:cs="Arial" w:eastAsia="Arial" w:hAnsi="Arial"/>
          <w:b w:val="false"/>
          <w:bCs w:val="false"/>
          <w:i w:val="false"/>
          <w:iCs w:val="false"/>
          <w:caps w:val="false"/>
          <w:color w:val="1B2430"/>
          <w:sz w:val="18"/>
          <w:szCs w:val="18"/>
        </w:rPr>
        <w:t xml:space="preserve"> Hoja BASE del archivo </w:t>
      </w:r>
      <w:r>
        <w:rPr>
          <w:rFonts w:ascii="Arial" w:cs="Arial" w:eastAsia="Arial" w:hAnsi="Arial"/>
          <w:b w:val="false"/>
          <w:bCs w:val="false"/>
          <w:i/>
          <w:iCs/>
          <w:caps w:val="false"/>
          <w:color w:val="1B2430"/>
          <w:sz w:val="17"/>
          <w:szCs w:val="17"/>
        </w:rPr>
        <w:t xml:space="preserve">S5A_ALU_02_Comparativo_Anexos_2021_vs_2026.xlsx</w:t>
      </w:r>
      <w:r>
        <w:rPr>
          <w:rFonts w:ascii="Arial" w:cs="Arial" w:eastAsia="Arial" w:hAnsi="Arial"/>
          <w:b w:val="false"/>
          <w:bCs w:val="false"/>
          <w:i w:val="false"/>
          <w:iCs w:val="false"/>
          <w:caps w:val="false"/>
          <w:color w:val="1B2430"/>
          <w:sz w:val="18"/>
          <w:szCs w:val="18"/>
        </w:rPr>
        <w:t xml:space="preserve">, filtrada por su anexo y por estado = REUBICADO.</w:t>
      </w:r>
    </w:p>
    <w:p>
      <w:pPr>
        <w:pStyle w:val="ListParagraph"/>
        <w:numPr>
          <w:ilvl w:val="0"/>
          <w:numId w:val="4"/>
        </w:numPr>
        <w:spacing w:after="110" w:before="0" w:line="280"/>
      </w:pPr>
      <w:r>
        <w:rPr>
          <w:rFonts w:ascii="Arial" w:cs="Arial" w:eastAsia="Arial" w:hAnsi="Arial"/>
          <w:b/>
          <w:bCs/>
          <w:i w:val="false"/>
          <w:iCs w:val="false"/>
          <w:caps w:val="false"/>
          <w:color w:val="1B2430"/>
          <w:sz w:val="18"/>
          <w:szCs w:val="18"/>
        </w:rPr>
        <w:t xml:space="preserve">La lista de campos nuevos.</w:t>
      </w:r>
      <w:r>
        <w:rPr>
          <w:rFonts w:ascii="Arial" w:cs="Arial" w:eastAsia="Arial" w:hAnsi="Arial"/>
          <w:b w:val="false"/>
          <w:bCs w:val="false"/>
          <w:i w:val="false"/>
          <w:iCs w:val="false"/>
          <w:caps w:val="false"/>
          <w:color w:val="1B2430"/>
          <w:sz w:val="18"/>
          <w:szCs w:val="18"/>
        </w:rPr>
        <w:t xml:space="preserve"> Misma hoja, estado = CAMPO NUEVO. Éstos son los que hay que agregar a la base de datos y a las pantallas.</w:t>
      </w:r>
    </w:p>
    <w:p>
      <w:pPr>
        <w:pStyle w:val="ListParagraph"/>
        <w:numPr>
          <w:ilvl w:val="0"/>
          <w:numId w:val="4"/>
        </w:numPr>
        <w:spacing w:after="110" w:before="0" w:line="280"/>
      </w:pPr>
      <w:r>
        <w:rPr>
          <w:rFonts w:ascii="Arial" w:cs="Arial" w:eastAsia="Arial" w:hAnsi="Arial"/>
          <w:b/>
          <w:bCs/>
          <w:i w:val="false"/>
          <w:iCs w:val="false"/>
          <w:caps w:val="false"/>
          <w:color w:val="1B2430"/>
          <w:sz w:val="18"/>
          <w:szCs w:val="18"/>
        </w:rPr>
        <w:t xml:space="preserve">Este documento.</w:t>
      </w:r>
      <w:r>
        <w:rPr>
          <w:rFonts w:ascii="Arial" w:cs="Arial" w:eastAsia="Arial" w:hAnsi="Arial"/>
          <w:b w:val="false"/>
          <w:bCs w:val="false"/>
          <w:i w:val="false"/>
          <w:iCs w:val="false"/>
          <w:caps w:val="false"/>
          <w:color w:val="1B2430"/>
          <w:sz w:val="18"/>
          <w:szCs w:val="18"/>
        </w:rPr>
        <w:t xml:space="preserve"> Sobre todo las erratas de la sección Cuatro y la pregunta de la sección Cinco.</w:t>
      </w:r>
    </w:p>
    <w:p>
      <w:pPr>
        <w:pStyle w:val="ListParagraph"/>
        <w:numPr>
          <w:ilvl w:val="0"/>
          <w:numId w:val="4"/>
        </w:numPr>
        <w:spacing w:after="110" w:before="0" w:line="280"/>
      </w:pPr>
      <w:r>
        <w:rPr>
          <w:rFonts w:ascii="Arial" w:cs="Arial" w:eastAsia="Arial" w:hAnsi="Arial"/>
          <w:b/>
          <w:bCs/>
          <w:i w:val="false"/>
          <w:iCs w:val="false"/>
          <w:caps w:val="false"/>
          <w:color w:val="1B2430"/>
          <w:sz w:val="18"/>
          <w:szCs w:val="18"/>
        </w:rPr>
        <w:t xml:space="preserve">Los dos PDF oficiales del DOF.</w:t>
      </w:r>
      <w:r>
        <w:rPr>
          <w:rFonts w:ascii="Arial" w:cs="Arial" w:eastAsia="Arial" w:hAnsi="Arial"/>
          <w:b w:val="false"/>
          <w:bCs w:val="false"/>
          <w:i w:val="false"/>
          <w:iCs w:val="false"/>
          <w:caps w:val="false"/>
          <w:color w:val="1B2430"/>
          <w:sz w:val="18"/>
          <w:szCs w:val="18"/>
        </w:rPr>
        <w:t xml:space="preserve"> La Resolución de Avisos e Informes y la de alta y registro, ambas del 24 de septiembre de 2026.</w:t>
      </w:r>
    </w:p>
    <w:p>
      <w:pPr>
        <w:spacing w:after="200" w:before="0"/>
      </w:pPr>
      <w:r>
        <w:rPr>
          <w:rFonts w:ascii="Arial" w:cs="Arial" w:eastAsia="Arial" w:hAnsi="Arial"/>
          <w:b w:val="false"/>
          <w:bCs w:val="false"/>
          <w:i w:val="false"/>
          <w:iCs w:val="false"/>
          <w:caps w:val="false"/>
          <w:color w:val="1B2430"/>
          <w:sz w:val="20"/>
          <w:szCs w:val="20"/>
        </w:rPr>
        <w:t xml:space="preserve"/>
      </w:r>
    </w:p>
    <w:p>
      <w:pPr>
        <w:keepNext/>
        <w:spacing w:after="80" w:before="260"/>
      </w:pPr>
      <w:r>
        <w:rPr>
          <w:rFonts w:ascii="Georgia" w:cs="Georgia" w:eastAsia="Georgia" w:hAnsi="Georgia"/>
          <w:b/>
          <w:bCs/>
          <w:i w:val="false"/>
          <w:iCs w:val="false"/>
          <w:caps w:val="false"/>
          <w:color w:val="2C4278"/>
          <w:sz w:val="22"/>
          <w:szCs w:val="22"/>
        </w:rPr>
        <w:t xml:space="preserve">Tres cosas que pedirle de vuelta, por escrito</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La fecha en la que va a tener el generador nuevo en ambiente de pruebas. Si es posterior a abril de 2027, hay un problema que hay que escalar hoy, no en mayo.</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Su respuesta a la pregunta del traslape de formatos en junio de 2027.</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Qué va a hacer con los expedientes históricos donde el Dueño Beneficiario capturado es una persona moral o un fideicomiso: en el formato nuevo ese dato no cabe.</w:t>
      </w:r>
    </w:p>
    <w:p>
      <w:pPr>
        <w:spacing w:after="340" w:before="0"/>
      </w:pPr>
      <w:r>
        <w:rPr>
          <w:rFonts w:ascii="Arial" w:cs="Arial" w:eastAsia="Arial" w:hAnsi="Arial"/>
          <w:b w:val="false"/>
          <w:bCs w:val="false"/>
          <w:i w:val="false"/>
          <w:iCs w:val="false"/>
          <w:caps w:val="false"/>
          <w:color w:val="1B2430"/>
          <w:sz w:val="20"/>
          <w:szCs w:val="20"/>
        </w:rPr>
        <w:t xml:space="preserve"/>
      </w:r>
    </w:p>
    <w:p>
      <w:pPr>
        <w:pBdr>
          <w:top w:val="single" w:color="E4E8EE" w:sz="8" w:space="10"/>
        </w:pBdr>
        <w:spacing w:after="0" w:before="0" w:line="260"/>
      </w:pPr>
      <w:r>
        <w:rPr>
          <w:rFonts w:ascii="Arial" w:cs="Arial" w:eastAsia="Arial" w:hAnsi="Arial"/>
          <w:b/>
          <w:bCs/>
          <w:i w:val="false"/>
          <w:iCs w:val="false"/>
          <w:caps w:val="false"/>
          <w:color w:val="5A6472"/>
          <w:sz w:val="16"/>
          <w:szCs w:val="16"/>
        </w:rPr>
        <w:t xml:space="preserve">Fuente: </w:t>
      </w:r>
      <w:r>
        <w:rPr>
          <w:rFonts w:ascii="Arial" w:cs="Arial" w:eastAsia="Arial" w:hAnsi="Arial"/>
          <w:b w:val="false"/>
          <w:bCs w:val="false"/>
          <w:i w:val="false"/>
          <w:iCs w:val="false"/>
          <w:caps w:val="false"/>
          <w:color w:val="5A6472"/>
          <w:sz w:val="16"/>
          <w:szCs w:val="16"/>
        </w:rPr>
        <w:t xml:space="preserve">Diario Oficial de la Federación, 24 de septiembre de 2026. Resolución por la que se expiden los formatos oficiales para la presentación de Avisos e Informes (nota 5799445) y Resolución por la que se expide el formato oficial para el alta y registro (nota 5799444). Ambas firmadas el 11 de septiembre de 2026. Conteos obtenidos directamente sobre los 4,182 campos del texto publicado.</w:t>
      </w:r>
    </w:p>
    <w:sectPr>
      <w:footerReference w:type="default" r:id="rId7"/>
      <w:pgSz w:w="12240" w:h="15840"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8EE" w:sz="6" w:space="8"/>
      </w:pBdr>
      <w:tabs>
        <w:tab w:val="right" w:pos="9360"/>
      </w:tabs>
      <w:spacing w:after="0" w:before="120"/>
    </w:pPr>
    <w:r>
      <w:rPr>
        <w:rFonts w:ascii="Arial" w:cs="Arial" w:eastAsia="Arial" w:hAnsi="Arial"/>
        <w:b w:val="false"/>
        <w:bCs w:val="false"/>
        <w:i w:val="false"/>
        <w:iCs w:val="false"/>
        <w:caps w:val="false"/>
        <w:color w:val="5A6472"/>
        <w:sz w:val="15"/>
        <w:szCs w:val="15"/>
      </w:rPr>
      <w:t xml:space="preserve">Guía de cambios en el sistema · Taller LFPIORPI · GMC360 · 360Educa · ASONOC</w:t>
    </w:r>
    <w:r>
      <w:rPr>
        <w:rFonts w:ascii="Arial" w:cs="Arial" w:eastAsia="Arial" w:hAnsi="Arial"/>
        <w:sz w:val="15"/>
        <w:szCs w:val="15"/>
      </w:rPr>
      <w:tab/>
    </w:r>
    <w:r>
      <w:rPr>
        <w:rFonts w:ascii="Arial" w:cs="Arial" w:eastAsia="Arial" w:hAnsi="Arial"/>
        <w:b w:val="false"/>
        <w:bCs w:val="false"/>
        <w:i w:val="false"/>
        <w:iCs w:val="false"/>
        <w:caps w:val="false"/>
        <w:color w:val="5A6472"/>
        <w:sz w:val="15"/>
        <w:szCs w:val="15"/>
      </w:rPr>
      <w:t xml:space="preserve">Septiembre de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300"/>
      </w:pPr>
      <w:rPr>
        <w:rFonts w:ascii="Arial" w:cs="Arial" w:eastAsia="Arial" w:hAnsi="Arial"/>
        <w:color w:val="B07A12"/>
      </w:rPr>
    </w:lvl>
  </w:abstractNum>
  <w:abstractNum w:abstractNumId="3" w15:restartNumberingAfterBreak="0">
    <w:multiLevelType w:val="hybridMultilevel"/>
    <w:lvl w:ilvl="0" w15:tentative="1">
      <w:start w:val="1"/>
      <w:numFmt w:val="decimal"/>
      <w:lvlText w:val="%1."/>
      <w:lvlJc w:val="left"/>
      <w:pPr>
        <w:ind w:left="400" w:hanging="280"/>
      </w:pPr>
      <w:rPr>
        <w:rFonts w:ascii="Arial" w:cs="Arial" w:eastAsia="Arial" w:hAnsi="Arial"/>
        <w:b/>
        <w:bCs/>
        <w:color w:val="12224A"/>
      </w:rPr>
    </w:lvl>
  </w:abstractNum>
  <w:abstractNum w:abstractNumId="4" w15:restartNumberingAfterBreak="0">
    <w:multiLevelType w:val="hybridMultilevel"/>
    <w:lvl w:ilvl="0" w15:tentative="1">
      <w:start w:val="1"/>
      <w:numFmt w:val="decimal"/>
      <w:lvlText w:val="%1."/>
      <w:lvlJc w:val="left"/>
      <w:pPr>
        <w:ind w:left="440" w:hanging="320"/>
      </w:pPr>
      <w:rPr>
        <w:rFonts w:ascii="Arial" w:cs="Arial" w:eastAsia="Arial" w:hAnsi="Arial"/>
        <w:b/>
        <w:bCs/>
        <w:color w:val="1222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2026-09-28T21:43:37.730Z</dcterms:created>
  <dcterms:modified xsi:type="dcterms:W3CDTF">2026-09-28T21:43:37.730Z</dcterms:modified>
</cp:coreProperties>
</file>

<file path=docProps/custom.xml><?xml version="1.0" encoding="utf-8"?>
<Properties xmlns="http://schemas.openxmlformats.org/officeDocument/2006/custom-properties" xmlns:vt="http://schemas.openxmlformats.org/officeDocument/2006/docPropsVTypes"/>
</file>