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color w:val="B07A12"/>
          <w:spacing w:val="60"/>
          <w:sz w:val="18"/>
          <w:szCs w:val="18"/>
        </w:rPr>
        <w:t xml:space="preserve">TALLER ANTILAVADO 360 · SESIÓN 3</w:t>
      </w:r>
    </w:p>
    <w:p>
      <w:pPr>
        <w:pBdr>
          <w:bottom w:val="single" w:color="12224A" w:sz="14" w:space="8"/>
        </w:pBdr>
        <w:spacing w:after="200"/>
      </w:pPr>
    </w:p>
    <w:p>
      <w:pPr>
        <w:spacing w:after="150"/>
      </w:pPr>
      <w:r>
        <w:rPr>
          <w:rFonts w:ascii="Georgia" w:cs="Georgia" w:eastAsia="Georgia" w:hAnsi="Georgia"/>
          <w:b/>
          <w:bCs/>
          <w:color w:val="12224A"/>
          <w:sz w:val="44"/>
          <w:szCs w:val="44"/>
        </w:rPr>
        <w:t xml:space="preserve">Cómo se escribe un Manual de Políticas Internas</w:t>
      </w:r>
    </w:p>
    <w:p>
      <w:pPr>
        <w:spacing w:after="340"/>
      </w:pPr>
      <w:r>
        <w:rPr>
          <w:rFonts w:ascii="Georgia" w:cs="Georgia" w:eastAsia="Georgia" w:hAnsi="Georgia"/>
          <w:i/>
          <w:iCs/>
          <w:color w:val="5A6472"/>
          <w:sz w:val="26"/>
          <w:szCs w:val="26"/>
        </w:rPr>
        <w:t xml:space="preserve">De la norma al texto: política, criterio, medida y procedimiento</w:t>
      </w:r>
    </w:p>
    <w:p>
      <w:pPr>
        <w:spacing w:after="80"/>
      </w:pPr>
      <w:r>
        <w:rPr>
          <w:rFonts w:ascii="Arial" w:cs="Arial" w:eastAsia="Arial" w:hAnsi="Arial"/>
          <w:color w:val="1B2430"/>
          <w:sz w:val="20"/>
          <w:szCs w:val="20"/>
        </w:rPr>
        <w:t xml:space="preserve">Guía de redacción · Entregable 05 de la Sesión 3</w:t>
      </w:r>
    </w:p>
    <w:p>
      <w:pPr>
        <w:spacing w:after="420"/>
      </w:pPr>
      <w:r>
        <w:rPr>
          <w:rFonts w:ascii="Arial" w:cs="Arial" w:eastAsia="Arial" w:hAnsi="Arial"/>
          <w:i/>
          <w:iCs/>
          <w:color w:val="5A6472"/>
          <w:sz w:val="19"/>
          <w:szCs w:val="19"/>
        </w:rPr>
        <w:t xml:space="preserve">Se usa en el ejercicio del minuto 36, con la plantilla del Manual abierta.</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Lo que esta guía resuelve</w:t>
            </w:r>
          </w:p>
          <w:p>
            <w:pPr>
              <w:spacing w:after="100"/>
              <w:jc w:val="both"/>
            </w:pPr>
            <w:r>
              <w:rPr>
                <w:rFonts w:ascii="Arial" w:cs="Arial" w:eastAsia="Arial" w:hAnsi="Arial"/>
                <w:color w:val="1B2430"/>
                <w:sz w:val="18"/>
                <w:szCs w:val="18"/>
              </w:rPr>
              <w:t xml:space="preserve">La mayoría de los manuales del sector son la ley transcrita con otro tipo de letra. Cumplen a la vista y se caen en la primera visita, porque no dicen quién hace qué, cuándo, ni qué rastro deja.</w:t>
            </w:r>
          </w:p>
          <w:p>
            <w:pPr>
              <w:spacing w:after="0"/>
              <w:jc w:val="both"/>
            </w:pPr>
            <w:r>
              <w:rPr>
                <w:rFonts w:ascii="Arial" w:cs="Arial" w:eastAsia="Arial" w:hAnsi="Arial"/>
                <w:color w:val="1B2430"/>
                <w:sz w:val="18"/>
                <w:szCs w:val="18"/>
              </w:rPr>
              <w:t xml:space="preserve">Aquí está el método para escribir el suyo: el vocabulario que la propia norma da, qué tipo de texto pide cada fracción del contenido mínimo, seis pasos para pasar del precepto al texto, y dos apartados desarrollados de principio a fin como modelo.</w:t>
            </w:r>
          </w:p>
        </w:tc>
      </w:tr>
    </w:tbl>
    <w:p>
      <w:pPr>
        <w:spacing w:after="190"/>
      </w:pPr>
    </w:p>
    <w:p>
      <w:pPr>
        <w:spacing w:after="40" w:before="520"/>
      </w:pPr>
      <w:r>
        <w:rPr>
          <w:rFonts w:ascii="Arial" w:cs="Arial" w:eastAsia="Arial" w:hAnsi="Arial"/>
          <w:b/>
          <w:bCs/>
          <w:color w:val="12224A"/>
          <w:sz w:val="20"/>
          <w:szCs w:val="20"/>
        </w:rPr>
        <w:t xml:space="preserve">Martes 1 de septiembre de 2026 · 16:00 a 18:00 h (CDMX)</w:t>
      </w:r>
    </w:p>
    <w:p>
      <w:pPr>
        <w:spacing w:after="40"/>
      </w:pPr>
      <w:r>
        <w:rPr>
          <w:rFonts w:ascii="Arial" w:cs="Arial" w:eastAsia="Arial" w:hAnsi="Arial"/>
          <w:color w:val="5A6472"/>
          <w:sz w:val="18"/>
          <w:szCs w:val="18"/>
        </w:rPr>
        <w:t xml:space="preserve">Imparte: Maribel Vázquez Menchaca · ASONOC · GMC360 · 360Educa · LEXQUO</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 · El manual transcrito no es un manual</w:t>
      </w:r>
    </w:p>
    <w:p>
      <w:pPr>
        <w:spacing w:after="150" w:line="300"/>
        <w:jc w:val="both"/>
      </w:pPr>
      <w:r>
        <w:rPr>
          <w:rFonts w:ascii="Georgia" w:cs="Georgia" w:eastAsia="Georgia" w:hAnsi="Georgia"/>
          <w:color w:val="1B2430"/>
          <w:sz w:val="20"/>
          <w:szCs w:val="20"/>
        </w:rPr>
        <w:t xml:space="preserve">Abra cualquier manual del sector y encontrará el mismo documento: los artículos de la Ley copiados, los de las Reglas copiados debajo, y entre uno y otro la frase «la empresa dará cumplimiento a lo anterior». Ese documento no incumple por lo que dice. Incumple por lo que no dice.</w:t>
      </w:r>
    </w:p>
    <w:p>
      <w:pPr>
        <w:spacing w:after="150" w:line="300"/>
        <w:jc w:val="both"/>
      </w:pPr>
      <w:r>
        <w:rPr>
          <w:rFonts w:ascii="Georgia" w:cs="Georgia" w:eastAsia="Georgia" w:hAnsi="Georgia"/>
          <w:color w:val="1B2430"/>
          <w:sz w:val="20"/>
          <w:szCs w:val="20"/>
        </w:rPr>
        <w:t xml:space="preserve">La norma no pide una copia. Pide que usted </w:t>
      </w:r>
      <w:r>
        <w:rPr>
          <w:rFonts w:ascii="Georgia" w:cs="Georgia" w:eastAsia="Georgia" w:hAnsi="Georgia"/>
          <w:b/>
          <w:bCs/>
          <w:color w:val="1B2430"/>
          <w:sz w:val="20"/>
          <w:szCs w:val="20"/>
        </w:rPr>
        <w:t xml:space="preserve">desarrolle</w:t>
      </w:r>
      <w:r>
        <w:rPr>
          <w:rFonts w:ascii="Georgia" w:cs="Georgia" w:eastAsia="Georgia" w:hAnsi="Georgia"/>
          <w:color w:val="1B2430"/>
          <w:sz w:val="20"/>
          <w:szCs w:val="20"/>
        </w:rPr>
        <w:t xml:space="preserve"> algo, y usa esa palabra:</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Quienes realicen Actividades Vulnerables […] deberán contar con un Manual de Políticas Internas en el que </w:t>
            </w:r>
            <w:r>
              <w:rPr>
                <w:rFonts w:ascii="Georgia" w:cs="Georgia" w:eastAsia="Georgia" w:hAnsi="Georgia"/>
                <w:b/>
                <w:bCs/>
                <w:i/>
                <w:iCs/>
                <w:color w:val="12224A"/>
                <w:sz w:val="20"/>
                <w:szCs w:val="20"/>
              </w:rPr>
              <w:t xml:space="preserve">desarrollen</w:t>
            </w:r>
            <w:r>
              <w:rPr>
                <w:rFonts w:ascii="Georgia" w:cs="Georgia" w:eastAsia="Georgia" w:hAnsi="Georgia"/>
                <w:i/>
                <w:iCs/>
                <w:color w:val="12224A"/>
                <w:sz w:val="20"/>
                <w:szCs w:val="20"/>
              </w:rPr>
              <w:t xml:space="preserve"> sus políticas y lineamientos de identificación y conocimiento de Clientes o Usuarias, así como los criterios, medidas y procedimientos internos que deberá adoptar para dar cumplimiento a lo previsto en las presentes reglas, la Ley, su Reglamento, y demás disposiciones que de ellas emanen y para gestionar los Riesgos a que está expuesta </w:t>
            </w:r>
            <w:r>
              <w:rPr>
                <w:rFonts w:ascii="Georgia" w:cs="Georgia" w:eastAsia="Georgia" w:hAnsi="Georgia"/>
                <w:b/>
                <w:bCs/>
                <w:i/>
                <w:iCs/>
                <w:color w:val="12224A"/>
                <w:sz w:val="20"/>
                <w:szCs w:val="20"/>
              </w:rPr>
              <w:t xml:space="preserve">de acuerdo con los resultados de la implementación de la metodología</w:t>
            </w:r>
            <w:r>
              <w:rPr>
                <w:rFonts w:ascii="Georgia" w:cs="Georgia" w:eastAsia="Georgia" w:hAnsi="Georgia"/>
                <w:i/>
                <w:iCs/>
                <w:color w:val="12224A"/>
                <w:sz w:val="20"/>
                <w:szCs w:val="20"/>
              </w:rPr>
              <w:t xml:space="preserve">…</w:t>
            </w:r>
          </w:p>
          <w:p>
            <w:pPr>
              <w:spacing w:after="0"/>
            </w:pPr>
            <w:r>
              <w:rPr>
                <w:rFonts w:ascii="Arial" w:cs="Arial" w:eastAsia="Arial" w:hAnsi="Arial"/>
                <w:color w:val="5A6472"/>
                <w:sz w:val="16"/>
                <w:szCs w:val="16"/>
              </w:rPr>
              <w:t xml:space="preserve">RCG art. 37, primer párrafo</w:t>
            </w:r>
          </w:p>
        </w:tc>
      </w:tr>
    </w:tbl>
    <w:p>
      <w:pPr>
        <w:spacing w:after="170"/>
      </w:pPr>
    </w:p>
    <w:p>
      <w:pPr>
        <w:spacing w:after="150" w:line="300"/>
        <w:jc w:val="both"/>
      </w:pPr>
      <w:r>
        <w:rPr>
          <w:rFonts w:ascii="Georgia" w:cs="Georgia" w:eastAsia="Georgia" w:hAnsi="Georgia"/>
          <w:color w:val="1B2430"/>
          <w:sz w:val="20"/>
          <w:szCs w:val="20"/>
        </w:rPr>
        <w:t xml:space="preserve">Dos exigencias en una sola frase. La primera: desarrollar, no reproducir. La segunda: que lo desarrollado responda a los resultados de </w:t>
      </w:r>
      <w:r>
        <w:rPr>
          <w:rFonts w:ascii="Georgia" w:cs="Georgia" w:eastAsia="Georgia" w:hAnsi="Georgia"/>
          <w:b/>
          <w:bCs/>
          <w:color w:val="1B2430"/>
          <w:sz w:val="20"/>
          <w:szCs w:val="20"/>
        </w:rPr>
        <w:t xml:space="preserve">su</w:t>
      </w:r>
      <w:r>
        <w:rPr>
          <w:rFonts w:ascii="Georgia" w:cs="Georgia" w:eastAsia="Georgia" w:hAnsi="Georgia"/>
          <w:color w:val="1B2430"/>
          <w:sz w:val="20"/>
          <w:szCs w:val="20"/>
        </w:rPr>
        <w:t xml:space="preserve"> metodología de riesgos, la que se trabajó la sesión pasada. Un manual que podría pertenecer a cualquier otra empresa no cumple ninguna de las dos, y se detecta en un minuto: basta con preguntar por qué un control está ahí y no otro.</w:t>
      </w:r>
    </w:p>
    <w:p>
      <w:pPr>
        <w:pStyle w:val="Heading2"/>
        <w:keepNext/>
        <w:spacing w:after="150" w:before="340"/>
      </w:pPr>
      <w:r>
        <w:rPr>
          <w:rFonts w:ascii="Georgia" w:cs="Georgia" w:eastAsia="Georgia" w:hAnsi="Georgia"/>
          <w:b/>
          <w:bCs/>
          <w:color w:val="1B2E5C"/>
          <w:sz w:val="23"/>
          <w:szCs w:val="23"/>
        </w:rPr>
        <w:t xml:space="preserve">La obligación es doble y está en una sola fracción</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b/>
                <w:bCs/>
                <w:i/>
                <w:iCs/>
                <w:color w:val="12224A"/>
                <w:sz w:val="20"/>
                <w:szCs w:val="20"/>
              </w:rPr>
              <w:t xml:space="preserve">Elaborar y observar</w:t>
            </w:r>
            <w:r>
              <w:rPr>
                <w:rFonts w:ascii="Georgia" w:cs="Georgia" w:eastAsia="Georgia" w:hAnsi="Georgia"/>
                <w:i/>
                <w:iCs/>
                <w:color w:val="12224A"/>
                <w:sz w:val="20"/>
                <w:szCs w:val="20"/>
              </w:rPr>
              <w:t xml:space="preserve"> un Manual de Políticas Internas que contenga los </w:t>
            </w:r>
            <w:r>
              <w:rPr>
                <w:rFonts w:ascii="Georgia" w:cs="Georgia" w:eastAsia="Georgia" w:hAnsi="Georgia"/>
                <w:b/>
                <w:bCs/>
                <w:i/>
                <w:iCs/>
                <w:color w:val="12224A"/>
                <w:sz w:val="20"/>
                <w:szCs w:val="20"/>
              </w:rPr>
              <w:t xml:space="preserve">criterios, medidas y procedimientos</w:t>
            </w:r>
            <w:r>
              <w:rPr>
                <w:rFonts w:ascii="Georgia" w:cs="Georgia" w:eastAsia="Georgia" w:hAnsi="Georgia"/>
                <w:i/>
                <w:iCs/>
                <w:color w:val="12224A"/>
                <w:sz w:val="20"/>
                <w:szCs w:val="20"/>
              </w:rPr>
              <w:t xml:space="preserve"> necesarios para cumplir con las obligaciones previstas en la presente Ley, incluyendo las que les permitan identificar y dar seguimiento a los actos u operaciones que lleven a cabo con Personas Políticamente Expuestas, en los términos de las reglas de carácter general que emita la Secretaría.</w:t>
            </w:r>
          </w:p>
          <w:p>
            <w:pPr>
              <w:spacing w:after="0"/>
            </w:pPr>
            <w:r>
              <w:rPr>
                <w:rFonts w:ascii="Arial" w:cs="Arial" w:eastAsia="Arial" w:hAnsi="Arial"/>
                <w:color w:val="5A6472"/>
                <w:sz w:val="16"/>
                <w:szCs w:val="16"/>
              </w:rPr>
              <w:t xml:space="preserve">Ley art. 18, fracción VIII</w:t>
            </w:r>
          </w:p>
        </w:tc>
      </w:tr>
    </w:tbl>
    <w:p>
      <w:pPr>
        <w:spacing w:after="170"/>
      </w:pPr>
    </w:p>
    <w:p>
      <w:pPr>
        <w:spacing w:after="150" w:line="300"/>
        <w:jc w:val="both"/>
      </w:pPr>
      <w:r>
        <w:rPr>
          <w:rFonts w:ascii="Georgia" w:cs="Georgia" w:eastAsia="Georgia" w:hAnsi="Georgia"/>
          <w:color w:val="1B2430"/>
          <w:sz w:val="20"/>
          <w:szCs w:val="20"/>
        </w:rPr>
        <w:t xml:space="preserve">Elaborar es tenerlo. Observar es aplicarlo. Son dos verbos y son dos incumplimientos distintos: se puede tener un manual impecable y estar incumpliendo la fracción VIII todos los días. Por eso la redacción importa tanto — </w:t>
      </w:r>
      <w:r>
        <w:rPr>
          <w:rFonts w:ascii="Georgia" w:cs="Georgia" w:eastAsia="Georgia" w:hAnsi="Georgia"/>
          <w:b/>
          <w:bCs/>
          <w:color w:val="1B2430"/>
          <w:sz w:val="20"/>
          <w:szCs w:val="20"/>
        </w:rPr>
        <w:t xml:space="preserve">un apartado que nadie puede ejecutar es un apartado que nadie va a observar.</w:t>
      </w: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Si un apartado de su Manual no nombra un responsable, un plazo y una evidencia, no es un procedimiento. Es una transcripción.</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2 · El vocabulario lo da la norma</w:t>
      </w:r>
    </w:p>
    <w:p>
      <w:pPr>
        <w:spacing w:after="150" w:line="300"/>
        <w:jc w:val="both"/>
      </w:pPr>
      <w:r>
        <w:rPr>
          <w:rFonts w:ascii="Georgia" w:cs="Georgia" w:eastAsia="Georgia" w:hAnsi="Georgia"/>
          <w:color w:val="1B2430"/>
          <w:sz w:val="20"/>
          <w:szCs w:val="20"/>
        </w:rPr>
        <w:t xml:space="preserve">No hay que inventar la estructura de un apartado. La norma la dice, y la repite en tres lugares distintos con las mismas cuatro palabras.</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b/>
                <w:bCs/>
                <w:i/>
                <w:iCs/>
                <w:color w:val="12224A"/>
                <w:sz w:val="20"/>
                <w:szCs w:val="20"/>
              </w:rPr>
              <w:t xml:space="preserve">Mitigantes</w:t>
            </w:r>
            <w:r>
              <w:rPr>
                <w:rFonts w:ascii="Georgia" w:cs="Georgia" w:eastAsia="Georgia" w:hAnsi="Georgia"/>
                <w:i/>
                <w:iCs/>
                <w:color w:val="12224A"/>
                <w:sz w:val="20"/>
                <w:szCs w:val="20"/>
              </w:rPr>
              <w:t xml:space="preserve">, a las </w:t>
            </w:r>
            <w:r>
              <w:rPr>
                <w:rFonts w:ascii="Georgia" w:cs="Georgia" w:eastAsia="Georgia" w:hAnsi="Georgia"/>
                <w:b/>
                <w:bCs/>
                <w:i/>
                <w:iCs/>
                <w:color w:val="12224A"/>
                <w:sz w:val="20"/>
                <w:szCs w:val="20"/>
              </w:rPr>
              <w:t xml:space="preserve">políticas, criterios, medidas y procedimientos</w:t>
            </w:r>
            <w:r>
              <w:rPr>
                <w:rFonts w:ascii="Georgia" w:cs="Georgia" w:eastAsia="Georgia" w:hAnsi="Georgia"/>
                <w:i/>
                <w:iCs/>
                <w:color w:val="12224A"/>
                <w:sz w:val="20"/>
                <w:szCs w:val="20"/>
              </w:rPr>
              <w:t xml:space="preserve"> implementados por quienes realicen Actividades Vulnerables que contribuyen a administrar y disminuir la exposición a los Riesgos identificados en la metodología…</w:t>
            </w:r>
          </w:p>
          <w:p>
            <w:pPr>
              <w:spacing w:after="0"/>
            </w:pPr>
            <w:r>
              <w:rPr>
                <w:rFonts w:ascii="Arial" w:cs="Arial" w:eastAsia="Arial" w:hAnsi="Arial"/>
                <w:color w:val="5A6472"/>
                <w:sz w:val="16"/>
                <w:szCs w:val="16"/>
              </w:rPr>
              <w:t xml:space="preserve">RCG art. 3, fracción XI Quinquies</w:t>
            </w:r>
          </w:p>
        </w:tc>
      </w:tr>
    </w:tbl>
    <w:p>
      <w:pPr>
        <w:spacing w:after="170"/>
      </w:pP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…elaborarán y observarán los </w:t>
            </w:r>
            <w:r>
              <w:rPr>
                <w:rFonts w:ascii="Georgia" w:cs="Georgia" w:eastAsia="Georgia" w:hAnsi="Georgia"/>
                <w:b/>
                <w:bCs/>
                <w:i/>
                <w:iCs/>
                <w:color w:val="12224A"/>
                <w:sz w:val="20"/>
                <w:szCs w:val="20"/>
              </w:rPr>
              <w:t xml:space="preserve">criterios, medidas y procedimientos</w:t>
            </w:r>
            <w:r>
              <w:rPr>
                <w:rFonts w:ascii="Georgia" w:cs="Georgia" w:eastAsia="Georgia" w:hAnsi="Georgia"/>
                <w:i/>
                <w:iCs/>
                <w:color w:val="12224A"/>
                <w:sz w:val="20"/>
                <w:szCs w:val="20"/>
              </w:rPr>
              <w:t xml:space="preserve"> internos que se requieran para su debido cumplimiento […], los cuales deberán </w:t>
            </w:r>
            <w:r>
              <w:rPr>
                <w:rFonts w:ascii="Georgia" w:cs="Georgia" w:eastAsia="Georgia" w:hAnsi="Georgia"/>
                <w:b/>
                <w:bCs/>
                <w:i/>
                <w:iCs/>
                <w:color w:val="12224A"/>
                <w:sz w:val="20"/>
                <w:szCs w:val="20"/>
              </w:rPr>
              <w:t xml:space="preserve">formar parte integrante del Manual de Políticas Internas</w:t>
            </w:r>
            <w:r>
              <w:rPr>
                <w:rFonts w:ascii="Georgia" w:cs="Georgia" w:eastAsia="Georgia" w:hAnsi="Georgia"/>
                <w:i/>
                <w:iCs/>
                <w:color w:val="12224A"/>
                <w:sz w:val="20"/>
                <w:szCs w:val="20"/>
              </w:rPr>
              <w:t xml:space="preserve"> a que se refiere el artículo 37 de estas reglas.</w:t>
            </w:r>
          </w:p>
          <w:p>
            <w:pPr>
              <w:spacing w:after="0"/>
            </w:pPr>
            <w:r>
              <w:rPr>
                <w:rFonts w:ascii="Arial" w:cs="Arial" w:eastAsia="Arial" w:hAnsi="Arial"/>
                <w:color w:val="5A6472"/>
                <w:sz w:val="16"/>
                <w:szCs w:val="16"/>
              </w:rPr>
              <w:t xml:space="preserve">RCG art. 11, primer párrafo</w:t>
            </w:r>
          </w:p>
        </w:tc>
      </w:tr>
    </w:tbl>
    <w:p>
      <w:pPr>
        <w:spacing w:after="170"/>
      </w:pPr>
    </w:p>
    <w:p>
      <w:pPr>
        <w:spacing w:after="150" w:line="300"/>
        <w:jc w:val="both"/>
      </w:pPr>
      <w:r>
        <w:rPr>
          <w:rFonts w:ascii="Georgia" w:cs="Georgia" w:eastAsia="Georgia" w:hAnsi="Georgia"/>
          <w:color w:val="1B2430"/>
          <w:sz w:val="20"/>
          <w:szCs w:val="20"/>
        </w:rPr>
        <w:t xml:space="preserve">Cuatro escalones. Van de lo más general a lo más operativo, y cada uno contesta una pregunta distinta. Escribir los cuatro para un mismo tema es lo que convierte una cita de ley en un apartado.</w:t>
      </w:r>
    </w:p>
    <w:tbl>
      <w:tblPr>
        <w:tblW w:type="dxa" w:w="9360"/>
        <w:tblBorders>
          <w:top w:val="single" w:color="E4E8EE" w:sz="4"/>
          <w:left w:val="none"/>
          <w:bottom w:val="single" w:color="E4E8EE" w:sz="4"/>
          <w:right w:val="none"/>
          <w:insideH w:val="single" w:color="E4E8EE" w:sz="2"/>
          <w:insideV w:val="none"/>
        </w:tblBorders>
      </w:tblPr>
      <w:tblGrid>
        <w:gridCol w:w="1450"/>
        <w:gridCol w:w="3100"/>
        <w:gridCol w:w="2500"/>
        <w:gridCol w:w="2310"/>
      </w:tblGrid>
      <w:tr>
        <w:trPr>
          <w:tblHeader/>
        </w:trPr>
        <w:tc>
          <w:tcPr>
            <w:tcW w:type="dxa" w:w="14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Escalón</w:t>
            </w:r>
          </w:p>
        </w:tc>
        <w:tc>
          <w:tcPr>
            <w:tcW w:type="dxa" w:w="31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es</w:t>
            </w:r>
          </w:p>
        </w:tc>
        <w:tc>
          <w:tcPr>
            <w:tcW w:type="dxa" w:w="25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La pregunta que contesta</w:t>
            </w:r>
          </w:p>
        </w:tc>
        <w:tc>
          <w:tcPr>
            <w:tcW w:type="dxa" w:w="231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Extensión típica</w:t>
            </w:r>
          </w:p>
        </w:tc>
      </w:tr>
      <w:tr>
        <w:tc>
          <w:tcPr>
            <w:tcW w:type="dxa" w:w="14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Política</w:t>
            </w:r>
          </w:p>
        </w:tc>
        <w:tc>
          <w:tcPr>
            <w:tcW w:type="dxa" w:w="31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 decisión de la casa. La postura que se adopta, dicha en positivo.</w:t>
            </w:r>
          </w:p>
        </w:tc>
        <w:tc>
          <w:tcPr>
            <w:tcW w:type="dxa" w:w="2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decidimos?</w:t>
            </w:r>
          </w:p>
        </w:tc>
        <w:tc>
          <w:tcPr>
            <w:tcW w:type="dxa" w:w="231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Una o dos frases</w:t>
            </w:r>
          </w:p>
        </w:tc>
      </w:tr>
      <w:tr>
        <w:tc>
          <w:tcPr>
            <w:tcW w:type="dxa" w:w="14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Criterio</w:t>
            </w:r>
          </w:p>
        </w:tc>
        <w:tc>
          <w:tcPr>
            <w:tcW w:type="dxa" w:w="31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regla que resuelve el caso dudoso. Fija umbrales, define qué cuenta como qué, y quita la discrecionalidad de quien opera.</w:t>
            </w:r>
          </w:p>
        </w:tc>
        <w:tc>
          <w:tcPr>
            <w:tcW w:type="dxa" w:w="2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¿Cuándo? ¿Qué cuenta como qué?</w:t>
            </w:r>
          </w:p>
        </w:tc>
        <w:tc>
          <w:tcPr>
            <w:tcW w:type="dxa" w:w="231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Un párrafo o una lista</w:t>
            </w:r>
          </w:p>
        </w:tc>
      </w:tr>
      <w:tr>
        <w:tc>
          <w:tcPr>
            <w:tcW w:type="dxa" w:w="14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Medida</w:t>
            </w:r>
          </w:p>
        </w:tc>
        <w:tc>
          <w:tcPr>
            <w:tcW w:type="dxa" w:w="31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control concreto que hace que la política se cumpla. Es lo que se hace, no cómo se hace.</w:t>
            </w:r>
          </w:p>
        </w:tc>
        <w:tc>
          <w:tcPr>
            <w:tcW w:type="dxa" w:w="2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se hace para que se cumpla?</w:t>
            </w:r>
          </w:p>
        </w:tc>
        <w:tc>
          <w:tcPr>
            <w:tcW w:type="dxa" w:w="231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Una lista corta</w:t>
            </w:r>
          </w:p>
        </w:tc>
      </w:tr>
      <w:tr>
        <w:tc>
          <w:tcPr>
            <w:tcW w:type="dxa" w:w="14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Procedimiento</w:t>
            </w:r>
          </w:p>
        </w:tc>
        <w:tc>
          <w:tcPr>
            <w:tcW w:type="dxa" w:w="31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pasos, en orden, con responsable, plazo, sistema y la evidencia que cada paso deja.</w:t>
            </w:r>
          </w:p>
        </w:tc>
        <w:tc>
          <w:tcPr>
            <w:tcW w:type="dxa" w:w="2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¿Cómo, y cómo se prueba?</w:t>
            </w:r>
          </w:p>
        </w:tc>
        <w:tc>
          <w:tcPr>
            <w:tcW w:type="dxa" w:w="231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Una tabla de pasos</w:t>
            </w:r>
          </w:p>
        </w:tc>
      </w:tr>
    </w:tbl>
    <w:p>
      <w:pPr>
        <w:spacing w:after="200"/>
      </w:pPr>
    </w:p>
    <w:p>
      <w:pPr>
        <w:pStyle w:val="Heading2"/>
        <w:keepNext/>
        <w:spacing w:after="150" w:before="340"/>
      </w:pPr>
      <w:r>
        <w:rPr>
          <w:rFonts w:ascii="Georgia" w:cs="Georgia" w:eastAsia="Georgia" w:hAnsi="Georgia"/>
          <w:b/>
          <w:bCs/>
          <w:color w:val="1B2E5C"/>
          <w:sz w:val="23"/>
          <w:szCs w:val="23"/>
        </w:rPr>
        <w:t xml:space="preserve">Un mismo tema, en los cuatro escalones</w:t>
      </w:r>
    </w:p>
    <w:p>
      <w:pPr>
        <w:spacing w:after="150" w:line="300"/>
        <w:jc w:val="both"/>
      </w:pPr>
      <w:r>
        <w:rPr>
          <w:rFonts w:ascii="Georgia" w:cs="Georgia" w:eastAsia="Georgia" w:hAnsi="Georgia"/>
          <w:color w:val="1B2430"/>
          <w:sz w:val="20"/>
          <w:szCs w:val="20"/>
        </w:rPr>
        <w:t xml:space="preserve">Tomemos el uso de efectivo, que casi todos tienen mal escrito. Así se ve la diferencia:</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Política</w:t>
            </w:r>
          </w:p>
          <w:p>
            <w:pPr>
              <w:spacing w:after="0"/>
              <w:jc w:val="both"/>
            </w:pPr>
            <w:r>
              <w:rPr>
                <w:rFonts w:ascii="Arial" w:cs="Arial" w:eastAsia="Arial" w:hAnsi="Arial"/>
                <w:color w:val="1B2430"/>
                <w:sz w:val="18"/>
                <w:szCs w:val="18"/>
              </w:rPr>
              <w:t xml:space="preserve">«Esta empresa no recibe pagos en efectivo por ningún acto u operación, con independencia de su monto y aunque la Ley lo permita por debajo del umbral del artículo 32.»</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Criterio</w:t>
            </w:r>
          </w:p>
          <w:p>
            <w:pPr>
              <w:spacing w:after="0"/>
              <w:jc w:val="both"/>
            </w:pPr>
            <w:r>
              <w:rPr>
                <w:rFonts w:ascii="Arial" w:cs="Arial" w:eastAsia="Arial" w:hAnsi="Arial"/>
                <w:color w:val="1B2430"/>
                <w:sz w:val="18"/>
                <w:szCs w:val="18"/>
              </w:rPr>
              <w:t xml:space="preserve">«Se considera pago en efectivo la entrega de monedas y billetes en moneda nacional o divisas y de Metales Preciosos, incluido el depósito que el Cliente realice directamente en la cuenta bancaria de la empresa. El pago por transferencia desde cuenta a nombre de un tercero distinto del Cliente requiere autorización previa conforme al numeral 7.4 de este Manual.»</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Medida</w:t>
            </w:r>
          </w:p>
          <w:p>
            <w:pPr>
              <w:spacing w:after="0"/>
              <w:jc w:val="both"/>
            </w:pPr>
            <w:r>
              <w:rPr>
                <w:rFonts w:ascii="Arial" w:cs="Arial" w:eastAsia="Arial" w:hAnsi="Arial"/>
                <w:color w:val="1B2430"/>
                <w:sz w:val="18"/>
                <w:szCs w:val="18"/>
              </w:rPr>
              <w:t xml:space="preserve">«Los contratos y las órdenes de venta incorporan una cláusula que establece la forma de pago admitida. El área de cobranza tiene bloqueada la caja para recepción de efectivo. La conciliación bancaria mensual identifica y marca los depósitos en efectivo recibidos de terceros.»</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Procedimiento</w:t>
            </w:r>
          </w:p>
          <w:p>
            <w:pPr>
              <w:spacing w:after="0"/>
              <w:jc w:val="both"/>
            </w:pPr>
            <w:r>
              <w:rPr>
                <w:rFonts w:ascii="Arial" w:cs="Arial" w:eastAsia="Arial" w:hAnsi="Arial"/>
                <w:color w:val="1B2430"/>
                <w:sz w:val="18"/>
                <w:szCs w:val="18"/>
              </w:rPr>
              <w:t xml:space="preserve">Una tabla de pasos como la del apartado 9 de esta guía: quién detecta, en qué plazo escala, a quién, qué documento genera y dónde se resguarda.</w:t>
            </w:r>
          </w:p>
        </w:tc>
      </w:tr>
    </w:tbl>
    <w:p>
      <w:pPr>
        <w:spacing w:after="190"/>
      </w:pPr>
    </w:p>
    <w:p>
      <w:pPr>
        <w:spacing w:after="150" w:line="300"/>
        <w:jc w:val="both"/>
      </w:pPr>
      <w:r>
        <w:rPr>
          <w:rFonts w:ascii="Georgia" w:cs="Georgia" w:eastAsia="Georgia" w:hAnsi="Georgia"/>
          <w:color w:val="1B2430"/>
          <w:sz w:val="20"/>
          <w:szCs w:val="20"/>
        </w:rPr>
        <w:t xml:space="preserve">El primer texto es una postura. El segundo cierra las tres discusiones que ese tema siempre produce. El tercero dice qué existe en la operación para sostener la postura. El cuarto es el único que una persona recién contratada puede ejecutar. </w:t>
      </w:r>
      <w:r>
        <w:rPr>
          <w:rFonts w:ascii="Georgia" w:cs="Georgia" w:eastAsia="Georgia" w:hAnsi="Georgia"/>
          <w:b/>
          <w:bCs/>
          <w:color w:val="1B2430"/>
          <w:sz w:val="20"/>
          <w:szCs w:val="20"/>
        </w:rPr>
        <w:t xml:space="preserve">Los manuales del sector suelen tener el primero y saltarse los otros tres.</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3 · El quinto término: «mecanismo»</w:t>
      </w:r>
    </w:p>
    <w:p>
      <w:pPr>
        <w:spacing w:after="150" w:line="300"/>
        <w:jc w:val="both"/>
      </w:pPr>
      <w:r>
        <w:rPr>
          <w:rFonts w:ascii="Georgia" w:cs="Georgia" w:eastAsia="Georgia" w:hAnsi="Georgia"/>
          <w:color w:val="1B2430"/>
          <w:sz w:val="20"/>
          <w:szCs w:val="20"/>
        </w:rPr>
        <w:t xml:space="preserve">Al leer el contenido mínimo del Manual aparece una quinta palabra que las definiciones no traen: </w:t>
      </w:r>
      <w:r>
        <w:rPr>
          <w:rFonts w:ascii="Georgia" w:cs="Georgia" w:eastAsia="Georgia" w:hAnsi="Georgia"/>
          <w:b/>
          <w:bCs/>
          <w:color w:val="1B2430"/>
          <w:sz w:val="20"/>
          <w:szCs w:val="20"/>
        </w:rPr>
        <w:t xml:space="preserve">mecanismo</w:t>
      </w:r>
      <w:r>
        <w:rPr>
          <w:rFonts w:ascii="Georgia" w:cs="Georgia" w:eastAsia="Georgia" w:hAnsi="Georgia"/>
          <w:color w:val="1B2430"/>
          <w:sz w:val="20"/>
          <w:szCs w:val="20"/>
        </w:rPr>
        <w:t xml:space="preserve">. Las Reglas la usan seis veces en el artículo 37 Bis y en ningún lugar la definen. Tampoco la definen la Ley ni el Reglamento.</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Advertencia de método</w:t>
            </w:r>
          </w:p>
          <w:p>
            <w:pPr>
              <w:spacing w:after="100"/>
              <w:jc w:val="both"/>
            </w:pPr>
            <w:r>
              <w:rPr>
                <w:rFonts w:ascii="Arial" w:cs="Arial" w:eastAsia="Arial" w:hAnsi="Arial"/>
                <w:color w:val="1B2430"/>
                <w:sz w:val="18"/>
                <w:szCs w:val="18"/>
              </w:rPr>
              <w:t xml:space="preserve">Lo que sigue es lectura, no texto. </w:t>
            </w:r>
            <w:r>
              <w:rPr>
                <w:rFonts w:ascii="Arial" w:cs="Arial" w:eastAsia="Arial" w:hAnsi="Arial"/>
                <w:b/>
                <w:bCs/>
                <w:color w:val="1B2430"/>
                <w:sz w:val="18"/>
                <w:szCs w:val="18"/>
              </w:rPr>
              <w:t xml:space="preserve">Ningún precepto define «mecanismo».</w:t>
            </w:r>
            <w:r>
              <w:rPr>
                <w:rFonts w:ascii="Arial" w:cs="Arial" w:eastAsia="Arial" w:hAnsi="Arial"/>
                <w:color w:val="1B2430"/>
                <w:sz w:val="18"/>
                <w:szCs w:val="18"/>
              </w:rPr>
              <w:t xml:space="preserve"> Se propone aquí un criterio de uso porque hay que escribir el Manual con algo, y conviene que sea uniforme y esté declarado.</w:t>
            </w:r>
          </w:p>
          <w:p>
            <w:pPr>
              <w:spacing w:after="100"/>
              <w:jc w:val="both"/>
            </w:pPr>
            <w:r>
              <w:rPr>
                <w:rFonts w:ascii="Arial" w:cs="Arial" w:eastAsia="Arial" w:hAnsi="Arial"/>
                <w:color w:val="1B2430"/>
                <w:sz w:val="18"/>
                <w:szCs w:val="18"/>
              </w:rPr>
              <w:t xml:space="preserve">Un mecanismo se lee como </w:t>
            </w:r>
            <w:r>
              <w:rPr>
                <w:rFonts w:ascii="Arial" w:cs="Arial" w:eastAsia="Arial" w:hAnsi="Arial"/>
                <w:b/>
                <w:bCs/>
                <w:color w:val="1B2430"/>
                <w:sz w:val="18"/>
                <w:szCs w:val="18"/>
              </w:rPr>
              <w:t xml:space="preserve">una medida y un procedimiento operando juntos y de manera sostenida</w:t>
            </w:r>
            <w:r>
              <w:rPr>
                <w:rFonts w:ascii="Arial" w:cs="Arial" w:eastAsia="Arial" w:hAnsi="Arial"/>
                <w:color w:val="1B2430"/>
                <w:sz w:val="18"/>
                <w:szCs w:val="18"/>
              </w:rPr>
              <w:t xml:space="preserve">, normalmente apoyados en un sistema o en un formato: no es una acción aislada sino un dispositivo que funciona solo, que produce un resultado periódico y que deja rastro sin que nadie tenga que acordarse de generarlo.</w:t>
            </w:r>
          </w:p>
          <w:p>
            <w:pPr>
              <w:spacing w:after="0"/>
              <w:jc w:val="both"/>
            </w:pPr>
            <w:r>
              <w:rPr>
                <w:rFonts w:ascii="Arial" w:cs="Arial" w:eastAsia="Arial" w:hAnsi="Arial"/>
                <w:color w:val="1B2430"/>
                <w:sz w:val="18"/>
                <w:szCs w:val="18"/>
              </w:rPr>
              <w:t xml:space="preserve">Consecuencia práctica: donde la norma pide mecanismo, un párrafo declarativo no basta. Hay que señalar la herramienta, la periodicidad y la salida que produce.</w:t>
            </w:r>
          </w:p>
        </w:tc>
      </w:tr>
    </w:tbl>
    <w:p>
      <w:pPr>
        <w:spacing w:after="190"/>
      </w:pPr>
    </w:p>
    <w:p>
      <w:pPr>
        <w:spacing w:after="150" w:line="300"/>
        <w:jc w:val="both"/>
      </w:pPr>
      <w:r>
        <w:rPr>
          <w:rFonts w:ascii="Georgia" w:cs="Georgia" w:eastAsia="Georgia" w:hAnsi="Georgia"/>
          <w:color w:val="1B2430"/>
          <w:sz w:val="20"/>
          <w:szCs w:val="20"/>
        </w:rPr>
        <w:t xml:space="preserve">Con eso, el vocabulario completo del artículo 37 Bis queda en seis registros: </w:t>
      </w:r>
      <w:r>
        <w:rPr>
          <w:rFonts w:ascii="Georgia" w:cs="Georgia" w:eastAsia="Georgia" w:hAnsi="Georgia"/>
          <w:b/>
          <w:bCs/>
          <w:color w:val="1B2430"/>
          <w:sz w:val="20"/>
          <w:szCs w:val="20"/>
        </w:rPr>
        <w:t xml:space="preserve">criterio, mecanismo, medida, procedimiento</w:t>
      </w:r>
      <w:r>
        <w:rPr>
          <w:rFonts w:ascii="Georgia" w:cs="Georgia" w:eastAsia="Georgia" w:hAnsi="Georgia"/>
          <w:color w:val="1B2430"/>
          <w:sz w:val="20"/>
          <w:szCs w:val="20"/>
        </w:rPr>
        <w:t xml:space="preserve">, más </w:t>
      </w:r>
      <w:r>
        <w:rPr>
          <w:rFonts w:ascii="Georgia" w:cs="Georgia" w:eastAsia="Georgia" w:hAnsi="Georgia"/>
          <w:b/>
          <w:bCs/>
          <w:color w:val="1B2430"/>
          <w:sz w:val="20"/>
          <w:szCs w:val="20"/>
        </w:rPr>
        <w:t xml:space="preserve">funciones y responsabilidades</w:t>
      </w:r>
      <w:r>
        <w:rPr>
          <w:rFonts w:ascii="Georgia" w:cs="Georgia" w:eastAsia="Georgia" w:hAnsi="Georgia"/>
          <w:color w:val="1B2430"/>
          <w:sz w:val="20"/>
          <w:szCs w:val="20"/>
        </w:rPr>
        <w:t xml:space="preserve"> en la fracción X y </w:t>
      </w:r>
      <w:r>
        <w:rPr>
          <w:rFonts w:ascii="Georgia" w:cs="Georgia" w:eastAsia="Georgia" w:hAnsi="Georgia"/>
          <w:b/>
          <w:bCs/>
          <w:color w:val="1B2430"/>
          <w:sz w:val="20"/>
          <w:szCs w:val="20"/>
        </w:rPr>
        <w:t xml:space="preserve">programas</w:t>
      </w:r>
      <w:r>
        <w:rPr>
          <w:rFonts w:ascii="Georgia" w:cs="Georgia" w:eastAsia="Georgia" w:hAnsi="Georgia"/>
          <w:color w:val="1B2430"/>
          <w:sz w:val="20"/>
          <w:szCs w:val="20"/>
        </w:rPr>
        <w:t xml:space="preserve"> en la fracción XI.</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4 · Qué tipo de texto pide cada fracción</w:t>
      </w:r>
    </w:p>
    <w:p>
      <w:pPr>
        <w:spacing w:after="200"/>
      </w:pPr>
      <w:r>
        <w:rPr>
          <w:rFonts w:ascii="Arial" w:cs="Arial" w:eastAsia="Arial" w:hAnsi="Arial"/>
          <w:i/>
          <w:iCs/>
          <w:color w:val="5A6472"/>
          <w:sz w:val="19"/>
          <w:szCs w:val="19"/>
        </w:rPr>
        <w:t xml:space="preserve">Éste es el hallazgo que más trabajo ahorra. El artículo 37 Bis no enumera catorce temas: enumera catorce temas y, en cada uno, dice qué clase de texto quiere. Escribir un criterio donde la norma pide un procedimiento es no cumplir esa fracción.</w:t>
      </w:r>
    </w:p>
    <w:tbl>
      <w:tblPr>
        <w:tblW w:type="dxa" w:w="9360"/>
        <w:tblBorders>
          <w:top w:val="single" w:color="E4E8EE" w:sz="4"/>
          <w:left w:val="none"/>
          <w:bottom w:val="single" w:color="E4E8EE" w:sz="4"/>
          <w:right w:val="none"/>
          <w:insideH w:val="single" w:color="E4E8EE" w:sz="2"/>
          <w:insideV w:val="none"/>
        </w:tblBorders>
      </w:tblPr>
      <w:tblGrid>
        <w:gridCol w:w="560"/>
        <w:gridCol w:w="3450"/>
        <w:gridCol w:w="1500"/>
        <w:gridCol w:w="3850"/>
      </w:tblGrid>
      <w:tr>
        <w:trPr>
          <w:tblHeader/>
        </w:trPr>
        <w:tc>
          <w:tcPr>
            <w:tcW w:type="dxa" w:w="5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Fr.</w:t>
            </w:r>
          </w:p>
        </w:tc>
        <w:tc>
          <w:tcPr>
            <w:tcW w:type="dxa" w:w="34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Lo que dice el RCG 37 Bis</w:t>
            </w:r>
          </w:p>
        </w:tc>
        <w:tc>
          <w:tcPr>
            <w:tcW w:type="dxa" w:w="15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Registro que pide</w:t>
            </w:r>
          </w:p>
        </w:tc>
        <w:tc>
          <w:tcPr>
            <w:tcW w:type="dxa" w:w="38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tiene que aparecer sí o sí</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I</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criterios</w:t>
            </w:r>
            <w:r>
              <w:rPr>
                <w:rFonts w:ascii="Arial" w:cs="Arial" w:eastAsia="Arial" w:hAnsi="Arial"/>
                <w:color w:val="1B2430"/>
                <w:sz w:val="17"/>
                <w:szCs w:val="17"/>
              </w:rPr>
              <w:t xml:space="preserve"> para la identificación y conocimiento de Clientes o Usuarias</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Criterio</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Umbrales, supuestos y qué documento se pide en cada caso</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II</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mecanismos</w:t>
            </w:r>
            <w:r>
              <w:rPr>
                <w:rFonts w:ascii="Arial" w:cs="Arial" w:eastAsia="Arial" w:hAnsi="Arial"/>
                <w:color w:val="1B2430"/>
                <w:sz w:val="17"/>
                <w:szCs w:val="17"/>
              </w:rPr>
              <w:t xml:space="preserve"> de clasificación de Riesgo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Mecanismo</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herramienta, la periodicidad y la salida (el grado asignado)</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III</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Las </w:t>
            </w:r>
            <w:r>
              <w:rPr>
                <w:rFonts w:ascii="Arial" w:cs="Arial" w:eastAsia="Arial" w:hAnsi="Arial"/>
                <w:b/>
                <w:bCs/>
                <w:color w:val="1B2430"/>
                <w:sz w:val="17"/>
                <w:szCs w:val="17"/>
              </w:rPr>
              <w:t xml:space="preserve">medidas</w:t>
            </w:r>
            <w:r>
              <w:rPr>
                <w:rFonts w:ascii="Arial" w:cs="Arial" w:eastAsia="Arial" w:hAnsi="Arial"/>
                <w:color w:val="1B2430"/>
                <w:sz w:val="17"/>
                <w:szCs w:val="17"/>
              </w:rPr>
              <w:t xml:space="preserve"> de debida diligencia aplicables conforme al Grado de Riesgo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Medida</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se hace de más en cada grado, enunciado por grado</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IV</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procedimientos</w:t>
            </w:r>
            <w:r>
              <w:rPr>
                <w:rFonts w:ascii="Arial" w:cs="Arial" w:eastAsia="Arial" w:hAnsi="Arial"/>
                <w:color w:val="1B2430"/>
                <w:sz w:val="17"/>
                <w:szCs w:val="17"/>
              </w:rPr>
              <w:t xml:space="preserve"> para la identificación y seguimiento reforzado de PEP</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Procedimiento</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Pasos con responsable, plazo y evidencia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V</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mecanismos</w:t>
            </w:r>
            <w:r>
              <w:rPr>
                <w:rFonts w:ascii="Arial" w:cs="Arial" w:eastAsia="Arial" w:hAnsi="Arial"/>
                <w:color w:val="1B2430"/>
                <w:sz w:val="17"/>
                <w:szCs w:val="17"/>
              </w:rPr>
              <w:t xml:space="preserve"> para detectar actos u operaciones fuera del Perfil transaccional</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Mecanismo</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sistema de alertas, sus reglas y qué genera al dispararse</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VI</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procedimientos</w:t>
            </w:r>
            <w:r>
              <w:rPr>
                <w:rFonts w:ascii="Arial" w:cs="Arial" w:eastAsia="Arial" w:hAnsi="Arial"/>
                <w:color w:val="1B2430"/>
                <w:sz w:val="17"/>
                <w:szCs w:val="17"/>
              </w:rPr>
              <w:t xml:space="preserve"> para la presentación de Avisos e Informes</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Procedimiento</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Quién arma, quién revisa, quién envía, en qué plazo, dónde queda el acuse</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VII</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mecanismos</w:t>
            </w:r>
            <w:r>
              <w:rPr>
                <w:rFonts w:ascii="Arial" w:cs="Arial" w:eastAsia="Arial" w:hAnsi="Arial"/>
                <w:color w:val="1B2430"/>
                <w:sz w:val="17"/>
                <w:szCs w:val="17"/>
              </w:rPr>
              <w:t xml:space="preserve"> de conservación de información y documentación</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Mecanismo</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Repositorio, plazos por tipo de documento y control de acceso</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VIII</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mecanismos</w:t>
            </w:r>
            <w:r>
              <w:rPr>
                <w:rFonts w:ascii="Arial" w:cs="Arial" w:eastAsia="Arial" w:hAnsi="Arial"/>
                <w:color w:val="1B2430"/>
                <w:sz w:val="17"/>
                <w:szCs w:val="17"/>
              </w:rPr>
              <w:t xml:space="preserve"> para dar seguimiento y acumular actos u operaciones</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Mecanismo</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sistema que acumula, el periodo y la alerta al alcanzar umbral</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IX</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mecanismos</w:t>
            </w:r>
            <w:r>
              <w:rPr>
                <w:rFonts w:ascii="Arial" w:cs="Arial" w:eastAsia="Arial" w:hAnsi="Arial"/>
                <w:color w:val="1B2430"/>
                <w:sz w:val="17"/>
                <w:szCs w:val="17"/>
              </w:rPr>
              <w:t xml:space="preserve"> para identificar personas en listas de autoridades u organismos internacionales</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Mecanismo</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listas, con qué frecuencia se consultan y qué se hace ante una coincidencia</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X</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Las </w:t>
            </w:r>
            <w:r>
              <w:rPr>
                <w:rFonts w:ascii="Arial" w:cs="Arial" w:eastAsia="Arial" w:hAnsi="Arial"/>
                <w:b/>
                <w:bCs/>
                <w:color w:val="1B2430"/>
                <w:sz w:val="17"/>
                <w:szCs w:val="17"/>
              </w:rPr>
              <w:t xml:space="preserve">funciones y responsabilidades</w:t>
            </w:r>
            <w:r>
              <w:rPr>
                <w:rFonts w:ascii="Arial" w:cs="Arial" w:eastAsia="Arial" w:hAnsi="Arial"/>
                <w:color w:val="1B2430"/>
                <w:sz w:val="17"/>
                <w:szCs w:val="17"/>
              </w:rPr>
              <w:t xml:space="preserve"> de la persona Representante</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Funciones</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Un listado de facultades y deberes, no un párrafo genérico</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XI</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programas</w:t>
            </w:r>
            <w:r>
              <w:rPr>
                <w:rFonts w:ascii="Arial" w:cs="Arial" w:eastAsia="Arial" w:hAnsi="Arial"/>
                <w:color w:val="1B2430"/>
                <w:sz w:val="17"/>
                <w:szCs w:val="17"/>
              </w:rPr>
              <w:t xml:space="preserve"> de capacitación</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Programa</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Destinatarios, temas, periodicidad, quién imparte y cómo se acredita</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XII</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mecanismos</w:t>
            </w:r>
            <w:r>
              <w:rPr>
                <w:rFonts w:ascii="Arial" w:cs="Arial" w:eastAsia="Arial" w:hAnsi="Arial"/>
                <w:color w:val="1B2430"/>
                <w:sz w:val="17"/>
                <w:szCs w:val="17"/>
              </w:rPr>
              <w:t xml:space="preserve"> de control interno, supervisión y auditoría</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Mecanismo</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Quién revisa a quién, cada cuándo y qué informe produce</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XIII</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Las </w:t>
            </w:r>
            <w:r>
              <w:rPr>
                <w:rFonts w:ascii="Arial" w:cs="Arial" w:eastAsia="Arial" w:hAnsi="Arial"/>
                <w:b/>
                <w:bCs/>
                <w:color w:val="1B2430"/>
                <w:sz w:val="17"/>
                <w:szCs w:val="17"/>
              </w:rPr>
              <w:t xml:space="preserve">medidas</w:t>
            </w:r>
            <w:r>
              <w:rPr>
                <w:rFonts w:ascii="Arial" w:cs="Arial" w:eastAsia="Arial" w:hAnsi="Arial"/>
                <w:color w:val="1B2430"/>
                <w:sz w:val="17"/>
                <w:szCs w:val="17"/>
              </w:rPr>
              <w:t xml:space="preserve"> para garantizar la confidencialidad de la información</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Medida</w:t>
            </w:r>
          </w:p>
        </w:tc>
        <w:tc>
          <w:tcPr>
            <w:tcW w:type="dxa" w:w="38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Controles de acceso, deber de reserva y consecuencia de su violación</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XIV</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w:t>
            </w:r>
            <w:r>
              <w:rPr>
                <w:rFonts w:ascii="Arial" w:cs="Arial" w:eastAsia="Arial" w:hAnsi="Arial"/>
                <w:b/>
                <w:bCs/>
                <w:color w:val="1B2430"/>
                <w:sz w:val="17"/>
                <w:szCs w:val="17"/>
              </w:rPr>
              <w:t xml:space="preserve">procedimientos</w:t>
            </w:r>
            <w:r>
              <w:rPr>
                <w:rFonts w:ascii="Arial" w:cs="Arial" w:eastAsia="Arial" w:hAnsi="Arial"/>
                <w:color w:val="1B2430"/>
                <w:sz w:val="17"/>
                <w:szCs w:val="17"/>
              </w:rPr>
              <w:t xml:space="preserve"> para la actualización del propio Manual</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Procedimiento</w:t>
            </w:r>
          </w:p>
        </w:tc>
        <w:tc>
          <w:tcPr>
            <w:tcW w:type="dxa" w:w="38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Disparadores, responsable, plazo y control de versiones</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12224A" w:val="clear"/>
            <w:tcMar>
              <w:top w:type="dxa" w:w="150"/>
              <w:left w:type="dxa" w:w="220"/>
              <w:bottom w:type="dxa" w:w="150"/>
              <w:right w:type="dxa" w:w="220"/>
            </w:tcMar>
          </w:tcPr>
          <w:p>
            <w:pPr>
              <w:spacing w:after="0"/>
            </w:pPr>
            <w:r>
              <w:rPr>
                <w:rFonts w:ascii="Arial" w:cs="Arial" w:eastAsia="Arial" w:hAnsi="Arial"/>
                <w:b/>
                <w:bCs/>
                <w:color w:val="F2A541"/>
                <w:sz w:val="20"/>
                <w:szCs w:val="20"/>
              </w:rPr>
              <w:t xml:space="preserve">La fracción IX es la que más se olvida. En la sesión anterior se enumeraron trece fracciones y son catorce: la que faltó fue justo ésta, la de las listas.</w:t>
            </w:r>
          </w:p>
        </w:tc>
      </w:tr>
    </w:tbl>
    <w:p>
      <w:pPr>
        <w:spacing w:after="190"/>
      </w:pPr>
    </w:p>
    <w:p>
      <w:pPr>
        <w:pStyle w:val="Heading2"/>
        <w:keepNext/>
        <w:spacing w:after="150" w:before="340"/>
      </w:pPr>
      <w:r>
        <w:rPr>
          <w:rFonts w:ascii="Georgia" w:cs="Georgia" w:eastAsia="Georgia" w:hAnsi="Georgia"/>
          <w:b/>
          <w:bCs/>
          <w:color w:val="1B2E5C"/>
          <w:sz w:val="23"/>
          <w:szCs w:val="23"/>
        </w:rPr>
        <w:t xml:space="preserve">Las tres reglas que acompañan al contenido mínimo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El Manual puede estar repartido en varios documentos.</w:t>
      </w:r>
      <w:r>
        <w:rPr>
          <w:rFonts w:ascii="Georgia" w:cs="Georgia" w:eastAsia="Georgia" w:hAnsi="Georgia"/>
          <w:color w:val="1B2430"/>
          <w:sz w:val="20"/>
          <w:szCs w:val="20"/>
        </w:rPr>
        <w:t xml:space="preserve"> Si un criterio, una medida o un procedimiento vive en otro documento, el Manual debe </w:t>
      </w:r>
      <w:r>
        <w:rPr>
          <w:rFonts w:ascii="Georgia" w:cs="Georgia" w:eastAsia="Georgia" w:hAnsi="Georgia"/>
          <w:b/>
          <w:bCs/>
          <w:color w:val="1B2430"/>
          <w:sz w:val="20"/>
          <w:szCs w:val="20"/>
        </w:rPr>
        <w:t xml:space="preserve">incluir la referencia</w:t>
      </w:r>
      <w:r>
        <w:rPr>
          <w:rFonts w:ascii="Georgia" w:cs="Georgia" w:eastAsia="Georgia" w:hAnsi="Georgia"/>
          <w:color w:val="1B2430"/>
          <w:sz w:val="20"/>
          <w:szCs w:val="20"/>
        </w:rPr>
        <w:t xml:space="preserve"> a ese documento. Lo que no puede es no estar en ninguna parte. </w:t>
      </w:r>
      <w:r>
        <w:rPr>
          <w:rFonts w:ascii="Georgia" w:cs="Georgia" w:eastAsia="Georgia" w:hAnsi="Georgia"/>
          <w:i/>
          <w:iCs/>
          <w:color w:val="1B2430"/>
          <w:sz w:val="20"/>
          <w:szCs w:val="20"/>
        </w:rPr>
        <w:t xml:space="preserve">(RCG art. 37, segundo párrafo.)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Dos cosas tienen que estar sí o sí</w:t>
      </w:r>
      <w:r>
        <w:rPr>
          <w:rFonts w:ascii="Georgia" w:cs="Georgia" w:eastAsia="Georgia" w:hAnsi="Georgia"/>
          <w:color w:val="1B2430"/>
          <w:sz w:val="20"/>
          <w:szCs w:val="20"/>
        </w:rPr>
        <w:t xml:space="preserve">, en el Manual o en el documento al que remita: el </w:t>
      </w:r>
      <w:r>
        <w:rPr>
          <w:rFonts w:ascii="Georgia" w:cs="Georgia" w:eastAsia="Georgia" w:hAnsi="Georgia"/>
          <w:b/>
          <w:bCs/>
          <w:color w:val="1B2430"/>
          <w:sz w:val="20"/>
          <w:szCs w:val="20"/>
        </w:rPr>
        <w:t xml:space="preserve">diseño de la metodología</w:t>
      </w:r>
      <w:r>
        <w:rPr>
          <w:rFonts w:ascii="Georgia" w:cs="Georgia" w:eastAsia="Georgia" w:hAnsi="Georgia"/>
          <w:color w:val="1B2430"/>
          <w:sz w:val="20"/>
          <w:szCs w:val="20"/>
        </w:rPr>
        <w:t xml:space="preserve"> de evaluación de Riesgos, y el </w:t>
      </w:r>
      <w:r>
        <w:rPr>
          <w:rFonts w:ascii="Georgia" w:cs="Georgia" w:eastAsia="Georgia" w:hAnsi="Georgia"/>
          <w:b/>
          <w:bCs/>
          <w:color w:val="1B2430"/>
          <w:sz w:val="20"/>
          <w:szCs w:val="20"/>
        </w:rPr>
        <w:t xml:space="preserve">procedimiento y criterios para la apertura, limitación o terminación</w:t>
      </w:r>
      <w:r>
        <w:rPr>
          <w:rFonts w:ascii="Georgia" w:cs="Georgia" w:eastAsia="Georgia" w:hAnsi="Georgia"/>
          <w:color w:val="1B2430"/>
          <w:sz w:val="20"/>
          <w:szCs w:val="20"/>
        </w:rPr>
        <w:t xml:space="preserve"> de relaciones con Clientes o Usuarias, congruentes con esa metodología. </w:t>
      </w:r>
      <w:r>
        <w:rPr>
          <w:rFonts w:ascii="Georgia" w:cs="Georgia" w:eastAsia="Georgia" w:hAnsi="Georgia"/>
          <w:i/>
          <w:iCs/>
          <w:color w:val="1B2430"/>
          <w:sz w:val="20"/>
          <w:szCs w:val="20"/>
        </w:rPr>
        <w:t xml:space="preserve">(RCG art. 37, tercer párrafo.)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Lo que usted no hace, se declara.</w:t>
      </w:r>
      <w:r>
        <w:rPr>
          <w:rFonts w:ascii="Georgia" w:cs="Georgia" w:eastAsia="Georgia" w:hAnsi="Georgia"/>
          <w:color w:val="1B2430"/>
          <w:sz w:val="20"/>
          <w:szCs w:val="20"/>
        </w:rPr>
        <w:t xml:space="preserve"> Si determina que no llevará a cabo actos u operaciones bajo ciertos supuestos, queda exento de escribir políticas, criterios, medidas o procedimientos para ellos, </w:t>
      </w:r>
      <w:r>
        <w:rPr>
          <w:rFonts w:ascii="Georgia" w:cs="Georgia" w:eastAsia="Georgia" w:hAnsi="Georgia"/>
          <w:b/>
          <w:bCs/>
          <w:color w:val="1B2430"/>
          <w:sz w:val="20"/>
          <w:szCs w:val="20"/>
        </w:rPr>
        <w:t xml:space="preserve">siempre que haga constar esa circunstancia en el Manual</w:t>
      </w:r>
      <w:r>
        <w:rPr>
          <w:rFonts w:ascii="Georgia" w:cs="Georgia" w:eastAsia="Georgia" w:hAnsi="Georgia"/>
          <w:color w:val="1B2430"/>
          <w:sz w:val="20"/>
          <w:szCs w:val="20"/>
        </w:rPr>
        <w:t xml:space="preserve">. La exención cae en el momento en que decida realizarlos, y entonces hay que escribirlos </w:t>
      </w:r>
      <w:r>
        <w:rPr>
          <w:rFonts w:ascii="Georgia" w:cs="Georgia" w:eastAsia="Georgia" w:hAnsi="Georgia"/>
          <w:b/>
          <w:bCs/>
          <w:color w:val="1B2430"/>
          <w:sz w:val="20"/>
          <w:szCs w:val="20"/>
        </w:rPr>
        <w:t xml:space="preserve">antes</w:t>
      </w:r>
      <w:r>
        <w:rPr>
          <w:rFonts w:ascii="Georgia" w:cs="Georgia" w:eastAsia="Georgia" w:hAnsi="Georgia"/>
          <w:color w:val="1B2430"/>
          <w:sz w:val="20"/>
          <w:szCs w:val="20"/>
        </w:rPr>
        <w:t xml:space="preserve"> de la primera operación. </w:t>
      </w:r>
      <w:r>
        <w:rPr>
          <w:rFonts w:ascii="Georgia" w:cs="Georgia" w:eastAsia="Georgia" w:hAnsi="Georgia"/>
          <w:i/>
          <w:iCs/>
          <w:color w:val="1B2430"/>
          <w:sz w:val="20"/>
          <w:szCs w:val="20"/>
        </w:rPr>
        <w:t xml:space="preserve">(RCG art. 37 Bis 2.)</w:t>
      </w:r>
    </w:p>
    <w:p>
      <w:pPr>
        <w:spacing w:after="11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El artículo más útil del capítulo y el menos conocido</w:t>
            </w:r>
          </w:p>
          <w:p>
            <w:pPr>
              <w:spacing w:after="100"/>
              <w:jc w:val="both"/>
            </w:pPr>
            <w:r>
              <w:rPr>
                <w:rFonts w:ascii="Arial" w:cs="Arial" w:eastAsia="Arial" w:hAnsi="Arial"/>
                <w:color w:val="1B2430"/>
                <w:sz w:val="18"/>
                <w:szCs w:val="18"/>
              </w:rPr>
              <w:t xml:space="preserve">El 37 Bis 2 es el que más páginas ahorra. Un despacho que no maneja efectivo, no opera con activos virtuales y no presta servicios de comercio exterior no tiene que escribir tres capítulos: tiene que escribir tres párrafos que digan que no lo hace.</w:t>
            </w:r>
          </w:p>
          <w:p>
            <w:pPr>
              <w:spacing w:after="0"/>
              <w:jc w:val="both"/>
            </w:pPr>
            <w:r>
              <w:rPr>
                <w:rFonts w:ascii="Arial" w:cs="Arial" w:eastAsia="Arial" w:hAnsi="Arial"/>
                <w:color w:val="1B2430"/>
                <w:sz w:val="18"/>
                <w:szCs w:val="18"/>
              </w:rPr>
              <w:t xml:space="preserve">Pero la declaración tiene que ser </w:t>
            </w:r>
            <w:r>
              <w:rPr>
                <w:rFonts w:ascii="Arial" w:cs="Arial" w:eastAsia="Arial" w:hAnsi="Arial"/>
                <w:b/>
                <w:bCs/>
                <w:color w:val="1B2430"/>
                <w:sz w:val="18"/>
                <w:szCs w:val="18"/>
              </w:rPr>
              <w:t xml:space="preserve">expresa y estar en el Manual</w:t>
            </w:r>
            <w:r>
              <w:rPr>
                <w:rFonts w:ascii="Arial" w:cs="Arial" w:eastAsia="Arial" w:hAnsi="Arial"/>
                <w:color w:val="1B2430"/>
                <w:sz w:val="18"/>
                <w:szCs w:val="18"/>
              </w:rPr>
              <w:t xml:space="preserve">. El silencio no es exención: si un supuesto no está escrito ni declarado como no realizado, la lectura de la autoridad será que falta el apartado.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5 · El método, en seis pasos</w:t>
      </w:r>
    </w:p>
    <w:p>
      <w:pPr>
        <w:spacing w:after="200"/>
      </w:pPr>
      <w:r>
        <w:rPr>
          <w:rFonts w:ascii="Arial" w:cs="Arial" w:eastAsia="Arial" w:hAnsi="Arial"/>
          <w:i/>
          <w:iCs/>
          <w:color w:val="5A6472"/>
          <w:sz w:val="19"/>
          <w:szCs w:val="19"/>
        </w:rPr>
        <w:t xml:space="preserve">Este es el recorrido para cualquier apartado. Se hace una vez y se repite igual catorce veces.</w:t>
      </w:r>
    </w:p>
    <w:p>
      <w:pPr>
        <w:spacing w:after="110" w:line="290"/>
        <w:ind w:left="520" w:hanging="520"/>
        <w:jc w:val="both"/>
      </w:pPr>
      <w:r>
        <w:rPr>
          <w:rFonts w:ascii="Georgia" w:cs="Georgia" w:eastAsia="Georgia" w:hAnsi="Georgia"/>
          <w:b/>
          <w:bCs/>
          <w:color w:val="B07A12"/>
          <w:sz w:val="20"/>
          <w:szCs w:val="20"/>
        </w:rPr>
        <w:t xml:space="preserve">1.   </w:t>
      </w:r>
      <w:r>
        <w:rPr>
          <w:rFonts w:ascii="Georgia" w:cs="Georgia" w:eastAsia="Georgia" w:hAnsi="Georgia"/>
          <w:b/>
          <w:bCs/>
          <w:color w:val="1B2430"/>
          <w:sz w:val="20"/>
          <w:szCs w:val="20"/>
        </w:rPr>
        <w:t xml:space="preserve">Localice el precepto y transcríbalo aparte.</w:t>
      </w:r>
      <w:r>
        <w:rPr>
          <w:rFonts w:ascii="Georgia" w:cs="Georgia" w:eastAsia="Georgia" w:hAnsi="Georgia"/>
          <w:color w:val="1B2430"/>
          <w:sz w:val="20"/>
          <w:szCs w:val="20"/>
        </w:rPr>
        <w:t xml:space="preserve"> No en el Manual: en una hoja de trabajo. Sirve para saber qué le están pidiendo, y luego se guarda como fundamento al pie del apartado.</w:t>
      </w:r>
    </w:p>
    <w:p>
      <w:pPr>
        <w:spacing w:after="110" w:line="290"/>
        <w:ind w:left="520" w:hanging="520"/>
        <w:jc w:val="both"/>
      </w:pPr>
      <w:r>
        <w:rPr>
          <w:rFonts w:ascii="Georgia" w:cs="Georgia" w:eastAsia="Georgia" w:hAnsi="Georgia"/>
          <w:b/>
          <w:bCs/>
          <w:color w:val="B07A12"/>
          <w:sz w:val="20"/>
          <w:szCs w:val="20"/>
        </w:rPr>
        <w:t xml:space="preserve">2.   </w:t>
      </w:r>
      <w:r>
        <w:rPr>
          <w:rFonts w:ascii="Georgia" w:cs="Georgia" w:eastAsia="Georgia" w:hAnsi="Georgia"/>
          <w:b/>
          <w:bCs/>
          <w:color w:val="1B2430"/>
          <w:sz w:val="20"/>
          <w:szCs w:val="20"/>
        </w:rPr>
        <w:t xml:space="preserve">Identifique el registro que pide</w:t>
      </w:r>
      <w:r>
        <w:rPr>
          <w:rFonts w:ascii="Georgia" w:cs="Georgia" w:eastAsia="Georgia" w:hAnsi="Georgia"/>
          <w:color w:val="1B2430"/>
          <w:sz w:val="20"/>
          <w:szCs w:val="20"/>
        </w:rPr>
        <w:t xml:space="preserve">, con la tabla del apartado 4. Ésa es la forma que va a tener su texto. Si pide procedimiento, va a terminar en una tabla de pasos; si pide criterio, en umbrales.</w:t>
      </w:r>
    </w:p>
    <w:p>
      <w:pPr>
        <w:spacing w:after="110" w:line="290"/>
        <w:ind w:left="520" w:hanging="520"/>
        <w:jc w:val="both"/>
      </w:pPr>
      <w:r>
        <w:rPr>
          <w:rFonts w:ascii="Georgia" w:cs="Georgia" w:eastAsia="Georgia" w:hAnsi="Georgia"/>
          <w:b/>
          <w:bCs/>
          <w:color w:val="B07A12"/>
          <w:sz w:val="20"/>
          <w:szCs w:val="20"/>
        </w:rPr>
        <w:t xml:space="preserve">3.   </w:t>
      </w:r>
      <w:r>
        <w:rPr>
          <w:rFonts w:ascii="Georgia" w:cs="Georgia" w:eastAsia="Georgia" w:hAnsi="Georgia"/>
          <w:b/>
          <w:bCs/>
          <w:color w:val="1B2430"/>
          <w:sz w:val="20"/>
          <w:szCs w:val="20"/>
        </w:rPr>
        <w:t xml:space="preserve">Describa lo que hoy hace de verdad.</w:t>
      </w:r>
      <w:r>
        <w:rPr>
          <w:rFonts w:ascii="Georgia" w:cs="Georgia" w:eastAsia="Georgia" w:hAnsi="Georgia"/>
          <w:color w:val="1B2430"/>
          <w:sz w:val="20"/>
          <w:szCs w:val="20"/>
        </w:rPr>
        <w:t xml:space="preserve"> En bruto, sin redactar. Quién lo hace, con qué, cada cuándo, dónde queda. Aquí es donde aparecen los huecos: si no puede describirlo, es que no existe, y entonces el apartado no se redacta — se diseña primero y se redacta después.</w:t>
      </w:r>
    </w:p>
    <w:p>
      <w:pPr>
        <w:spacing w:after="110" w:line="290"/>
        <w:ind w:left="520" w:hanging="520"/>
        <w:jc w:val="both"/>
      </w:pPr>
      <w:r>
        <w:rPr>
          <w:rFonts w:ascii="Georgia" w:cs="Georgia" w:eastAsia="Georgia" w:hAnsi="Georgia"/>
          <w:b/>
          <w:bCs/>
          <w:color w:val="B07A12"/>
          <w:sz w:val="20"/>
          <w:szCs w:val="20"/>
        </w:rPr>
        <w:t xml:space="preserve">4.   </w:t>
      </w:r>
      <w:r>
        <w:rPr>
          <w:rFonts w:ascii="Georgia" w:cs="Georgia" w:eastAsia="Georgia" w:hAnsi="Georgia"/>
          <w:b/>
          <w:bCs/>
          <w:color w:val="1B2430"/>
          <w:sz w:val="20"/>
          <w:szCs w:val="20"/>
        </w:rPr>
        <w:t xml:space="preserve">Contraste contra la metodología de riesgos.</w:t>
      </w:r>
      <w:r>
        <w:rPr>
          <w:rFonts w:ascii="Georgia" w:cs="Georgia" w:eastAsia="Georgia" w:hAnsi="Georgia"/>
          <w:color w:val="1B2430"/>
          <w:sz w:val="20"/>
          <w:szCs w:val="20"/>
        </w:rPr>
        <w:t xml:space="preserve"> Si su matriz identificó un riesgo alto en este tema, el control tiene que ser más estricto que el mínimo legal, y el Manual tiene que decir por qué. Si es de riesgo bajo, se puede quedar en el mínimo, y también hay que decirlo.</w:t>
      </w:r>
    </w:p>
    <w:p>
      <w:pPr>
        <w:spacing w:after="110" w:line="290"/>
        <w:ind w:left="520" w:hanging="520"/>
        <w:jc w:val="both"/>
      </w:pPr>
      <w:r>
        <w:rPr>
          <w:rFonts w:ascii="Georgia" w:cs="Georgia" w:eastAsia="Georgia" w:hAnsi="Georgia"/>
          <w:b/>
          <w:bCs/>
          <w:color w:val="B07A12"/>
          <w:sz w:val="20"/>
          <w:szCs w:val="20"/>
        </w:rPr>
        <w:t xml:space="preserve">5.   </w:t>
      </w:r>
      <w:r>
        <w:rPr>
          <w:rFonts w:ascii="Georgia" w:cs="Georgia" w:eastAsia="Georgia" w:hAnsi="Georgia"/>
          <w:b/>
          <w:bCs/>
          <w:color w:val="1B2430"/>
          <w:sz w:val="20"/>
          <w:szCs w:val="20"/>
        </w:rPr>
        <w:t xml:space="preserve">Escriba los cuatro escalones</w:t>
      </w:r>
      <w:r>
        <w:rPr>
          <w:rFonts w:ascii="Georgia" w:cs="Georgia" w:eastAsia="Georgia" w:hAnsi="Georgia"/>
          <w:color w:val="1B2430"/>
          <w:sz w:val="20"/>
          <w:szCs w:val="20"/>
        </w:rPr>
        <w:t xml:space="preserve">, en orden: política, criterio, medida, procedimiento. La política sale de la decisión de la casa; el criterio, de las discusiones que ese tema ya les ha provocado; la medida, del paso 3; el procedimiento, del paso 3 puesto en tabla.</w:t>
      </w:r>
    </w:p>
    <w:p>
      <w:pPr>
        <w:spacing w:after="110" w:line="290"/>
        <w:ind w:left="520" w:hanging="520"/>
        <w:jc w:val="both"/>
      </w:pPr>
      <w:r>
        <w:rPr>
          <w:rFonts w:ascii="Georgia" w:cs="Georgia" w:eastAsia="Georgia" w:hAnsi="Georgia"/>
          <w:b/>
          <w:bCs/>
          <w:color w:val="B07A12"/>
          <w:sz w:val="20"/>
          <w:szCs w:val="20"/>
        </w:rPr>
        <w:t xml:space="preserve">6.   </w:t>
      </w:r>
      <w:r>
        <w:rPr>
          <w:rFonts w:ascii="Georgia" w:cs="Georgia" w:eastAsia="Georgia" w:hAnsi="Georgia"/>
          <w:b/>
          <w:bCs/>
          <w:color w:val="1B2430"/>
          <w:sz w:val="20"/>
          <w:szCs w:val="20"/>
        </w:rPr>
        <w:t xml:space="preserve">Cierre con la evidencia.</w:t>
      </w:r>
      <w:r>
        <w:rPr>
          <w:rFonts w:ascii="Georgia" w:cs="Georgia" w:eastAsia="Georgia" w:hAnsi="Georgia"/>
          <w:color w:val="1B2430"/>
          <w:sz w:val="20"/>
          <w:szCs w:val="20"/>
        </w:rPr>
        <w:t xml:space="preserve"> Qué documento, registro, bitácora o acuse prueba que este apartado se aplicó. Si la respuesta es «ninguno», el apartado no sirve: vuelva al paso 3.</w:t>
      </w:r>
    </w:p>
    <w:p>
      <w:pPr>
        <w:spacing w:after="110"/>
      </w:pP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El paso 3 es donde se rompe el ejercicio, y es el que no se puede saltar. Un manual escrito sin él describe una empresa que no existe.</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6 · Modelo completo · Fracción IV, Personas Políticamente Expuestas</w:t>
      </w:r>
    </w:p>
    <w:p>
      <w:pPr>
        <w:spacing w:after="200"/>
      </w:pPr>
      <w:r>
        <w:rPr>
          <w:rFonts w:ascii="Arial" w:cs="Arial" w:eastAsia="Arial" w:hAnsi="Arial"/>
          <w:i/>
          <w:iCs/>
          <w:color w:val="5A6472"/>
          <w:sz w:val="19"/>
          <w:szCs w:val="19"/>
        </w:rPr>
        <w:t xml:space="preserve">Se desarrolla ésta porque es la única fracción del contenido mínimo que la Ley menciona por su nombre, y porque las Reglas remiten al Manual tres veces en el mismo capítulo. Es el caso más claro de una obligación que la norma no resuelve: la resuelve usted, por escrito.</w:t>
      </w:r>
    </w:p>
    <w:p>
      <w:pPr>
        <w:pStyle w:val="Heading2"/>
        <w:keepNext/>
        <w:spacing w:after="150" w:before="340"/>
      </w:pPr>
      <w:r>
        <w:rPr>
          <w:rFonts w:ascii="Georgia" w:cs="Georgia" w:eastAsia="Georgia" w:hAnsi="Georgia"/>
          <w:b/>
          <w:bCs/>
          <w:color w:val="1B2E5C"/>
          <w:sz w:val="23"/>
          <w:szCs w:val="23"/>
        </w:rPr>
        <w:t xml:space="preserve">Paso 1 · Los preceptos</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Los </w:t>
            </w:r>
            <w:r>
              <w:rPr>
                <w:rFonts w:ascii="Georgia" w:cs="Georgia" w:eastAsia="Georgia" w:hAnsi="Georgia"/>
                <w:b/>
                <w:bCs/>
                <w:i/>
                <w:iCs/>
                <w:color w:val="12224A"/>
                <w:sz w:val="20"/>
                <w:szCs w:val="20"/>
              </w:rPr>
              <w:t xml:space="preserve">procedimientos</w:t>
            </w:r>
            <w:r>
              <w:rPr>
                <w:rFonts w:ascii="Georgia" w:cs="Georgia" w:eastAsia="Georgia" w:hAnsi="Georgia"/>
                <w:i/>
                <w:iCs/>
                <w:color w:val="12224A"/>
                <w:sz w:val="20"/>
                <w:szCs w:val="20"/>
              </w:rPr>
              <w:t xml:space="preserve"> para la identificación y seguimiento reforzado de Personas Políticamente Expuestas.</w:t>
            </w:r>
          </w:p>
          <w:p>
            <w:pPr>
              <w:spacing w:after="0"/>
            </w:pPr>
            <w:r>
              <w:rPr>
                <w:rFonts w:ascii="Arial" w:cs="Arial" w:eastAsia="Arial" w:hAnsi="Arial"/>
                <w:color w:val="5A6472"/>
                <w:sz w:val="16"/>
                <w:szCs w:val="16"/>
              </w:rPr>
              <w:t xml:space="preserve">RCG art. 37 Bis, fracción IV</w:t>
            </w:r>
          </w:p>
        </w:tc>
      </w:tr>
    </w:tbl>
    <w:p>
      <w:pPr>
        <w:spacing w:after="170"/>
      </w:pP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Para los casos en que […] detecten que la persona que pretenda ser Cliente o Usuaria o que ya lo sea […] reúne los requisitos para ser considerada Persona Políticamente Expuesta y, además, con Grado de Riesgo alto deberá, </w:t>
            </w:r>
            <w:r>
              <w:rPr>
                <w:rFonts w:ascii="Georgia" w:cs="Georgia" w:eastAsia="Georgia" w:hAnsi="Georgia"/>
                <w:b/>
                <w:bCs/>
                <w:i/>
                <w:iCs/>
                <w:color w:val="12224A"/>
                <w:sz w:val="20"/>
                <w:szCs w:val="20"/>
              </w:rPr>
              <w:t xml:space="preserve">de acuerdo con lo que al efecto se establezca en su Manual de Políticas Internas</w:t>
            </w:r>
            <w:r>
              <w:rPr>
                <w:rFonts w:ascii="Georgia" w:cs="Georgia" w:eastAsia="Georgia" w:hAnsi="Georgia"/>
                <w:i/>
                <w:iCs/>
                <w:color w:val="12224A"/>
                <w:sz w:val="20"/>
                <w:szCs w:val="20"/>
              </w:rPr>
              <w:t xml:space="preserve">, obtener la aprobación de un directivo o su equivalente que consienta los actos u operaciones respectivos.
Cuando quien realice la Actividad Vulnerable sea una persona física, la aprobación referida en el párrafo anterior </w:t>
            </w:r>
            <w:r>
              <w:rPr>
                <w:rFonts w:ascii="Georgia" w:cs="Georgia" w:eastAsia="Georgia" w:hAnsi="Georgia"/>
                <w:b/>
                <w:bCs/>
                <w:i/>
                <w:iCs/>
                <w:color w:val="12224A"/>
                <w:sz w:val="20"/>
                <w:szCs w:val="20"/>
              </w:rPr>
              <w:t xml:space="preserve">se subsanará con una constancia</w:t>
            </w:r>
            <w:r>
              <w:rPr>
                <w:rFonts w:ascii="Georgia" w:cs="Georgia" w:eastAsia="Georgia" w:hAnsi="Georgia"/>
                <w:i/>
                <w:iCs/>
                <w:color w:val="12224A"/>
                <w:sz w:val="20"/>
                <w:szCs w:val="20"/>
              </w:rPr>
              <w:t xml:space="preserve"> en la que señale los motivos que consideró para realizar el acto u operación y documentarlo, si fuera el caso, en términos de lo que establezca en su Manual de Políticas Internas.</w:t>
            </w:r>
          </w:p>
          <w:p>
            <w:pPr>
              <w:spacing w:after="0"/>
            </w:pPr>
            <w:r>
              <w:rPr>
                <w:rFonts w:ascii="Arial" w:cs="Arial" w:eastAsia="Arial" w:hAnsi="Arial"/>
                <w:color w:val="5A6472"/>
                <w:sz w:val="16"/>
                <w:szCs w:val="16"/>
              </w:rPr>
              <w:t xml:space="preserve">RCG art. 23 Ter 5, párrafos primero y segundo</w:t>
            </w:r>
          </w:p>
        </w:tc>
      </w:tr>
    </w:tbl>
    <w:p>
      <w:pPr>
        <w:spacing w:after="17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Lea otra vez la frase intermedia</w:t>
            </w:r>
          </w:p>
          <w:p>
            <w:pPr>
              <w:spacing w:after="100"/>
              <w:jc w:val="both"/>
            </w:pPr>
            <w:r>
              <w:rPr>
                <w:rFonts w:ascii="Arial" w:cs="Arial" w:eastAsia="Arial" w:hAnsi="Arial"/>
                <w:color w:val="1B2430"/>
                <w:sz w:val="18"/>
                <w:szCs w:val="18"/>
              </w:rPr>
              <w:t xml:space="preserve">«</w:t>
            </w:r>
            <w:r>
              <w:rPr>
                <w:rFonts w:ascii="Arial" w:cs="Arial" w:eastAsia="Arial" w:hAnsi="Arial"/>
                <w:b/>
                <w:bCs/>
                <w:color w:val="1B2430"/>
                <w:sz w:val="18"/>
                <w:szCs w:val="18"/>
              </w:rPr>
              <w:t xml:space="preserve">De acuerdo con lo que al efecto se establezca en su Manual de Políticas Internas.</w:t>
            </w:r>
            <w:r>
              <w:rPr>
                <w:rFonts w:ascii="Arial" w:cs="Arial" w:eastAsia="Arial" w:hAnsi="Arial"/>
                <w:color w:val="1B2430"/>
                <w:sz w:val="18"/>
                <w:szCs w:val="18"/>
              </w:rPr>
              <w:t xml:space="preserve">» La norma no dice qué directivo, ni con qué formato, ni en qué plazo, ni qué pasa si el directivo no aprueba. Delega esas cuatro decisiones en usted, y sólo son exigibles porque usted las escribió.</w:t>
            </w:r>
          </w:p>
          <w:p>
            <w:pPr>
              <w:spacing w:after="0"/>
              <w:jc w:val="both"/>
            </w:pPr>
            <w:r>
              <w:rPr>
                <w:rFonts w:ascii="Arial" w:cs="Arial" w:eastAsia="Arial" w:hAnsi="Arial"/>
                <w:color w:val="1B2430"/>
                <w:sz w:val="18"/>
                <w:szCs w:val="18"/>
              </w:rPr>
              <w:t xml:space="preserve">Ésa es la prueba de que el Manual no es un trámite documental. En este tema, </w:t>
            </w:r>
            <w:r>
              <w:rPr>
                <w:rFonts w:ascii="Arial" w:cs="Arial" w:eastAsia="Arial" w:hAnsi="Arial"/>
                <w:b/>
                <w:bCs/>
                <w:color w:val="1B2430"/>
                <w:sz w:val="18"/>
                <w:szCs w:val="18"/>
              </w:rPr>
              <w:t xml:space="preserve">el Manual es la norma aplicable.</w:t>
            </w:r>
          </w:p>
        </w:tc>
      </w:tr>
    </w:tbl>
    <w:p>
      <w:pPr>
        <w:spacing w:after="190"/>
      </w:pPr>
    </w:p>
    <w:p>
      <w:pPr>
        <w:pStyle w:val="Heading2"/>
        <w:keepNext/>
        <w:spacing w:after="150" w:before="340"/>
      </w:pPr>
      <w:r>
        <w:rPr>
          <w:rFonts w:ascii="Georgia" w:cs="Georgia" w:eastAsia="Georgia" w:hAnsi="Georgia"/>
          <w:b/>
          <w:bCs/>
          <w:color w:val="1B2E5C"/>
          <w:sz w:val="23"/>
          <w:szCs w:val="23"/>
        </w:rPr>
        <w:t xml:space="preserve">Paso 2 · El registro que pide</w:t>
      </w:r>
    </w:p>
    <w:p>
      <w:pPr>
        <w:spacing w:after="150" w:line="300"/>
        <w:jc w:val="both"/>
      </w:pPr>
      <w:r>
        <w:rPr>
          <w:rFonts w:ascii="Georgia" w:cs="Georgia" w:eastAsia="Georgia" w:hAnsi="Georgia"/>
          <w:color w:val="1B2430"/>
          <w:sz w:val="20"/>
          <w:szCs w:val="20"/>
        </w:rPr>
        <w:t xml:space="preserve">Procedimiento. De modo que este apartado tiene que terminar en una tabla de pasos con responsable, plazo y evidencia — no en un párrafo que diga que se aplicarán medidas reforzadas.</w:t>
      </w:r>
    </w:p>
    <w:p>
      <w:pPr>
        <w:pStyle w:val="Heading2"/>
        <w:keepNext/>
        <w:spacing w:after="150" w:before="340"/>
      </w:pPr>
      <w:r>
        <w:rPr>
          <w:rFonts w:ascii="Georgia" w:cs="Georgia" w:eastAsia="Georgia" w:hAnsi="Georgia"/>
          <w:b/>
          <w:bCs/>
          <w:color w:val="1B2E5C"/>
          <w:sz w:val="23"/>
          <w:szCs w:val="23"/>
        </w:rPr>
        <w:t xml:space="preserve">Paso 3 y 4 · Lo que se hace, contrastado con la metodología</w:t>
      </w:r>
    </w:p>
    <w:p>
      <w:pPr>
        <w:spacing w:after="150" w:line="300"/>
        <w:jc w:val="both"/>
      </w:pPr>
      <w:r>
        <w:rPr>
          <w:rFonts w:ascii="Georgia" w:cs="Georgia" w:eastAsia="Georgia" w:hAnsi="Georgia"/>
          <w:color w:val="1B2430"/>
          <w:sz w:val="20"/>
          <w:szCs w:val="20"/>
        </w:rPr>
        <w:t xml:space="preserve">Aquí va el trabajo propio de cada casa. Lo que sigue supone una empresa de tamaño medio, con área de cumplimiento de una persona, que en su matriz identificó exposición media en clientes y alta en el canal de contratación remota.</w:t>
      </w:r>
    </w:p>
    <w:p>
      <w:pPr>
        <w:pStyle w:val="Heading2"/>
        <w:keepNext/>
        <w:spacing w:after="150" w:before="340"/>
      </w:pPr>
      <w:r>
        <w:rPr>
          <w:rFonts w:ascii="Georgia" w:cs="Georgia" w:eastAsia="Georgia" w:hAnsi="Georgia"/>
          <w:b/>
          <w:bCs/>
          <w:color w:val="1B2E5C"/>
          <w:sz w:val="23"/>
          <w:szCs w:val="23"/>
        </w:rPr>
        <w:t xml:space="preserve">Paso 5 · Los cuatro escalones</w:t>
      </w:r>
    </w:p>
    <w:p>
      <w:pPr>
        <w:pStyle w:val="Heading3"/>
        <w:keepNext/>
        <w:spacing w:after="110" w:before="250"/>
      </w:pPr>
      <w:r>
        <w:rPr>
          <w:rFonts w:ascii="Georgia" w:cs="Georgia" w:eastAsia="Georgia" w:hAnsi="Georgia"/>
          <w:b/>
          <w:bCs/>
          <w:color w:val="B07A12"/>
          <w:sz w:val="20"/>
          <w:szCs w:val="20"/>
        </w:rPr>
        <w:t xml:space="preserve">Política</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0"/>
              <w:jc w:val="both"/>
            </w:pPr>
            <w:r>
              <w:rPr>
                <w:rFonts w:ascii="Arial" w:cs="Arial" w:eastAsia="Arial" w:hAnsi="Arial"/>
                <w:color w:val="1B2430"/>
                <w:sz w:val="18"/>
                <w:szCs w:val="18"/>
              </w:rPr>
              <w:t xml:space="preserve">«Esta empresa acepta relacionarse con Personas Políticamente Expuestas. No las rechaza por esa condición, y tampoco las trata como clientes ordinarios: toda operación con una Persona Políticamente Expuesta se somete al régimen reforzado de este numeral, y ninguna se ejecuta antes de que el régimen se haya cumplido.»</w:t>
            </w:r>
          </w:p>
        </w:tc>
      </w:tr>
    </w:tbl>
    <w:p>
      <w:pPr>
        <w:spacing w:after="190"/>
      </w:pPr>
    </w:p>
    <w:p>
      <w:pPr>
        <w:pStyle w:val="Heading3"/>
        <w:keepNext/>
        <w:spacing w:after="110" w:before="250"/>
      </w:pPr>
      <w:r>
        <w:rPr>
          <w:rFonts w:ascii="Georgia" w:cs="Georgia" w:eastAsia="Georgia" w:hAnsi="Georgia"/>
          <w:b/>
          <w:bCs/>
          <w:color w:val="B07A12"/>
          <w:sz w:val="20"/>
          <w:szCs w:val="20"/>
        </w:rPr>
        <w:t xml:space="preserve">Criterios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Quién es Persona Políticamente Expuesta</w:t>
      </w:r>
      <w:r>
        <w:rPr>
          <w:rFonts w:ascii="Georgia" w:cs="Georgia" w:eastAsia="Georgia" w:hAnsi="Georgia"/>
          <w:color w:val="1B2430"/>
          <w:sz w:val="20"/>
          <w:szCs w:val="20"/>
        </w:rPr>
        <w:t xml:space="preserve"> para efectos de este Manual, y por cuánto tiempo lo sigue siendo después de dejar el cargo.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Qué fuentes se consultan y en qué orden</w:t>
      </w:r>
      <w:r>
        <w:rPr>
          <w:rFonts w:ascii="Georgia" w:cs="Georgia" w:eastAsia="Georgia" w:hAnsi="Georgia"/>
          <w:color w:val="1B2430"/>
          <w:sz w:val="20"/>
          <w:szCs w:val="20"/>
        </w:rPr>
        <w:t xml:space="preserve">: la declaración del propio Cliente en el formato de alta, la Lista de Personas Políticamente Expuestas de la UIF y, cuando la duda subsista, la consulta prevista en el artículo 45 Ter del Reglamento.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Qué se hace ante una coincidencia parcial de nombre</w:t>
      </w:r>
      <w:r>
        <w:rPr>
          <w:rFonts w:ascii="Georgia" w:cs="Georgia" w:eastAsia="Georgia" w:hAnsi="Georgia"/>
          <w:color w:val="1B2430"/>
          <w:sz w:val="20"/>
          <w:szCs w:val="20"/>
        </w:rPr>
        <w:t xml:space="preserve">: quién decide si hay identidad, con qué datos adicionales y en cuánto tiempo.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Quién es «directivo o su equivalente»</w:t>
      </w:r>
      <w:r>
        <w:rPr>
          <w:rFonts w:ascii="Georgia" w:cs="Georgia" w:eastAsia="Georgia" w:hAnsi="Georgia"/>
          <w:color w:val="1B2430"/>
          <w:sz w:val="20"/>
          <w:szCs w:val="20"/>
        </w:rPr>
        <w:t xml:space="preserve"> en esta empresa, dicho por cargo y no por nombre, y quién lo suple en su ausencia.</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Qué pasa si el directivo no aprueba</w:t>
      </w:r>
      <w:r>
        <w:rPr>
          <w:rFonts w:ascii="Georgia" w:cs="Georgia" w:eastAsia="Georgia" w:hAnsi="Georgia"/>
          <w:color w:val="1B2430"/>
          <w:sz w:val="20"/>
          <w:szCs w:val="20"/>
        </w:rPr>
        <w:t xml:space="preserve">: la operación no se ejecuta, quién le informa al Cliente y en qué términos, y dónde se registra la negativa.</w:t>
      </w:r>
    </w:p>
    <w:p>
      <w:pPr>
        <w:spacing w:after="110"/>
      </w:pPr>
    </w:p>
    <w:p>
      <w:pPr>
        <w:pStyle w:val="Heading3"/>
        <w:keepNext/>
        <w:spacing w:after="110" w:before="250"/>
      </w:pPr>
      <w:r>
        <w:rPr>
          <w:rFonts w:ascii="Georgia" w:cs="Georgia" w:eastAsia="Georgia" w:hAnsi="Georgia"/>
          <w:b/>
          <w:bCs/>
          <w:color w:val="B07A12"/>
          <w:sz w:val="20"/>
          <w:szCs w:val="20"/>
        </w:rPr>
        <w:t xml:space="preserve">Medidas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El formato de alta incorpora la declaración de Persona Políticamente Expuesta, con la lista de cargos y el alcance a cónyuge, dependientes económicos y personas con vínculo patrimonial.</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La consulta a la Lista queda registrada con fecha, hora y resultado, se localice o no coincidencia.</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El expediente de la Persona Políticamente Expuesta con Grado de Riesgo alto no puede cerrarse en el sistema sin el documento de aprobación cargado.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La revisión del Perfil transaccional de estos Clientes se practica cada tres meses, y no cada seis, por decisión propia derivada de la matriz.</w:t>
      </w:r>
    </w:p>
    <w:p>
      <w:pPr>
        <w:spacing w:after="110"/>
      </w:pPr>
    </w:p>
    <w:p>
      <w:pPr>
        <w:pStyle w:val="Heading3"/>
        <w:keepNext/>
        <w:spacing w:after="110" w:before="250"/>
      </w:pPr>
      <w:r>
        <w:rPr>
          <w:rFonts w:ascii="Georgia" w:cs="Georgia" w:eastAsia="Georgia" w:hAnsi="Georgia"/>
          <w:b/>
          <w:bCs/>
          <w:color w:val="B07A12"/>
          <w:sz w:val="20"/>
          <w:szCs w:val="20"/>
        </w:rPr>
        <w:t xml:space="preserve">Procedimiento</w:t>
      </w:r>
    </w:p>
    <w:tbl>
      <w:tblPr>
        <w:tblW w:type="dxa" w:w="9360"/>
        <w:tblBorders>
          <w:top w:val="single" w:color="E4E8EE" w:sz="4"/>
          <w:left w:val="none"/>
          <w:bottom w:val="single" w:color="E4E8EE" w:sz="4"/>
          <w:right w:val="none"/>
          <w:insideH w:val="single" w:color="E4E8EE" w:sz="2"/>
          <w:insideV w:val="none"/>
        </w:tblBorders>
      </w:tblPr>
      <w:tblGrid>
        <w:gridCol w:w="420"/>
        <w:gridCol w:w="3050"/>
        <w:gridCol w:w="1550"/>
        <w:gridCol w:w="1500"/>
        <w:gridCol w:w="2840"/>
      </w:tblGrid>
      <w:tr>
        <w:trPr>
          <w:tblHeader/>
        </w:trPr>
        <w:tc>
          <w:tcPr>
            <w:tcW w:type="dxa" w:w="42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w:t>
            </w:r>
          </w:p>
        </w:tc>
        <w:tc>
          <w:tcPr>
            <w:tcW w:type="dxa" w:w="30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Paso</w:t>
            </w:r>
          </w:p>
        </w:tc>
        <w:tc>
          <w:tcPr>
            <w:tcW w:type="dxa" w:w="15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Responsable</w:t>
            </w:r>
          </w:p>
        </w:tc>
        <w:tc>
          <w:tcPr>
            <w:tcW w:type="dxa" w:w="15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Plazo</w:t>
            </w:r>
          </w:p>
        </w:tc>
        <w:tc>
          <w:tcPr>
            <w:tcW w:type="dxa" w:w="284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Evidencia que deja</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1</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Recabar la declaración de Persona Políticamente Expuesta en el formato de alta</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Quien atiende al Cliente</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Antes de la primera operación</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Formato de alta firmado</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2</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Consultar la Lista de la UIF y dejar constancia del resultado</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Mismo día del alta</w:t>
            </w:r>
          </w:p>
        </w:tc>
        <w:tc>
          <w:tcPr>
            <w:tcW w:type="dxa" w:w="284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Captura o acuse de la consulta, con fecha y hora</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3</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Resolver la coincidencia parcial, si la hubo</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2 días hábiles</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Nota de resolución en el expediente</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4</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Asignar Grado de Riesgo conforme al Capítulo III Bis</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Mismo día</w:t>
            </w:r>
          </w:p>
        </w:tc>
        <w:tc>
          <w:tcPr>
            <w:tcW w:type="dxa" w:w="284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Cédula de calificación del Cliente</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5</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Si es alto: aplicar el cuestionario reforzado de origen y destino de recursos</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Antes de la operación</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Cuestionario firmado o con Firma Electrónica</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6</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Solicitar la aprobación del directivo</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Antes de la operación</w:t>
            </w:r>
          </w:p>
        </w:tc>
        <w:tc>
          <w:tcPr>
            <w:tcW w:type="dxa" w:w="284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Formato del RCG 23 Ter 5</w:t>
            </w:r>
            <w:r>
              <w:rPr>
                <w:rFonts w:ascii="Arial" w:cs="Arial" w:eastAsia="Arial" w:hAnsi="Arial"/>
                <w:color w:val="1B2430"/>
                <w:sz w:val="17"/>
                <w:szCs w:val="17"/>
              </w:rPr>
              <w:t xml:space="preserve">, entregable 03 de esta sesión</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7</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Ejecutar u ordenar la no ejecución, según la respuesta</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Dirección de operaciones</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24 h desde la respuesta</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Orden de operación, o registro de la negativa</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8</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Revisar el Perfil transaccional</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Cada 3 meses</w:t>
            </w:r>
          </w:p>
        </w:tc>
        <w:tc>
          <w:tcPr>
            <w:tcW w:type="dxa" w:w="284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Cédula de revisión</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9</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Resguardar todo lo anterior</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Al cierre de cada paso</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Expediente completo, 10 años desde la operación</w:t>
            </w:r>
          </w:p>
        </w:tc>
      </w:tr>
    </w:tbl>
    <w:p>
      <w:pPr>
        <w:spacing w:after="200"/>
      </w:pPr>
    </w:p>
    <w:p>
      <w:pPr>
        <w:pStyle w:val="Heading2"/>
        <w:keepNext/>
        <w:spacing w:after="150" w:before="340"/>
      </w:pPr>
      <w:r>
        <w:rPr>
          <w:rFonts w:ascii="Georgia" w:cs="Georgia" w:eastAsia="Georgia" w:hAnsi="Georgia"/>
          <w:b/>
          <w:bCs/>
          <w:color w:val="1B2E5C"/>
          <w:sz w:val="23"/>
          <w:szCs w:val="23"/>
        </w:rPr>
        <w:t xml:space="preserve">Paso 6 · La evidencia del apartado</w:t>
      </w:r>
    </w:p>
    <w:p>
      <w:pPr>
        <w:spacing w:after="150" w:line="300"/>
        <w:jc w:val="both"/>
      </w:pPr>
      <w:r>
        <w:rPr>
          <w:rFonts w:ascii="Georgia" w:cs="Georgia" w:eastAsia="Georgia" w:hAnsi="Georgia"/>
          <w:color w:val="1B2430"/>
          <w:sz w:val="20"/>
          <w:szCs w:val="20"/>
        </w:rPr>
        <w:t xml:space="preserve">Nueve pasos, nueve rastros. Si la autoridad pregunta cómo aplica esta empresa el régimen de Personas Políticamente Expuestas, la respuesta no es el texto del Manual: son los nueve documentos. </w:t>
      </w:r>
      <w:r>
        <w:rPr>
          <w:rFonts w:ascii="Georgia" w:cs="Georgia" w:eastAsia="Georgia" w:hAnsi="Georgia"/>
          <w:b/>
          <w:bCs/>
          <w:color w:val="1B2430"/>
          <w:sz w:val="20"/>
          <w:szCs w:val="20"/>
        </w:rPr>
        <w:t xml:space="preserve">El texto sólo sirve para saber cuáles pedir.</w:t>
      </w:r>
    </w:p>
    <w:tbl>
      <w:tblPr>
        <w:tblW w:type="dxa" w:w="9360"/>
        <w:tblBorders>
          <w:top w:val="none"/>
          <w:left w:val="none"/>
          <w:bottom w:val="none"/>
          <w:right w:val="none"/>
          <w:insideH w:val="none"/>
          <w:insideV w:val="none"/>
        </w:tblBorders>
      </w:tblPr>
      <w:tblGrid>
        <w:gridCol w:w="9360"/>
      </w:tblGrid>
      <w:tr>
        <w:tc>
          <w:tcPr>
            <w:tcW w:type="dxa" w:w="9360"/>
            <w:shd w:fill="12224A" w:val="clear"/>
            <w:tcMar>
              <w:top w:type="dxa" w:w="150"/>
              <w:left w:type="dxa" w:w="220"/>
              <w:bottom w:type="dxa" w:w="150"/>
              <w:right w:type="dxa" w:w="220"/>
            </w:tcMar>
          </w:tcPr>
          <w:p>
            <w:pPr>
              <w:spacing w:after="0"/>
            </w:pPr>
            <w:r>
              <w:rPr>
                <w:rFonts w:ascii="Arial" w:cs="Arial" w:eastAsia="Arial" w:hAnsi="Arial"/>
                <w:b/>
                <w:bCs/>
                <w:color w:val="F2A541"/>
                <w:sz w:val="20"/>
                <w:szCs w:val="20"/>
              </w:rPr>
              <w:t xml:space="preserve">Compare el apartado que acaba de leer con la frase que trae la mayoría de los manuales: «se aplicarán medidas de debida diligencia reforzada a las Personas Políticamente Expuestas conforme a la normatividad aplicable». Las dos ocupan una página. Sólo una se puede ejecutar.</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7 · Segundo modelo, abreviado · Fracción VIII, acumulación</w:t>
      </w:r>
    </w:p>
    <w:p>
      <w:pPr>
        <w:spacing w:after="200"/>
      </w:pPr>
      <w:r>
        <w:rPr>
          <w:rFonts w:ascii="Arial" w:cs="Arial" w:eastAsia="Arial" w:hAnsi="Arial"/>
          <w:i/>
          <w:iCs/>
          <w:color w:val="5A6472"/>
          <w:sz w:val="19"/>
          <w:szCs w:val="19"/>
        </w:rPr>
        <w:t xml:space="preserve">El mismo método sobre un tema de sistema, para ver que no cambia. Aquí la norma pide mecanismo, no procedimiento, y eso altera la forma del texto.</w:t>
      </w:r>
    </w:p>
    <w:p>
      <w:pPr>
        <w:pStyle w:val="Heading2"/>
        <w:keepNext/>
        <w:spacing w:after="150" w:before="340"/>
      </w:pPr>
      <w:r>
        <w:rPr>
          <w:rFonts w:ascii="Georgia" w:cs="Georgia" w:eastAsia="Georgia" w:hAnsi="Georgia"/>
          <w:b/>
          <w:bCs/>
          <w:color w:val="1B2E5C"/>
          <w:sz w:val="23"/>
          <w:szCs w:val="23"/>
        </w:rPr>
        <w:t xml:space="preserve">El precepto</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Los </w:t>
            </w:r>
            <w:r>
              <w:rPr>
                <w:rFonts w:ascii="Georgia" w:cs="Georgia" w:eastAsia="Georgia" w:hAnsi="Georgia"/>
                <w:b/>
                <w:bCs/>
                <w:i/>
                <w:iCs/>
                <w:color w:val="12224A"/>
                <w:sz w:val="20"/>
                <w:szCs w:val="20"/>
              </w:rPr>
              <w:t xml:space="preserve">mecanismos</w:t>
            </w:r>
            <w:r>
              <w:rPr>
                <w:rFonts w:ascii="Georgia" w:cs="Georgia" w:eastAsia="Georgia" w:hAnsi="Georgia"/>
                <w:i/>
                <w:iCs/>
                <w:color w:val="12224A"/>
                <w:sz w:val="20"/>
                <w:szCs w:val="20"/>
              </w:rPr>
              <w:t xml:space="preserve"> para dar seguimiento y acumular actos u operaciones que en lo individual se celebren con las personas Clientes o Usuarias, cuyo monto por suma acumulada alcance o supere los umbrales establecidos en cada caso, para la presentación de Avisos.</w:t>
            </w:r>
          </w:p>
          <w:p>
            <w:pPr>
              <w:spacing w:after="0"/>
            </w:pPr>
            <w:r>
              <w:rPr>
                <w:rFonts w:ascii="Arial" w:cs="Arial" w:eastAsia="Arial" w:hAnsi="Arial"/>
                <w:color w:val="5A6472"/>
                <w:sz w:val="16"/>
                <w:szCs w:val="16"/>
              </w:rPr>
              <w:t xml:space="preserve">RCG art. 37 Bis, fracción VIII</w:t>
            </w:r>
          </w:p>
        </w:tc>
      </w:tr>
    </w:tbl>
    <w:p>
      <w:pPr>
        <w:spacing w:after="170"/>
      </w:pPr>
    </w:p>
    <w:p>
      <w:pPr>
        <w:pStyle w:val="Heading2"/>
        <w:keepNext/>
        <w:spacing w:after="150" w:before="340"/>
      </w:pPr>
      <w:r>
        <w:rPr>
          <w:rFonts w:ascii="Georgia" w:cs="Georgia" w:eastAsia="Georgia" w:hAnsi="Georgia"/>
          <w:b/>
          <w:bCs/>
          <w:color w:val="1B2E5C"/>
          <w:sz w:val="23"/>
          <w:szCs w:val="23"/>
        </w:rPr>
        <w:t xml:space="preserve">Los cuatro escalones, en corto</w:t>
      </w:r>
    </w:p>
    <w:tbl>
      <w:tblPr>
        <w:tblW w:type="dxa" w:w="9360"/>
        <w:tblBorders>
          <w:top w:val="single" w:color="E4E8EE" w:sz="4"/>
          <w:left w:val="none"/>
          <w:bottom w:val="single" w:color="E4E8EE" w:sz="4"/>
          <w:right w:val="none"/>
          <w:insideH w:val="single" w:color="E4E8EE" w:sz="2"/>
          <w:insideV w:val="none"/>
        </w:tblBorders>
      </w:tblPr>
      <w:tblGrid>
        <w:gridCol w:w="1450"/>
        <w:gridCol w:w="7910"/>
      </w:tblGrid>
      <w:tr>
        <w:trPr>
          <w:tblHeader/>
        </w:trPr>
        <w:tc>
          <w:tcPr>
            <w:tcW w:type="dxa" w:w="14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Escalón</w:t>
            </w:r>
          </w:p>
        </w:tc>
        <w:tc>
          <w:tcPr>
            <w:tcW w:type="dxa" w:w="791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Cómo queda redactado</w:t>
            </w:r>
          </w:p>
        </w:tc>
      </w:tr>
      <w:tr>
        <w:tc>
          <w:tcPr>
            <w:tcW w:type="dxa" w:w="14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Política</w:t>
            </w:r>
          </w:p>
        </w:tc>
        <w:tc>
          <w:tcPr>
            <w:tcW w:type="dxa" w:w="791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«Esta empresa acumula por Cliente o Usuaria y por tipo de acto u operación, en periodos de hasta seis meses, y presenta el Aviso al alcanzarse el umbral aunque el periodo no se haya agotado.»</w:t>
            </w:r>
          </w:p>
        </w:tc>
      </w:tr>
      <w:tr>
        <w:tc>
          <w:tcPr>
            <w:tcW w:type="dxa" w:w="14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Criterio</w:t>
            </w:r>
          </w:p>
        </w:tc>
        <w:tc>
          <w:tcPr>
            <w:tcW w:type="dxa" w:w="791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Cuándo arranca el periodo (con el primer acto que se ubique en el supuesto de identificación); qué actos entran y cuáles no; y la regla del Reglamento para las fracciones </w:t>
            </w:r>
            <w:r>
              <w:rPr>
                <w:rFonts w:ascii="Arial" w:cs="Arial" w:eastAsia="Arial" w:hAnsi="Arial"/>
                <w:b/>
                <w:bCs/>
                <w:color w:val="1B2430"/>
                <w:sz w:val="17"/>
                <w:szCs w:val="17"/>
              </w:rPr>
              <w:t xml:space="preserve">sin</w:t>
            </w:r>
            <w:r>
              <w:rPr>
                <w:rFonts w:ascii="Arial" w:cs="Arial" w:eastAsia="Arial" w:hAnsi="Arial"/>
                <w:color w:val="1B2430"/>
                <w:sz w:val="17"/>
                <w:szCs w:val="17"/>
              </w:rPr>
              <w:t xml:space="preserve"> umbral de identificación, donde se acumula todo desde el primer acto.</w:t>
            </w:r>
          </w:p>
        </w:tc>
      </w:tr>
      <w:tr>
        <w:tc>
          <w:tcPr>
            <w:tcW w:type="dxa" w:w="14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Medida</w:t>
            </w:r>
          </w:p>
        </w:tc>
        <w:tc>
          <w:tcPr>
            <w:tcW w:type="dxa" w:w="791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sistema registra cada acto con Cliente, tipo, fecha y monto; la acumulación se calcula sola; el umbral está parametrizado por fracción y se revisa cuando cambia el valor de la UMA.</w:t>
            </w:r>
          </w:p>
        </w:tc>
      </w:tr>
      <w:tr>
        <w:tc>
          <w:tcPr>
            <w:tcW w:type="dxa" w:w="14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Mecanismo</w:t>
            </w:r>
          </w:p>
        </w:tc>
        <w:tc>
          <w:tcPr>
            <w:tcW w:type="dxa" w:w="791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herramienta </w:t>
            </w:r>
            <w:r>
              <w:rPr>
                <w:rFonts w:ascii="Arial" w:cs="Arial" w:eastAsia="Arial" w:hAnsi="Arial"/>
                <w:i/>
                <w:iCs/>
                <w:color w:val="1B2430"/>
                <w:sz w:val="17"/>
                <w:szCs w:val="17"/>
              </w:rPr>
              <w:t xml:space="preserve">(cuál)</w:t>
            </w:r>
            <w:r>
              <w:rPr>
                <w:rFonts w:ascii="Arial" w:cs="Arial" w:eastAsia="Arial" w:hAnsi="Arial"/>
                <w:color w:val="1B2430"/>
                <w:sz w:val="17"/>
                <w:szCs w:val="17"/>
              </w:rPr>
              <w:t xml:space="preserve">, la periodicidad </w:t>
            </w:r>
            <w:r>
              <w:rPr>
                <w:rFonts w:ascii="Arial" w:cs="Arial" w:eastAsia="Arial" w:hAnsi="Arial"/>
                <w:i/>
                <w:iCs/>
                <w:color w:val="1B2430"/>
                <w:sz w:val="17"/>
                <w:szCs w:val="17"/>
              </w:rPr>
              <w:t xml:space="preserve">(el cálculo corre en cada captura y hay un barrido diario)</w:t>
            </w:r>
            <w:r>
              <w:rPr>
                <w:rFonts w:ascii="Arial" w:cs="Arial" w:eastAsia="Arial" w:hAnsi="Arial"/>
                <w:color w:val="1B2430"/>
                <w:sz w:val="17"/>
                <w:szCs w:val="17"/>
              </w:rPr>
              <w:t xml:space="preserve">, y la salida </w:t>
            </w:r>
            <w:r>
              <w:rPr>
                <w:rFonts w:ascii="Arial" w:cs="Arial" w:eastAsia="Arial" w:hAnsi="Arial"/>
                <w:i/>
                <w:iCs/>
                <w:color w:val="1B2430"/>
                <w:sz w:val="17"/>
                <w:szCs w:val="17"/>
              </w:rPr>
              <w:t xml:space="preserve">(una alerta al área de cumplimiento el mismo día en que un Cliente alcanza el umbral, con el detalle de los actos que la componen)</w:t>
            </w:r>
            <w:r>
              <w:rPr>
                <w:rFonts w:ascii="Arial" w:cs="Arial" w:eastAsia="Arial" w:hAnsi="Arial"/>
                <w:color w:val="1B2430"/>
                <w:sz w:val="17"/>
                <w:szCs w:val="17"/>
              </w:rPr>
              <w:t xml:space="preserve">.</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Dos fechas que este apartado tiene que respetar</w:t>
            </w:r>
          </w:p>
          <w:p>
            <w:pPr>
              <w:spacing w:after="100"/>
              <w:jc w:val="both"/>
            </w:pPr>
            <w:r>
              <w:rPr>
                <w:rFonts w:ascii="Arial" w:cs="Arial" w:eastAsia="Arial" w:hAnsi="Arial"/>
                <w:color w:val="1B2430"/>
                <w:sz w:val="18"/>
                <w:szCs w:val="18"/>
              </w:rPr>
              <w:t xml:space="preserve">La obligación de que este seguimiento se apoye en </w:t>
            </w:r>
            <w:r>
              <w:rPr>
                <w:rFonts w:ascii="Arial" w:cs="Arial" w:eastAsia="Arial" w:hAnsi="Arial"/>
                <w:b/>
                <w:bCs/>
                <w:color w:val="1B2430"/>
                <w:sz w:val="18"/>
                <w:szCs w:val="18"/>
              </w:rPr>
              <w:t xml:space="preserve">mecanismos automatizados</w:t>
            </w:r>
            <w:r>
              <w:rPr>
                <w:rFonts w:ascii="Arial" w:cs="Arial" w:eastAsia="Arial" w:hAnsi="Arial"/>
                <w:color w:val="1B2430"/>
                <w:sz w:val="18"/>
                <w:szCs w:val="18"/>
              </w:rPr>
              <w:t xml:space="preserve"> es exigible a más tardar el </w:t>
            </w:r>
            <w:r>
              <w:rPr>
                <w:rFonts w:ascii="Arial" w:cs="Arial" w:eastAsia="Arial" w:hAnsi="Arial"/>
                <w:b/>
                <w:bCs/>
                <w:color w:val="1B2430"/>
                <w:sz w:val="18"/>
                <w:szCs w:val="18"/>
              </w:rPr>
              <w:t xml:space="preserve">1 de junio de 2027</w:t>
            </w:r>
            <w:r>
              <w:rPr>
                <w:rFonts w:ascii="Arial" w:cs="Arial" w:eastAsia="Arial" w:hAnsi="Arial"/>
                <w:color w:val="1B2430"/>
                <w:sz w:val="18"/>
                <w:szCs w:val="18"/>
              </w:rPr>
              <w:t xml:space="preserve">, y respecto de los actos u operaciones realizados a partir de esa fecha </w:t>
            </w:r>
            <w:r>
              <w:rPr>
                <w:rFonts w:ascii="Arial" w:cs="Arial" w:eastAsia="Arial" w:hAnsi="Arial"/>
                <w:i/>
                <w:iCs/>
                <w:color w:val="1B2430"/>
                <w:sz w:val="18"/>
                <w:szCs w:val="18"/>
              </w:rPr>
              <w:t xml:space="preserve">(Transitorio Noveno del ACUERDO 115/2026, y RCG art. 41)</w:t>
            </w:r>
            <w:r>
              <w:rPr>
                <w:rFonts w:ascii="Arial" w:cs="Arial" w:eastAsia="Arial" w:hAnsi="Arial"/>
                <w:color w:val="1B2430"/>
                <w:sz w:val="18"/>
                <w:szCs w:val="18"/>
              </w:rPr>
              <w:t xml:space="preserve">.</w:t>
            </w:r>
          </w:p>
          <w:p>
            <w:pPr>
              <w:spacing w:after="0"/>
              <w:jc w:val="both"/>
            </w:pPr>
            <w:r>
              <w:rPr>
                <w:rFonts w:ascii="Arial" w:cs="Arial" w:eastAsia="Arial" w:hAnsi="Arial"/>
                <w:color w:val="1B2430"/>
                <w:sz w:val="18"/>
                <w:szCs w:val="18"/>
              </w:rPr>
              <w:t xml:space="preserve">Hasta entonces el mecanismo puede ser manual, pero tiene que existir, estar escrito y dejar registro. Un control manual documentado cumple; un control automatizado sin documentar, no.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8 · Cómo se redacta un paso</w:t>
      </w:r>
    </w:p>
    <w:p>
      <w:pPr>
        <w:spacing w:after="200"/>
      </w:pPr>
      <w:r>
        <w:rPr>
          <w:rFonts w:ascii="Arial" w:cs="Arial" w:eastAsia="Arial" w:hAnsi="Arial"/>
          <w:i/>
          <w:iCs/>
          <w:color w:val="5A6472"/>
          <w:sz w:val="19"/>
          <w:szCs w:val="19"/>
        </w:rPr>
        <w:t xml:space="preserve">Un procedimiento se rompe casi siempre por el verbo. Hay verbos que describen y verbos que ordenan; sólo los segundos se pueden ejecutar y auditar.</w:t>
      </w:r>
    </w:p>
    <w:tbl>
      <w:tblPr>
        <w:tblW w:type="dxa" w:w="9360"/>
        <w:tblBorders>
          <w:top w:val="single" w:color="E4E8EE" w:sz="4"/>
          <w:left w:val="none"/>
          <w:bottom w:val="single" w:color="E4E8EE" w:sz="4"/>
          <w:right w:val="none"/>
          <w:insideH w:val="single" w:color="E4E8EE" w:sz="2"/>
          <w:insideV w:val="none"/>
        </w:tblBorders>
      </w:tblPr>
      <w:tblGrid>
        <w:gridCol w:w="2900"/>
        <w:gridCol w:w="3400"/>
        <w:gridCol w:w="3060"/>
      </w:tblGrid>
      <w:tr>
        <w:trPr>
          <w:tblHeader/>
        </w:trPr>
        <w:tc>
          <w:tcPr>
            <w:tcW w:type="dxa" w:w="29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No sirve para un paso</w:t>
            </w:r>
          </w:p>
        </w:tc>
        <w:tc>
          <w:tcPr>
            <w:tcW w:type="dxa" w:w="34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Por qué</w:t>
            </w:r>
          </w:p>
        </w:tc>
        <w:tc>
          <w:tcPr>
            <w:tcW w:type="dxa" w:w="30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Sirve</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procurará</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 obliga a nadie y no se puede incumplir</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solicita · Se recaba</w:t>
            </w:r>
          </w:p>
        </w:tc>
      </w:tr>
      <w:tr>
        <w:tc>
          <w:tcPr>
            <w:tcW w:type="dxa" w:w="2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Se dará cumplimiento a lo dispuesto en…</w:t>
            </w:r>
          </w:p>
        </w:tc>
        <w:tc>
          <w:tcPr>
            <w:tcW w:type="dxa" w:w="34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Remite a la ley en vez de decir qué se hace</w:t>
            </w:r>
          </w:p>
        </w:tc>
        <w:tc>
          <w:tcPr>
            <w:tcW w:type="dxa" w:w="3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Se consulta la Lista y se imprime el resultado</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aplicarán las medidas necesarias</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 dice cuáles, ni quién decide qué es necesario</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aplica el cuestionario del Anexo 3</w:t>
            </w:r>
          </w:p>
        </w:tc>
      </w:tr>
      <w:tr>
        <w:tc>
          <w:tcPr>
            <w:tcW w:type="dxa" w:w="2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En su caso, se podrá requerir</w:t>
            </w:r>
          </w:p>
        </w:tc>
        <w:tc>
          <w:tcPr>
            <w:tcW w:type="dxa" w:w="34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Convierte el control en potestad de quien opera</w:t>
            </w:r>
          </w:p>
        </w:tc>
        <w:tc>
          <w:tcPr>
            <w:tcW w:type="dxa" w:w="3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Se requiere cuando el monto supere X</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 empresa velará por</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 tiene sujeto que responda</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 verifica y firma</w:t>
            </w:r>
          </w:p>
        </w:tc>
      </w:tr>
      <w:tr>
        <w:tc>
          <w:tcPr>
            <w:tcW w:type="dxa" w:w="2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Periódicamente</w:t>
            </w:r>
          </w:p>
        </w:tc>
        <w:tc>
          <w:tcPr>
            <w:tcW w:type="dxa" w:w="34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Sin periodicidad no hay incumplimiento posible</w:t>
            </w:r>
          </w:p>
        </w:tc>
        <w:tc>
          <w:tcPr>
            <w:tcW w:type="dxa" w:w="3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Cada tres meses, en los primeros cinco días hábiles</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área correspondiente</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Nadie es el área correspondiente</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 persona Representante Encargada de Cumplimiento</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La forma mínima de un paso</w:t>
            </w:r>
          </w:p>
          <w:p>
            <w:pPr>
              <w:spacing w:after="100"/>
              <w:jc w:val="both"/>
            </w:pPr>
            <w:r>
              <w:rPr>
                <w:rFonts w:ascii="Arial" w:cs="Arial" w:eastAsia="Arial" w:hAnsi="Arial"/>
                <w:b/>
                <w:bCs/>
                <w:color w:val="1B2430"/>
                <w:sz w:val="18"/>
                <w:szCs w:val="18"/>
              </w:rPr>
              <w:t xml:space="preserve">Quién</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qué hace</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con qué</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en qué plazo</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qué documento deja</w:t>
            </w:r>
            <w:r>
              <w:rPr>
                <w:rFonts w:ascii="Arial" w:cs="Arial" w:eastAsia="Arial" w:hAnsi="Arial"/>
                <w:color w:val="1B2430"/>
                <w:sz w:val="18"/>
                <w:szCs w:val="18"/>
              </w:rPr>
              <w:t xml:space="preserve">.</w:t>
            </w:r>
          </w:p>
          <w:p>
            <w:pPr>
              <w:spacing w:after="0"/>
              <w:jc w:val="both"/>
            </w:pPr>
            <w:r>
              <w:rPr>
                <w:rFonts w:ascii="Arial" w:cs="Arial" w:eastAsia="Arial" w:hAnsi="Arial"/>
                <w:color w:val="1B2430"/>
                <w:sz w:val="18"/>
                <w:szCs w:val="18"/>
              </w:rPr>
              <w:t xml:space="preserve">Ejemplo: «</w:t>
            </w:r>
            <w:r>
              <w:rPr>
                <w:rFonts w:ascii="Arial" w:cs="Arial" w:eastAsia="Arial" w:hAnsi="Arial"/>
                <w:i/>
                <w:iCs/>
                <w:color w:val="1B2430"/>
                <w:sz w:val="18"/>
                <w:szCs w:val="18"/>
              </w:rPr>
              <w:t xml:space="preserve">Cumplimiento</w:t>
            </w:r>
            <w:r>
              <w:rPr>
                <w:rFonts w:ascii="Arial" w:cs="Arial" w:eastAsia="Arial" w:hAnsi="Arial"/>
                <w:color w:val="1B2430"/>
                <w:sz w:val="18"/>
                <w:szCs w:val="18"/>
              </w:rPr>
              <w:t xml:space="preserve"> </w:t>
            </w:r>
            <w:r>
              <w:rPr>
                <w:rFonts w:ascii="Arial" w:cs="Arial" w:eastAsia="Arial" w:hAnsi="Arial"/>
                <w:i/>
                <w:iCs/>
                <w:color w:val="1B2430"/>
                <w:sz w:val="18"/>
                <w:szCs w:val="18"/>
              </w:rPr>
              <w:t xml:space="preserve">consulta</w:t>
            </w:r>
            <w:r>
              <w:rPr>
                <w:rFonts w:ascii="Arial" w:cs="Arial" w:eastAsia="Arial" w:hAnsi="Arial"/>
                <w:color w:val="1B2430"/>
                <w:sz w:val="18"/>
                <w:szCs w:val="18"/>
              </w:rPr>
              <w:t xml:space="preserve"> la Lista de Personas Políticamente Expuestas </w:t>
            </w:r>
            <w:r>
              <w:rPr>
                <w:rFonts w:ascii="Arial" w:cs="Arial" w:eastAsia="Arial" w:hAnsi="Arial"/>
                <w:i/>
                <w:iCs/>
                <w:color w:val="1B2430"/>
                <w:sz w:val="18"/>
                <w:szCs w:val="18"/>
              </w:rPr>
              <w:t xml:space="preserve">en el Portal</w:t>
            </w:r>
            <w:r>
              <w:rPr>
                <w:rFonts w:ascii="Arial" w:cs="Arial" w:eastAsia="Arial" w:hAnsi="Arial"/>
                <w:color w:val="1B2430"/>
                <w:sz w:val="18"/>
                <w:szCs w:val="18"/>
              </w:rPr>
              <w:t xml:space="preserve"> </w:t>
            </w:r>
            <w:r>
              <w:rPr>
                <w:rFonts w:ascii="Arial" w:cs="Arial" w:eastAsia="Arial" w:hAnsi="Arial"/>
                <w:i/>
                <w:iCs/>
                <w:color w:val="1B2430"/>
                <w:sz w:val="18"/>
                <w:szCs w:val="18"/>
              </w:rPr>
              <w:t xml:space="preserve">el mismo día del alta</w:t>
            </w:r>
            <w:r>
              <w:rPr>
                <w:rFonts w:ascii="Arial" w:cs="Arial" w:eastAsia="Arial" w:hAnsi="Arial"/>
                <w:color w:val="1B2430"/>
                <w:sz w:val="18"/>
                <w:szCs w:val="18"/>
              </w:rPr>
              <w:t xml:space="preserve">, e </w:t>
            </w:r>
            <w:r>
              <w:rPr>
                <w:rFonts w:ascii="Arial" w:cs="Arial" w:eastAsia="Arial" w:hAnsi="Arial"/>
                <w:i/>
                <w:iCs/>
                <w:color w:val="1B2430"/>
                <w:sz w:val="18"/>
                <w:szCs w:val="18"/>
              </w:rPr>
              <w:t xml:space="preserve">imprime el resultado con fecha y hora al expediente</w:t>
            </w:r>
            <w:r>
              <w:rPr>
                <w:rFonts w:ascii="Arial" w:cs="Arial" w:eastAsia="Arial" w:hAnsi="Arial"/>
                <w:color w:val="1B2430"/>
                <w:sz w:val="18"/>
                <w:szCs w:val="18"/>
              </w:rPr>
              <w:t xml:space="preserve">.» Cinco elementos, una oración, ejecutable por quien entró ayer.</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9 · Los seis errores que tiran un Manual</w:t>
      </w:r>
    </w:p>
    <w:p>
      <w:pPr>
        <w:spacing w:after="200"/>
      </w:pPr>
      <w:r>
        <w:rPr>
          <w:rFonts w:ascii="Arial" w:cs="Arial" w:eastAsia="Arial" w:hAnsi="Arial"/>
          <w:i/>
          <w:iCs/>
          <w:color w:val="5A6472"/>
          <w:sz w:val="19"/>
          <w:szCs w:val="19"/>
        </w:rPr>
        <w:t xml:space="preserve">Ninguno es de redacción bonita. Los seis son de sustento.</w:t>
      </w:r>
    </w:p>
    <w:tbl>
      <w:tblPr>
        <w:tblW w:type="dxa" w:w="9360"/>
        <w:tblBorders>
          <w:top w:val="single" w:color="E4E8EE" w:sz="4"/>
          <w:left w:val="none"/>
          <w:bottom w:val="single" w:color="E4E8EE" w:sz="4"/>
          <w:right w:val="none"/>
          <w:insideH w:val="single" w:color="E4E8EE" w:sz="2"/>
          <w:insideV w:val="none"/>
        </w:tblBorders>
      </w:tblPr>
      <w:tblGrid>
        <w:gridCol w:w="2750"/>
        <w:gridCol w:w="3450"/>
        <w:gridCol w:w="3160"/>
      </w:tblGrid>
      <w:tr>
        <w:trPr>
          <w:tblHeader/>
        </w:trPr>
        <w:tc>
          <w:tcPr>
            <w:tcW w:type="dxa" w:w="27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El error</w:t>
            </w:r>
          </w:p>
        </w:tc>
        <w:tc>
          <w:tcPr>
            <w:tcW w:type="dxa" w:w="34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Cómo se detecta</w:t>
            </w:r>
          </w:p>
        </w:tc>
        <w:tc>
          <w:tcPr>
            <w:tcW w:type="dxa" w:w="31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lo evita</w:t>
            </w:r>
          </w:p>
        </w:tc>
      </w:tr>
      <w:tr>
        <w:tc>
          <w:tcPr>
            <w:tcW w:type="dxa" w:w="27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Transcrito.</w:t>
            </w:r>
            <w:r>
              <w:rPr>
                <w:rFonts w:ascii="Arial" w:cs="Arial" w:eastAsia="Arial" w:hAnsi="Arial"/>
                <w:color w:val="1B2430"/>
                <w:sz w:val="17"/>
                <w:szCs w:val="17"/>
              </w:rPr>
              <w:t xml:space="preserve"> El Manual reproduce la norma y no desarrolla nada.</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pregunta quién ejecuta un apartado cualquiera. No hay respuesta en el texto.</w:t>
            </w:r>
          </w:p>
        </w:tc>
        <w:tc>
          <w:tcPr>
            <w:tcW w:type="dxa" w:w="31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cuatro escalones en cada apartado.</w:t>
            </w:r>
          </w:p>
        </w:tc>
      </w:tr>
      <w:tr>
        <w:tc>
          <w:tcPr>
            <w:tcW w:type="dxa" w:w="27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Ajeno.</w:t>
            </w:r>
            <w:r>
              <w:rPr>
                <w:rFonts w:ascii="Arial" w:cs="Arial" w:eastAsia="Arial" w:hAnsi="Arial"/>
                <w:color w:val="1B2430"/>
                <w:sz w:val="17"/>
                <w:szCs w:val="17"/>
              </w:rPr>
              <w:t xml:space="preserve"> Es plantilla de otra empresa, o de otro sector.</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controles no corresponden a la operación real, y no hay relación con la matriz de riesgos.</w:t>
            </w:r>
          </w:p>
        </w:tc>
        <w:tc>
          <w:tcPr>
            <w:tcW w:type="dxa" w:w="31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paso 3 del método, y el contraste con la metodología.</w:t>
            </w:r>
          </w:p>
        </w:tc>
      </w:tr>
      <w:tr>
        <w:tc>
          <w:tcPr>
            <w:tcW w:type="dxa" w:w="27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Sin evidencia.</w:t>
            </w:r>
            <w:r>
              <w:rPr>
                <w:rFonts w:ascii="Arial" w:cs="Arial" w:eastAsia="Arial" w:hAnsi="Arial"/>
                <w:color w:val="1B2430"/>
                <w:sz w:val="17"/>
                <w:szCs w:val="17"/>
              </w:rPr>
              <w:t xml:space="preserve"> Describe controles que no dejan rastro.</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pide el soporte de un control y no existe ninguno.</w:t>
            </w:r>
          </w:p>
        </w:tc>
        <w:tc>
          <w:tcPr>
            <w:tcW w:type="dxa" w:w="31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paso 6: cerrar cada apartado con su evidencia.</w:t>
            </w:r>
          </w:p>
        </w:tc>
      </w:tr>
      <w:tr>
        <w:tc>
          <w:tcPr>
            <w:tcW w:type="dxa" w:w="27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Desconectado de la metodología.</w:t>
            </w:r>
            <w:r>
              <w:rPr>
                <w:rFonts w:ascii="Arial" w:cs="Arial" w:eastAsia="Arial" w:hAnsi="Arial"/>
                <w:color w:val="1B2430"/>
                <w:sz w:val="17"/>
                <w:szCs w:val="17"/>
              </w:rPr>
              <w:t xml:space="preserve"> No refleja los resultados de la evaluación de Riesgos.</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matriz identifica un riesgo alto que en el Manual recibe el tratamiento mínimo, sin explicación.</w:t>
            </w:r>
          </w:p>
        </w:tc>
        <w:tc>
          <w:tcPr>
            <w:tcW w:type="dxa" w:w="31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paso 4, y el tercer párrafo del RCG 37.</w:t>
            </w:r>
          </w:p>
        </w:tc>
      </w:tr>
      <w:tr>
        <w:tc>
          <w:tcPr>
            <w:tcW w:type="dxa" w:w="27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Con huecos no declarados.</w:t>
            </w:r>
            <w:r>
              <w:rPr>
                <w:rFonts w:ascii="Arial" w:cs="Arial" w:eastAsia="Arial" w:hAnsi="Arial"/>
                <w:color w:val="1B2430"/>
                <w:sz w:val="17"/>
                <w:szCs w:val="17"/>
              </w:rPr>
              <w:t xml:space="preserve"> Faltan fracciones y no hay declaración del 37 Bis 2.</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recorren las catorce fracciones y alguna no aparece ni como apartado ni como exención.</w:t>
            </w:r>
          </w:p>
        </w:tc>
        <w:tc>
          <w:tcPr>
            <w:tcW w:type="dxa" w:w="31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apartado de supuestos no realizados, escrito de manera expresa.</w:t>
            </w:r>
          </w:p>
        </w:tc>
      </w:tr>
      <w:tr>
        <w:tc>
          <w:tcPr>
            <w:tcW w:type="dxa" w:w="27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Congelado.</w:t>
            </w:r>
            <w:r>
              <w:rPr>
                <w:rFonts w:ascii="Arial" w:cs="Arial" w:eastAsia="Arial" w:hAnsi="Arial"/>
                <w:color w:val="1B2430"/>
                <w:sz w:val="17"/>
                <w:szCs w:val="17"/>
              </w:rPr>
              <w:t xml:space="preserve"> No se ha actualizado desde que se firmó.</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No hay control de versiones ni constancia de revisión, pese a que la norma cambió.</w:t>
            </w:r>
          </w:p>
        </w:tc>
        <w:tc>
          <w:tcPr>
            <w:tcW w:type="dxa" w:w="31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fracción XIV escrita como procedimiento, con disparadores.</w:t>
            </w:r>
          </w:p>
        </w:tc>
      </w:tr>
    </w:tbl>
    <w:p>
      <w:pPr>
        <w:spacing w:after="200"/>
      </w:pPr>
    </w:p>
    <w:p>
      <w:pPr>
        <w:pStyle w:val="Heading2"/>
        <w:keepNext/>
        <w:spacing w:after="150" w:before="340"/>
      </w:pPr>
      <w:r>
        <w:rPr>
          <w:rFonts w:ascii="Georgia" w:cs="Georgia" w:eastAsia="Georgia" w:hAnsi="Georgia"/>
          <w:b/>
          <w:bCs/>
          <w:color w:val="1B2E5C"/>
          <w:sz w:val="23"/>
          <w:szCs w:val="23"/>
        </w:rPr>
        <w:t xml:space="preserve">Cuándo hay que volver a tocarlo</w:t>
      </w:r>
    </w:p>
    <w:p>
      <w:pPr>
        <w:spacing w:after="150" w:line="300"/>
        <w:jc w:val="both"/>
      </w:pPr>
      <w:r>
        <w:rPr>
          <w:rFonts w:ascii="Georgia" w:cs="Georgia" w:eastAsia="Georgia" w:hAnsi="Georgia"/>
          <w:color w:val="1B2430"/>
          <w:sz w:val="20"/>
          <w:szCs w:val="20"/>
        </w:rPr>
        <w:t xml:space="preserve">La fracción XIV pide un procedimiento de actualización, y un procedimiento necesita disparadores. Éstos son los que conviene dejar escritos: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se reforman la Ley, el Reglamento o las Reglas.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la evaluación anual de Riesgos arroja riesgos mayores o nuevos — la norma lo ordena de manera expresa: en ese caso </w:t>
      </w:r>
      <w:r>
        <w:rPr>
          <w:rFonts w:ascii="Georgia" w:cs="Georgia" w:eastAsia="Georgia" w:hAnsi="Georgia"/>
          <w:b/>
          <w:bCs/>
          <w:color w:val="1B2430"/>
          <w:sz w:val="20"/>
          <w:szCs w:val="20"/>
        </w:rPr>
        <w:t xml:space="preserve">debe modificar</w:t>
      </w:r>
      <w:r>
        <w:rPr>
          <w:rFonts w:ascii="Georgia" w:cs="Georgia" w:eastAsia="Georgia" w:hAnsi="Georgia"/>
          <w:color w:val="1B2430"/>
          <w:sz w:val="20"/>
          <w:szCs w:val="20"/>
        </w:rPr>
        <w:t xml:space="preserve"> las políticas, criterios, medidas y procedimientos que correspondan </w:t>
      </w:r>
      <w:r>
        <w:rPr>
          <w:rFonts w:ascii="Georgia" w:cs="Georgia" w:eastAsia="Georgia" w:hAnsi="Georgia"/>
          <w:i/>
          <w:iCs/>
          <w:color w:val="1B2430"/>
          <w:sz w:val="20"/>
          <w:szCs w:val="20"/>
        </w:rPr>
        <w:t xml:space="preserve">(RCG art. 10 Septies 3, último párrafo)</w:t>
      </w:r>
      <w:r>
        <w:rPr>
          <w:rFonts w:ascii="Georgia" w:cs="Georgia" w:eastAsia="Georgia" w:hAnsi="Georgia"/>
          <w:color w:val="1B2430"/>
          <w:sz w:val="20"/>
          <w:szCs w:val="20"/>
        </w:rPr>
        <w:t xml:space="preserve">.</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se actualiza la Evaluación Nacional de Riesgos.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la empresa empieza a realizar un supuesto que había declarado como no realizado.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cambia la persona Representante Encargada de Cumplimiento, o la estructura de la operación.</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una auditoría interna o externa identifica observaciones.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w:t>
      </w:r>
      <w:r>
        <w:rPr>
          <w:rFonts w:ascii="Georgia" w:cs="Georgia" w:eastAsia="Georgia" w:hAnsi="Georgia"/>
          <w:b/>
          <w:bCs/>
          <w:color w:val="1B2430"/>
          <w:sz w:val="20"/>
          <w:szCs w:val="20"/>
        </w:rPr>
        <w:t xml:space="preserve">el SAT lo ordena</w:t>
      </w:r>
      <w:r>
        <w:rPr>
          <w:rFonts w:ascii="Georgia" w:cs="Georgia" w:eastAsia="Georgia" w:hAnsi="Georgia"/>
          <w:color w:val="1B2430"/>
          <w:sz w:val="20"/>
          <w:szCs w:val="20"/>
        </w:rPr>
        <w:t xml:space="preserve">: puede señalar que se efectúen modificaciones al Manual «cuando a su juicio sea necesario» </w:t>
      </w:r>
      <w:r>
        <w:rPr>
          <w:rFonts w:ascii="Georgia" w:cs="Georgia" w:eastAsia="Georgia" w:hAnsi="Georgia"/>
          <w:i/>
          <w:iCs/>
          <w:color w:val="1B2430"/>
          <w:sz w:val="20"/>
          <w:szCs w:val="20"/>
        </w:rPr>
        <w:t xml:space="preserve">(RCG art. 37 Bis 3)</w:t>
      </w:r>
      <w:r>
        <w:rPr>
          <w:rFonts w:ascii="Georgia" w:cs="Georgia" w:eastAsia="Georgia" w:hAnsi="Georgia"/>
          <w:color w:val="1B2430"/>
          <w:sz w:val="20"/>
          <w:szCs w:val="20"/>
        </w:rPr>
        <w:t xml:space="preserve">.</w:t>
      </w:r>
    </w:p>
    <w:p>
      <w:pPr>
        <w:spacing w:after="11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10 · Por qué esto decide su riesgo residual</w:t>
      </w:r>
    </w:p>
    <w:p>
      <w:pPr>
        <w:spacing w:after="150" w:line="300"/>
        <w:jc w:val="both"/>
      </w:pPr>
      <w:r>
        <w:rPr>
          <w:rFonts w:ascii="Georgia" w:cs="Georgia" w:eastAsia="Georgia" w:hAnsi="Georgia"/>
          <w:color w:val="1B2430"/>
          <w:sz w:val="20"/>
          <w:szCs w:val="20"/>
        </w:rPr>
        <w:t xml:space="preserve">Hay una razón, más allá del cumplimiento formal, para escribir bien cada apartado. Está en el capítulo de la metodología, y enlaza directamente con el trabajo de la sesión anterior.</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Identificar los </w:t>
            </w:r>
            <w:r>
              <w:rPr>
                <w:rFonts w:ascii="Georgia" w:cs="Georgia" w:eastAsia="Georgia" w:hAnsi="Georgia"/>
                <w:b/>
                <w:bCs/>
                <w:i/>
                <w:iCs/>
                <w:color w:val="12224A"/>
                <w:sz w:val="20"/>
                <w:szCs w:val="20"/>
              </w:rPr>
              <w:t xml:space="preserve">Mitigantes</w:t>
            </w:r>
            <w:r>
              <w:rPr>
                <w:rFonts w:ascii="Georgia" w:cs="Georgia" w:eastAsia="Georgia" w:hAnsi="Georgia"/>
                <w:i/>
                <w:iCs/>
                <w:color w:val="12224A"/>
                <w:sz w:val="20"/>
                <w:szCs w:val="20"/>
              </w:rPr>
              <w:t xml:space="preserve"> que tenga implementados al momento del diseño de la metodología, debiendo considerar </w:t>
            </w:r>
            <w:r>
              <w:rPr>
                <w:rFonts w:ascii="Georgia" w:cs="Georgia" w:eastAsia="Georgia" w:hAnsi="Georgia"/>
                <w:b/>
                <w:bCs/>
                <w:i/>
                <w:iCs/>
                <w:color w:val="12224A"/>
                <w:sz w:val="20"/>
                <w:szCs w:val="20"/>
              </w:rPr>
              <w:t xml:space="preserve">todas las políticas, criterios, medidas y procedimientos internos previstos en el Manual de Políticas Internas, así como su efectiva aplicación</w:t>
            </w:r>
            <w:r>
              <w:rPr>
                <w:rFonts w:ascii="Georgia" w:cs="Georgia" w:eastAsia="Georgia" w:hAnsi="Georgia"/>
                <w:i/>
                <w:iCs/>
                <w:color w:val="12224A"/>
                <w:sz w:val="20"/>
                <w:szCs w:val="20"/>
              </w:rPr>
              <w:t xml:space="preserve">, a fin de establecer el efecto que estos tendrán sobre los indicadores y elementos de Riesgo…</w:t>
            </w:r>
          </w:p>
          <w:p>
            <w:pPr>
              <w:spacing w:after="0"/>
            </w:pPr>
            <w:r>
              <w:rPr>
                <w:rFonts w:ascii="Arial" w:cs="Arial" w:eastAsia="Arial" w:hAnsi="Arial"/>
                <w:color w:val="5A6472"/>
                <w:sz w:val="16"/>
                <w:szCs w:val="16"/>
              </w:rPr>
              <w:t xml:space="preserve">RCG art. 10 Septies 3, fracción III</w:t>
            </w:r>
          </w:p>
        </w:tc>
      </w:tr>
    </w:tbl>
    <w:p>
      <w:pPr>
        <w:spacing w:after="170"/>
      </w:pPr>
    </w:p>
    <w:p>
      <w:pPr>
        <w:spacing w:after="150" w:line="300"/>
        <w:jc w:val="both"/>
      </w:pPr>
      <w:r>
        <w:rPr>
          <w:rFonts w:ascii="Georgia" w:cs="Georgia" w:eastAsia="Georgia" w:hAnsi="Georgia"/>
          <w:color w:val="1B2430"/>
          <w:sz w:val="20"/>
          <w:szCs w:val="20"/>
        </w:rPr>
        <w:t xml:space="preserve">Los Mitigantes de su matriz </w:t>
      </w:r>
      <w:r>
        <w:rPr>
          <w:rFonts w:ascii="Georgia" w:cs="Georgia" w:eastAsia="Georgia" w:hAnsi="Georgia"/>
          <w:b/>
          <w:bCs/>
          <w:color w:val="1B2430"/>
          <w:sz w:val="20"/>
          <w:szCs w:val="20"/>
        </w:rPr>
        <w:t xml:space="preserve">son</w:t>
      </w:r>
      <w:r>
        <w:rPr>
          <w:rFonts w:ascii="Georgia" w:cs="Georgia" w:eastAsia="Georgia" w:hAnsi="Georgia"/>
          <w:color w:val="1B2430"/>
          <w:sz w:val="20"/>
          <w:szCs w:val="20"/>
        </w:rPr>
        <w:t xml:space="preserve"> los apartados de su Manual. No otra cosa. Y la fracción exige dos condiciones acumulativas: que estén previstos en el Manual, y que se apliquen de manera efectiva.</w:t>
      </w: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Un control que no está escrito no computa como Mitigante. Un control escrito que no deja evidencia de aplicación, tampoco. En ambos casos el riesgo residual de su matriz se queda igual al inherente — y ése es el número que va a tener que explicar.</w:t>
            </w:r>
          </w:p>
        </w:tc>
      </w:tr>
    </w:tbl>
    <w:p>
      <w:pPr>
        <w:spacing w:after="190"/>
      </w:pPr>
    </w:p>
    <w:p>
      <w:pPr>
        <w:spacing w:after="150" w:line="300"/>
        <w:jc w:val="both"/>
      </w:pPr>
      <w:r>
        <w:rPr>
          <w:rFonts w:ascii="Georgia" w:cs="Georgia" w:eastAsia="Georgia" w:hAnsi="Georgia"/>
          <w:color w:val="1B2430"/>
          <w:sz w:val="20"/>
          <w:szCs w:val="20"/>
        </w:rPr>
        <w:t xml:space="preserve">De ahí que el orden de las sesiones no sea de temario sino de norma: primero la metodología, porque el Manual tiene que responder a sus resultados; después el Manual, porque de él salen los Mitigantes que la metodología necesita para calcular el residual. Los dos documentos se leen juntos, y una autoridad que los lea juntos verá de inmediato si uno se escribió pensando en el otro.</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11 · Lista de verificación de un apartado</w:t>
      </w:r>
    </w:p>
    <w:p>
      <w:pPr>
        <w:spacing w:after="200"/>
      </w:pPr>
      <w:r>
        <w:rPr>
          <w:rFonts w:ascii="Arial" w:cs="Arial" w:eastAsia="Arial" w:hAnsi="Arial"/>
          <w:i/>
          <w:iCs/>
          <w:color w:val="5A6472"/>
          <w:sz w:val="19"/>
          <w:szCs w:val="19"/>
        </w:rPr>
        <w:t xml:space="preserve">Antes de dar por terminado cualquiera de los catorce, pásele estas nueve preguntas. Si alguna se responde que no, el apartado no está listo.</w:t>
      </w:r>
    </w:p>
    <w:tbl>
      <w:tblPr>
        <w:tblW w:type="dxa" w:w="9360"/>
        <w:tblBorders>
          <w:top w:val="single" w:color="E4E8EE" w:sz="4"/>
          <w:left w:val="none"/>
          <w:bottom w:val="single" w:color="E4E8EE" w:sz="4"/>
          <w:right w:val="none"/>
          <w:insideH w:val="single" w:color="E4E8EE" w:sz="2"/>
          <w:insideV w:val="none"/>
        </w:tblBorders>
      </w:tblPr>
      <w:tblGrid>
        <w:gridCol w:w="560"/>
        <w:gridCol w:w="8800"/>
      </w:tblGrid>
      <w:tr>
        <w:trPr>
          <w:tblHeader/>
        </w:trPr>
        <w:tc>
          <w:tcPr>
            <w:tcW w:type="dxa" w:w="5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
            </w:r>
          </w:p>
        </w:tc>
        <w:tc>
          <w:tcPr>
            <w:tcW w:type="dxa" w:w="88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Pregunta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1</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¿Está el precepto citado al pie, con ordenamiento, artículo y fracción?</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2</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texto tiene el </w:t>
            </w:r>
            <w:r>
              <w:rPr>
                <w:rFonts w:ascii="Arial" w:cs="Arial" w:eastAsia="Arial" w:hAnsi="Arial"/>
                <w:b/>
                <w:bCs/>
                <w:color w:val="1B2430"/>
                <w:sz w:val="17"/>
                <w:szCs w:val="17"/>
              </w:rPr>
              <w:t xml:space="preserve">registro</w:t>
            </w:r>
            <w:r>
              <w:rPr>
                <w:rFonts w:ascii="Arial" w:cs="Arial" w:eastAsia="Arial" w:hAnsi="Arial"/>
                <w:color w:val="1B2430"/>
                <w:sz w:val="17"/>
                <w:szCs w:val="17"/>
              </w:rPr>
              <w:t xml:space="preserve"> que la fracción pide — criterio, mecanismo, medida, procedimiento, funciones o programa?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3</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¿Aparece un </w:t>
            </w:r>
            <w:r>
              <w:rPr>
                <w:rFonts w:ascii="Arial" w:cs="Arial" w:eastAsia="Arial" w:hAnsi="Arial"/>
                <w:b/>
                <w:bCs/>
                <w:color w:val="1B2430"/>
                <w:sz w:val="17"/>
                <w:szCs w:val="17"/>
              </w:rPr>
              <w:t xml:space="preserve">responsable</w:t>
            </w:r>
            <w:r>
              <w:rPr>
                <w:rFonts w:ascii="Arial" w:cs="Arial" w:eastAsia="Arial" w:hAnsi="Arial"/>
                <w:color w:val="1B2430"/>
                <w:sz w:val="17"/>
                <w:szCs w:val="17"/>
              </w:rPr>
              <w:t xml:space="preserve"> nombrado por cargo, y no un «área correspondiente»?</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4</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¿Hay un </w:t>
            </w:r>
            <w:r>
              <w:rPr>
                <w:rFonts w:ascii="Arial" w:cs="Arial" w:eastAsia="Arial" w:hAnsi="Arial"/>
                <w:b/>
                <w:bCs/>
                <w:color w:val="1B2430"/>
                <w:sz w:val="17"/>
                <w:szCs w:val="17"/>
              </w:rPr>
              <w:t xml:space="preserve">plazo</w:t>
            </w:r>
            <w:r>
              <w:rPr>
                <w:rFonts w:ascii="Arial" w:cs="Arial" w:eastAsia="Arial" w:hAnsi="Arial"/>
                <w:color w:val="1B2430"/>
                <w:sz w:val="17"/>
                <w:szCs w:val="17"/>
              </w:rPr>
              <w:t xml:space="preserve"> en días o una periodicidad concreta?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5</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nombra la </w:t>
            </w:r>
            <w:r>
              <w:rPr>
                <w:rFonts w:ascii="Arial" w:cs="Arial" w:eastAsia="Arial" w:hAnsi="Arial"/>
                <w:b/>
                <w:bCs/>
                <w:color w:val="1B2430"/>
                <w:sz w:val="17"/>
                <w:szCs w:val="17"/>
              </w:rPr>
              <w:t xml:space="preserve">evidencia</w:t>
            </w:r>
            <w:r>
              <w:rPr>
                <w:rFonts w:ascii="Arial" w:cs="Arial" w:eastAsia="Arial" w:hAnsi="Arial"/>
                <w:color w:val="1B2430"/>
                <w:sz w:val="17"/>
                <w:szCs w:val="17"/>
              </w:rPr>
              <w:t xml:space="preserve"> que cada paso deja, y existe de verdad?</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6</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verbos </w:t>
            </w:r>
            <w:r>
              <w:rPr>
                <w:rFonts w:ascii="Arial" w:cs="Arial" w:eastAsia="Arial" w:hAnsi="Arial"/>
                <w:b/>
                <w:bCs/>
                <w:color w:val="1B2430"/>
                <w:sz w:val="17"/>
                <w:szCs w:val="17"/>
              </w:rPr>
              <w:t xml:space="preserve">ordenan</w:t>
            </w:r>
            <w:r>
              <w:rPr>
                <w:rFonts w:ascii="Arial" w:cs="Arial" w:eastAsia="Arial" w:hAnsi="Arial"/>
                <w:color w:val="1B2430"/>
                <w:sz w:val="17"/>
                <w:szCs w:val="17"/>
              </w:rPr>
              <w:t xml:space="preserve"> en vez de describir? </w:t>
            </w:r>
            <w:r>
              <w:rPr>
                <w:rFonts w:ascii="Arial" w:cs="Arial" w:eastAsia="Arial" w:hAnsi="Arial"/>
                <w:i/>
                <w:iCs/>
                <w:color w:val="1B2430"/>
                <w:sz w:val="17"/>
                <w:szCs w:val="17"/>
              </w:rPr>
              <w:t xml:space="preserve">(véase el apartado 8)</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7</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control </w:t>
            </w:r>
            <w:r>
              <w:rPr>
                <w:rFonts w:ascii="Arial" w:cs="Arial" w:eastAsia="Arial" w:hAnsi="Arial"/>
                <w:b/>
                <w:bCs/>
                <w:color w:val="1B2430"/>
                <w:sz w:val="17"/>
                <w:szCs w:val="17"/>
              </w:rPr>
              <w:t xml:space="preserve">corresponde al grado de riesgo</w:t>
            </w:r>
            <w:r>
              <w:rPr>
                <w:rFonts w:ascii="Arial" w:cs="Arial" w:eastAsia="Arial" w:hAnsi="Arial"/>
                <w:color w:val="1B2430"/>
                <w:sz w:val="17"/>
                <w:szCs w:val="17"/>
              </w:rPr>
              <w:t xml:space="preserve"> que su matriz asignó a este tema?</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8</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¿Podría </w:t>
            </w:r>
            <w:r>
              <w:rPr>
                <w:rFonts w:ascii="Arial" w:cs="Arial" w:eastAsia="Arial" w:hAnsi="Arial"/>
                <w:b/>
                <w:bCs/>
                <w:color w:val="1B2430"/>
                <w:sz w:val="17"/>
                <w:szCs w:val="17"/>
              </w:rPr>
              <w:t xml:space="preserve">ejecutarlo</w:t>
            </w:r>
            <w:r>
              <w:rPr>
                <w:rFonts w:ascii="Arial" w:cs="Arial" w:eastAsia="Arial" w:hAnsi="Arial"/>
                <w:color w:val="1B2430"/>
                <w:sz w:val="17"/>
                <w:szCs w:val="17"/>
              </w:rPr>
              <w:t xml:space="preserve"> una persona que entró ayer, sin preguntar?</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9</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Si el supuesto no se realiza, ¿está </w:t>
            </w:r>
            <w:r>
              <w:rPr>
                <w:rFonts w:ascii="Arial" w:cs="Arial" w:eastAsia="Arial" w:hAnsi="Arial"/>
                <w:b/>
                <w:bCs/>
                <w:color w:val="1B2430"/>
                <w:sz w:val="17"/>
                <w:szCs w:val="17"/>
              </w:rPr>
              <w:t xml:space="preserve">declarado como no realizado</w:t>
            </w:r>
            <w:r>
              <w:rPr>
                <w:rFonts w:ascii="Arial" w:cs="Arial" w:eastAsia="Arial" w:hAnsi="Arial"/>
                <w:color w:val="1B2430"/>
                <w:sz w:val="17"/>
                <w:szCs w:val="17"/>
              </w:rPr>
              <w:t xml:space="preserve"> en términos del RCG 37 Bis 2?</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La prueba de las dos preguntas</w:t>
            </w:r>
          </w:p>
          <w:p>
            <w:pPr>
              <w:spacing w:after="100"/>
              <w:jc w:val="both"/>
            </w:pPr>
            <w:r>
              <w:rPr>
                <w:rFonts w:ascii="Arial" w:cs="Arial" w:eastAsia="Arial" w:hAnsi="Arial"/>
                <w:color w:val="1B2430"/>
                <w:sz w:val="18"/>
                <w:szCs w:val="18"/>
              </w:rPr>
              <w:t xml:space="preserve">Cuando no haya tiempo para las nueve, quedan dos, y son las que una visita usa:</w:t>
            </w:r>
          </w:p>
          <w:p>
            <w:pPr>
              <w:spacing w:after="0"/>
              <w:jc w:val="both"/>
            </w:pPr>
            <w:r>
              <w:rPr>
                <w:rFonts w:ascii="Arial" w:cs="Arial" w:eastAsia="Arial" w:hAnsi="Arial"/>
                <w:b/>
                <w:bCs/>
                <w:color w:val="1B2430"/>
                <w:sz w:val="18"/>
                <w:szCs w:val="18"/>
              </w:rPr>
              <w:t xml:space="preserve">¿Quién hace esto, y cómo me lo demuestra?</w:t>
            </w:r>
            <w:r>
              <w:rPr>
                <w:rFonts w:ascii="Arial" w:cs="Arial" w:eastAsia="Arial" w:hAnsi="Arial"/>
                <w:color w:val="1B2430"/>
                <w:sz w:val="18"/>
                <w:szCs w:val="18"/>
              </w:rPr>
              <w:t xml:space="preserve"> Si el Manual no contesta las dos con el texto en la mano, hay que reescribir el apartado.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12 · El ejercicio de hoy</w:t>
      </w:r>
    </w:p>
    <w:p>
      <w:pPr>
        <w:spacing w:after="150" w:line="300"/>
        <w:jc w:val="both"/>
      </w:pPr>
      <w:r>
        <w:rPr>
          <w:rFonts w:ascii="Georgia" w:cs="Georgia" w:eastAsia="Georgia" w:hAnsi="Georgia"/>
          <w:color w:val="1B2430"/>
          <w:sz w:val="20"/>
          <w:szCs w:val="20"/>
        </w:rPr>
        <w:t xml:space="preserve">Quince minutos, con la plantilla del Manual abierta —el entregable 02 de esta sesión— y esta guía al lado.</w:t>
      </w:r>
    </w:p>
    <w:p>
      <w:pPr>
        <w:spacing w:after="110" w:line="290"/>
        <w:ind w:left="520" w:hanging="520"/>
        <w:jc w:val="both"/>
      </w:pPr>
      <w:r>
        <w:rPr>
          <w:rFonts w:ascii="Georgia" w:cs="Georgia" w:eastAsia="Georgia" w:hAnsi="Georgia"/>
          <w:b/>
          <w:bCs/>
          <w:color w:val="B07A12"/>
          <w:sz w:val="20"/>
          <w:szCs w:val="20"/>
        </w:rPr>
        <w:t xml:space="preserve">1.   </w:t>
      </w:r>
      <w:r>
        <w:rPr>
          <w:rFonts w:ascii="Georgia" w:cs="Georgia" w:eastAsia="Georgia" w:hAnsi="Georgia"/>
          <w:b/>
          <w:bCs/>
          <w:color w:val="1B2430"/>
          <w:sz w:val="20"/>
          <w:szCs w:val="20"/>
        </w:rPr>
        <w:t xml:space="preserve">Elija una fracción</w:t>
      </w:r>
      <w:r>
        <w:rPr>
          <w:rFonts w:ascii="Georgia" w:cs="Georgia" w:eastAsia="Georgia" w:hAnsi="Georgia"/>
          <w:color w:val="1B2430"/>
          <w:sz w:val="20"/>
          <w:szCs w:val="20"/>
        </w:rPr>
        <w:t xml:space="preserve"> del artículo 37 Bis. No la más fácil: la que peor tenga hoy.</w:t>
      </w:r>
    </w:p>
    <w:p>
      <w:pPr>
        <w:spacing w:after="110" w:line="290"/>
        <w:ind w:left="520" w:hanging="520"/>
        <w:jc w:val="both"/>
      </w:pPr>
      <w:r>
        <w:rPr>
          <w:rFonts w:ascii="Georgia" w:cs="Georgia" w:eastAsia="Georgia" w:hAnsi="Georgia"/>
          <w:b/>
          <w:bCs/>
          <w:color w:val="B07A12"/>
          <w:sz w:val="20"/>
          <w:szCs w:val="20"/>
        </w:rPr>
        <w:t xml:space="preserve">2.   </w:t>
      </w:r>
      <w:r>
        <w:rPr>
          <w:rFonts w:ascii="Georgia" w:cs="Georgia" w:eastAsia="Georgia" w:hAnsi="Georgia"/>
          <w:b/>
          <w:bCs/>
          <w:color w:val="1B2430"/>
          <w:sz w:val="20"/>
          <w:szCs w:val="20"/>
        </w:rPr>
        <w:t xml:space="preserve">Ubique el registro</w:t>
      </w:r>
      <w:r>
        <w:rPr>
          <w:rFonts w:ascii="Georgia" w:cs="Georgia" w:eastAsia="Georgia" w:hAnsi="Georgia"/>
          <w:color w:val="1B2430"/>
          <w:sz w:val="20"/>
          <w:szCs w:val="20"/>
        </w:rPr>
        <w:t xml:space="preserve"> que pide, en la tabla del apartado 4.</w:t>
      </w:r>
    </w:p>
    <w:p>
      <w:pPr>
        <w:spacing w:after="110" w:line="290"/>
        <w:ind w:left="520" w:hanging="520"/>
        <w:jc w:val="both"/>
      </w:pPr>
      <w:r>
        <w:rPr>
          <w:rFonts w:ascii="Georgia" w:cs="Georgia" w:eastAsia="Georgia" w:hAnsi="Georgia"/>
          <w:b/>
          <w:bCs/>
          <w:color w:val="B07A12"/>
          <w:sz w:val="20"/>
          <w:szCs w:val="20"/>
        </w:rPr>
        <w:t xml:space="preserve">3.   </w:t>
      </w:r>
      <w:r>
        <w:rPr>
          <w:rFonts w:ascii="Georgia" w:cs="Georgia" w:eastAsia="Georgia" w:hAnsi="Georgia"/>
          <w:b/>
          <w:bCs/>
          <w:color w:val="1B2430"/>
          <w:sz w:val="20"/>
          <w:szCs w:val="20"/>
        </w:rPr>
        <w:t xml:space="preserve">Escriba los cuatro escalones.</w:t>
      </w:r>
      <w:r>
        <w:rPr>
          <w:rFonts w:ascii="Georgia" w:cs="Georgia" w:eastAsia="Georgia" w:hAnsi="Georgia"/>
          <w:color w:val="1B2430"/>
          <w:sz w:val="20"/>
          <w:szCs w:val="20"/>
        </w:rPr>
        <w:t xml:space="preserve"> Política de una frase; criterio que resuelva la discusión que ese tema les provoca; medida que ya exista o que decidan crear; y el procedimiento en tabla, con responsable, plazo y evidencia.</w:t>
      </w:r>
    </w:p>
    <w:p>
      <w:pPr>
        <w:spacing w:after="110" w:line="290"/>
        <w:ind w:left="520" w:hanging="520"/>
        <w:jc w:val="both"/>
      </w:pPr>
      <w:r>
        <w:rPr>
          <w:rFonts w:ascii="Georgia" w:cs="Georgia" w:eastAsia="Georgia" w:hAnsi="Georgia"/>
          <w:b/>
          <w:bCs/>
          <w:color w:val="B07A12"/>
          <w:sz w:val="20"/>
          <w:szCs w:val="20"/>
        </w:rPr>
        <w:t xml:space="preserve">4.   </w:t>
      </w:r>
      <w:r>
        <w:rPr>
          <w:rFonts w:ascii="Georgia" w:cs="Georgia" w:eastAsia="Georgia" w:hAnsi="Georgia"/>
          <w:b/>
          <w:bCs/>
          <w:color w:val="1B2430"/>
          <w:sz w:val="20"/>
          <w:szCs w:val="20"/>
        </w:rPr>
        <w:t xml:space="preserve">Páselo por la lista del apartado 11.</w:t>
      </w:r>
      <w:r>
        <w:rPr>
          <w:rFonts w:ascii="Georgia" w:cs="Georgia" w:eastAsia="Georgia" w:hAnsi="Georgia"/>
          <w:color w:val="1B2430"/>
          <w:sz w:val="20"/>
          <w:szCs w:val="20"/>
        </w:rPr>
        <w:t xml:space="preserve"> Corrija lo que no pase.</w:t>
      </w:r>
    </w:p>
    <w:p>
      <w:pPr>
        <w:spacing w:after="110"/>
      </w:pPr>
    </w:p>
    <w:p>
      <w:pPr>
        <w:spacing w:after="150" w:line="300"/>
        <w:jc w:val="both"/>
      </w:pPr>
      <w:r>
        <w:rPr>
          <w:rFonts w:ascii="Georgia" w:cs="Georgia" w:eastAsia="Georgia" w:hAnsi="Georgia"/>
          <w:color w:val="1B2430"/>
          <w:sz w:val="20"/>
          <w:szCs w:val="20"/>
        </w:rPr>
        <w:t xml:space="preserve">Al terminar tendrán un apartado real de su propio Manual y el método para escribir los trece restantes. Es el único ejercicio de este taller cuyo resultado se puede pegar tal cual en un documento que la autoridad va a leer.</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Y para esta semana</w:t>
            </w:r>
          </w:p>
          <w:p>
            <w:pPr>
              <w:spacing w:after="0"/>
              <w:jc w:val="both"/>
            </w:pPr>
            <w:r>
              <w:rPr>
                <w:rFonts w:ascii="Arial" w:cs="Arial" w:eastAsia="Arial" w:hAnsi="Arial"/>
                <w:color w:val="1B2430"/>
                <w:sz w:val="18"/>
                <w:szCs w:val="18"/>
              </w:rPr>
              <w:t xml:space="preserve">De las cuatro tareas de la sesión, la que toca a esta guía es la tercera: </w:t>
            </w:r>
            <w:r>
              <w:rPr>
                <w:rFonts w:ascii="Arial" w:cs="Arial" w:eastAsia="Arial" w:hAnsi="Arial"/>
                <w:b/>
                <w:bCs/>
                <w:color w:val="1B2430"/>
                <w:sz w:val="18"/>
                <w:szCs w:val="18"/>
              </w:rPr>
              <w:t xml:space="preserve">escriban el apartado 18 de la plantilla, el de los supuestos que no realizan.</w:t>
            </w:r>
            <w:r>
              <w:rPr>
                <w:rFonts w:ascii="Arial" w:cs="Arial" w:eastAsia="Arial" w:hAnsi="Arial"/>
                <w:color w:val="1B2430"/>
                <w:sz w:val="18"/>
                <w:szCs w:val="18"/>
              </w:rPr>
              <w:t xml:space="preserve"> Es el que más páginas ahorra, el que casi nadie tiene, y el único que se puede terminar completo en una sola sesión de trabajo.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Aviso</w:t>
      </w:r>
    </w:p>
    <w:p>
      <w:pPr>
        <w:spacing w:after="150" w:line="300"/>
        <w:jc w:val="both"/>
      </w:pPr>
      <w:r>
        <w:rPr>
          <w:rFonts w:ascii="Georgia" w:cs="Georgia" w:eastAsia="Georgia" w:hAnsi="Georgia"/>
          <w:i/>
          <w:iCs/>
          <w:color w:val="1B2430"/>
          <w:sz w:val="20"/>
          <w:szCs w:val="20"/>
        </w:rPr>
        <w:t xml:space="preserve">Este documento es material de análisis y capacitación. No es asesoría legal, no es interpretación oficial y no sustituye el criterio de la autoridad competente.</w:t>
      </w:r>
      <w:r>
        <w:rPr>
          <w:rFonts w:ascii="Georgia" w:cs="Georgia" w:eastAsia="Georgia" w:hAnsi="Georgia"/>
          <w:i w:val="false"/>
          <w:iCs w:val="false"/>
          <w:color w:val="1B2430"/>
          <w:sz w:val="20"/>
          <w:szCs w:val="20"/>
        </w:rPr>
        <w:t xml:space="preserve"> Conforme al artículo 5 de la Ley corresponde a la Secretaría de Hacienda y Crédito Público aplicar e interpretar estos ordenamientos en el ámbito administrativo; el artículo 3, fracción I del Reglamento radica esa interpretación en la Unidad de Inteligencia Financiera, y el artículo 40 de las propias Reglas lo confirma. Nada de lo aquí escrito la vincula ni la anticipa.</w:t>
      </w:r>
    </w:p>
    <w:p>
      <w:pPr>
        <w:spacing w:after="150" w:line="300"/>
        <w:jc w:val="both"/>
      </w:pPr>
      <w:r>
        <w:rPr>
          <w:rFonts w:ascii="Georgia" w:cs="Georgia" w:eastAsia="Georgia" w:hAnsi="Georgia"/>
          <w:color w:val="1B2430"/>
          <w:sz w:val="20"/>
          <w:szCs w:val="20"/>
        </w:rPr>
        <w:t xml:space="preserve">Las cláusulas modelo de esta guía son </w:t>
      </w:r>
      <w:r>
        <w:rPr>
          <w:rFonts w:ascii="Georgia" w:cs="Georgia" w:eastAsia="Georgia" w:hAnsi="Georgia"/>
          <w:b/>
          <w:bCs/>
          <w:color w:val="1B2430"/>
          <w:sz w:val="20"/>
          <w:szCs w:val="20"/>
        </w:rPr>
        <w:t xml:space="preserve">ejemplos de redacción, no plantillas para copiar</w:t>
      </w:r>
      <w:r>
        <w:rPr>
          <w:rFonts w:ascii="Georgia" w:cs="Georgia" w:eastAsia="Georgia" w:hAnsi="Georgia"/>
          <w:color w:val="1B2430"/>
          <w:sz w:val="20"/>
          <w:szCs w:val="20"/>
        </w:rPr>
        <w:t xml:space="preserve">. Un Manual copiado incurre en el segundo de los errores del apartado 9. Cada apartado debe responder a la operación real de quien lo escribe y a los resultados de su propia metodología de evaluación de Riesgos.</w:t>
      </w:r>
    </w:p>
    <w:p>
      <w:pPr>
        <w:spacing w:after="150" w:line="300"/>
        <w:jc w:val="both"/>
      </w:pPr>
      <w:r>
        <w:rPr>
          <w:rFonts w:ascii="Georgia" w:cs="Georgia" w:eastAsia="Georgia" w:hAnsi="Georgia"/>
          <w:color w:val="1B2430"/>
          <w:sz w:val="20"/>
          <w:szCs w:val="20"/>
        </w:rPr>
        <w:t xml:space="preserve">Citas: Ley Federal para la Prevención e Identificación de Operaciones con Recursos de Procedencia Ilícita, última reforma DOF 16 de julio de 2025 · su Reglamento, reforma DOF 27 de marzo de 2026 · Reglas de Carácter General en su texto compilado con el ACUERDO 115/2026, DOF 7 de agosto de 2026, en vigor el 30 de noviembre de 2026 con vigencias escalonadas. El Capítulo X —el del Manual— es exigible con la metodología incorporada a partir del </w:t>
      </w:r>
      <w:r>
        <w:rPr>
          <w:rFonts w:ascii="Georgia" w:cs="Georgia" w:eastAsia="Georgia" w:hAnsi="Georgia"/>
          <w:b/>
          <w:bCs/>
          <w:color w:val="1B2430"/>
          <w:sz w:val="20"/>
          <w:szCs w:val="20"/>
        </w:rPr>
        <w:t xml:space="preserve">1 de marzo de 2027</w:t>
      </w:r>
      <w:r>
        <w:rPr>
          <w:rFonts w:ascii="Georgia" w:cs="Georgia" w:eastAsia="Georgia" w:hAnsi="Georgia"/>
          <w:color w:val="1B2430"/>
          <w:sz w:val="20"/>
          <w:szCs w:val="20"/>
        </w:rPr>
        <w:t xml:space="preserve">, conforme al Transitorio Tercero.</w:t>
      </w:r>
    </w:p>
    <w:p>
      <w:pPr>
        <w:spacing w:after="150" w:line="300"/>
        <w:jc w:val="both"/>
      </w:pPr>
      <w:r>
        <w:rPr>
          <w:rFonts w:ascii="Georgia" w:cs="Georgia" w:eastAsia="Georgia" w:hAnsi="Georgia"/>
          <w:color w:val="1B2430"/>
          <w:sz w:val="20"/>
          <w:szCs w:val="20"/>
        </w:rPr>
        <w:t xml:space="preserve">Formación continua. Este taller no otorga certificación alguna.</w:t>
      </w:r>
    </w:p>
    <w:sectPr>
      <w:headerReference w:type="default" r:id="rId7"/>
      <w:headerReference w:type="first" r:id="rId8"/>
      <w:footerReference w:type="default" r:id="rId9"/>
      <w:footerReference w:type="first" r:id="rId10"/>
      <w:pgSz w:w="12240" w:h="15840" w:orient="portrait"/>
      <w:pgMar w:top="1300" w:right="1440" w:bottom="120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A6472"/>
        <w:sz w:val="15"/>
        <w:szCs w:val="15"/>
      </w:rPr>
      <w:t xml:space="preserve">GMC360 · 360Educa · ASONOC</w:t>
    </w:r>
    <w:r>
      <w:rPr>
        <w:rFonts w:ascii="Arial" w:cs="Arial" w:eastAsia="Arial" w:hAnsi="Arial"/>
        <w:sz w:val="15"/>
        <w:szCs w:val="15"/>
      </w:rPr>
      <w:t xml:space="preserve">	</w:t>
    </w:r>
    <w:r>
      <w:rPr>
        <w:rFonts w:ascii="Arial" w:cs="Arial" w:eastAsia="Arial" w:hAnsi="Arial"/>
        <w:b/>
        <w:bCs/>
        <w:color w:val="12224A"/>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4" w:space="6"/>
      </w:pBdr>
      <w:tabs>
        <w:tab w:val="right" w:pos="9360"/>
      </w:tabs>
    </w:pPr>
    <w:r>
      <w:rPr>
        <w:rFonts w:ascii="Arial" w:cs="Arial" w:eastAsia="Arial" w:hAnsi="Arial"/>
        <w:color w:val="5A6472"/>
        <w:sz w:val="15"/>
        <w:szCs w:val="15"/>
      </w:rPr>
      <w:t xml:space="preserve">Cómo se escribe un Manual de Políticas Internas</w:t>
    </w:r>
    <w:r>
      <w:rPr>
        <w:rFonts w:ascii="Arial" w:cs="Arial" w:eastAsia="Arial" w:hAnsi="Arial"/>
        <w:color w:val="5A6472"/>
        <w:sz w:val="15"/>
        <w:szCs w:val="15"/>
      </w:rPr>
      <w:t xml:space="preserve">	Taller Antilavado 360 · Sesión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escribe un Manual de Políticas Internas — Guía de redacción</dc:title>
  <dc:creator>GMC360 · 360Educa</dc:creator>
  <dc:description>Sesión 3 del Taller Antilavado 360. Método de los cuatro escalones y modelos desarrollados.</dc:description>
  <cp:lastModifiedBy>Un-named</cp:lastModifiedBy>
  <cp:revision>1</cp:revision>
  <dcterms:created xsi:type="dcterms:W3CDTF">2026-09-01T02:49:00.613Z</dcterms:created>
  <dcterms:modified xsi:type="dcterms:W3CDTF">2026-09-01T02:49:00.613Z</dcterms:modified>
</cp:coreProperties>
</file>

<file path=docProps/custom.xml><?xml version="1.0" encoding="utf-8"?>
<Properties xmlns="http://schemas.openxmlformats.org/officeDocument/2006/custom-properties" xmlns:vt="http://schemas.openxmlformats.org/officeDocument/2006/docPropsVTypes"/>
</file>