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color w:val="B07A12"/>
          <w:spacing w:val="60"/>
          <w:sz w:val="18"/>
          <w:szCs w:val="18"/>
        </w:rPr>
        <w:t xml:space="preserve">CURSO–TALLER PLD/FT</w:t>
      </w:r>
    </w:p>
    <w:p>
      <w:pPr>
        <w:pBdr>
          <w:bottom w:val="single" w:color="12224A" w:sz="14" w:space="8"/>
        </w:pBdr>
        <w:spacing w:after="200"/>
      </w:pPr>
    </w:p>
    <w:p>
      <w:pPr>
        <w:spacing w:after="150"/>
      </w:pPr>
      <w:r>
        <w:rPr>
          <w:rFonts w:ascii="Georgia" w:cs="Georgia" w:eastAsia="Georgia" w:hAnsi="Georgia"/>
          <w:b/>
          <w:bCs/>
          <w:color w:val="12224A"/>
          <w:sz w:val="44"/>
          <w:szCs w:val="44"/>
        </w:rPr>
        <w:t xml:space="preserve">Cómo se escribe un Manual de Políticas Internas</w:t>
      </w:r>
    </w:p>
    <w:p>
      <w:pPr>
        <w:spacing w:after="340"/>
      </w:pPr>
      <w:r>
        <w:rPr>
          <w:rFonts w:ascii="Georgia" w:cs="Georgia" w:eastAsia="Georgia" w:hAnsi="Georgia"/>
          <w:i/>
          <w:iCs/>
          <w:color w:val="5A6472"/>
          <w:sz w:val="26"/>
          <w:szCs w:val="26"/>
        </w:rPr>
        <w:t xml:space="preserve">De la norma al texto: política, criterio, medida y procedimiento</w:t>
      </w:r>
    </w:p>
    <w:p>
      <w:pPr>
        <w:spacing w:after="80"/>
      </w:pPr>
      <w:r>
        <w:rPr>
          <w:rFonts w:ascii="Arial" w:cs="Arial" w:eastAsia="Arial" w:hAnsi="Arial"/>
          <w:color w:val="1B2430"/>
          <w:sz w:val="20"/>
          <w:szCs w:val="20"/>
        </w:rPr>
        <w:t xml:space="preserve">Guía de redacción · Material del Módulo 5</w:t>
      </w:r>
    </w:p>
    <w:p>
      <w:pPr>
        <w:spacing w:after="420"/>
      </w:pPr>
      <w:r>
        <w:rPr>
          <w:rFonts w:ascii="Arial" w:cs="Arial" w:eastAsia="Arial" w:hAnsi="Arial"/>
          <w:i/>
          <w:iCs/>
          <w:color w:val="5A6472"/>
          <w:sz w:val="19"/>
          <w:szCs w:val="19"/>
        </w:rPr>
        <w:t xml:space="preserve">Se usa con la plantilla del Manual abierta.</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Lo que esta guía resuelve</w:t>
            </w:r>
          </w:p>
          <w:p>
            <w:pPr>
              <w:spacing w:after="100"/>
              <w:jc w:val="both"/>
            </w:pPr>
            <w:r>
              <w:rPr>
                <w:rFonts w:ascii="Arial" w:cs="Arial" w:eastAsia="Arial" w:hAnsi="Arial"/>
                <w:color w:val="1B2430"/>
                <w:sz w:val="18"/>
                <w:szCs w:val="18"/>
              </w:rPr>
              <w:t xml:space="preserve">La mayoría de los manuales del sector son la ley transcrita con otro tipo de letra. Cumplen a la vista y se caen en la primera visita, porque no dicen quién hace qué, cuándo, ni qué rastro deja.</w:t>
            </w:r>
          </w:p>
          <w:p>
            <w:pPr>
              <w:spacing w:after="0"/>
              <w:jc w:val="both"/>
            </w:pPr>
            <w:r>
              <w:rPr>
                <w:rFonts w:ascii="Arial" w:cs="Arial" w:eastAsia="Arial" w:hAnsi="Arial"/>
                <w:color w:val="1B2430"/>
                <w:sz w:val="18"/>
                <w:szCs w:val="18"/>
              </w:rPr>
              <w:t xml:space="preserve">Aquí está el método para escribir el suyo: el vocabulario que la propia norma da, qué tipo de texto pide cada fracción del contenido mínimo, seis pasos para pasar del precepto al texto, y dos apartados desarrollados de principio a fin como modelo.</w:t>
            </w:r>
          </w:p>
        </w:tc>
      </w:tr>
    </w:tbl>
    <w:p>
      <w:pPr>
        <w:spacing w:after="190"/>
      </w:pPr>
    </w:p>
    <w:p>
      <w:pPr>
        <w:spacing w:after="40" w:before="520"/>
      </w:pPr>
      <w:r>
        <w:rPr>
          <w:rFonts w:ascii="Arial" w:cs="Arial" w:eastAsia="Arial" w:hAnsi="Arial"/>
          <w:b/>
          <w:bCs/>
          <w:color w:val="12224A"/>
          <w:sz w:val="20"/>
          <w:szCs w:val="20"/>
        </w:rPr>
        <w:t xml:space="preserve"/>
      </w:r>
    </w:p>
    <w:p>
      <w:pPr>
        <w:spacing w:after="40"/>
      </w:pPr>
      <w:r>
        <w:rPr>
          <w:rFonts w:ascii="Arial" w:cs="Arial" w:eastAsia="Arial" w:hAnsi="Arial"/>
          <w:color w:val="5A6472"/>
          <w:sz w:val="18"/>
          <w:szCs w:val="18"/>
        </w:rPr>
        <w:t xml:space="preserve">Imparte: Maribel Vázquez Menchaca · GMC360 · 360Educa</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 · El manual transcrito no es un manual</w:t>
      </w:r>
    </w:p>
    <w:p>
      <w:pPr>
        <w:spacing w:after="150" w:line="300"/>
        <w:jc w:val="both"/>
      </w:pPr>
      <w:r>
        <w:rPr>
          <w:rFonts w:ascii="Georgia" w:cs="Georgia" w:eastAsia="Georgia" w:hAnsi="Georgia"/>
          <w:color w:val="1B2430"/>
          <w:sz w:val="20"/>
          <w:szCs w:val="20"/>
        </w:rPr>
        <w:t xml:space="preserve">Abra cualquier manual del sector y encontrará el mismo documento: los artículos de la Ley copiados, los de las Reglas copiados debajo, y entre uno y otro la frase «la empresa dará cumplimiento a lo anterior». Ese documento no incumple por lo que dice. Incumple por lo que no dice.</w:t>
      </w:r>
    </w:p>
    <w:p>
      <w:pPr>
        <w:spacing w:after="150" w:line="300"/>
        <w:jc w:val="both"/>
      </w:pPr>
      <w:r>
        <w:rPr>
          <w:rFonts w:ascii="Georgia" w:cs="Georgia" w:eastAsia="Georgia" w:hAnsi="Georgia"/>
          <w:color w:val="1B2430"/>
          <w:sz w:val="20"/>
          <w:szCs w:val="20"/>
        </w:rPr>
        <w:t xml:space="preserve">La norma no pide una copia. Pide que usted </w:t>
      </w:r>
      <w:r>
        <w:rPr>
          <w:rFonts w:ascii="Georgia" w:cs="Georgia" w:eastAsia="Georgia" w:hAnsi="Georgia"/>
          <w:b/>
          <w:bCs/>
          <w:color w:val="1B2430"/>
          <w:sz w:val="20"/>
          <w:szCs w:val="20"/>
        </w:rPr>
        <w:t xml:space="preserve">desarrolle</w:t>
      </w:r>
      <w:r>
        <w:rPr>
          <w:rFonts w:ascii="Georgia" w:cs="Georgia" w:eastAsia="Georgia" w:hAnsi="Georgia"/>
          <w:color w:val="1B2430"/>
          <w:sz w:val="20"/>
          <w:szCs w:val="20"/>
        </w:rPr>
        <w:t xml:space="preserve"> algo, y usa esa palabra:</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Quienes realicen Actividades Vulnerables […] deberán contar con un Manual de Políticas Internas en el que </w:t>
            </w:r>
            <w:r>
              <w:rPr>
                <w:rFonts w:ascii="Georgia" w:cs="Georgia" w:eastAsia="Georgia" w:hAnsi="Georgia"/>
                <w:b/>
                <w:bCs/>
                <w:i/>
                <w:iCs/>
                <w:color w:val="12224A"/>
                <w:sz w:val="20"/>
                <w:szCs w:val="20"/>
              </w:rPr>
              <w:t xml:space="preserve">desarrollen</w:t>
            </w:r>
            <w:r>
              <w:rPr>
                <w:rFonts w:ascii="Georgia" w:cs="Georgia" w:eastAsia="Georgia" w:hAnsi="Georgia"/>
                <w:i/>
                <w:iCs/>
                <w:color w:val="12224A"/>
                <w:sz w:val="20"/>
                <w:szCs w:val="20"/>
              </w:rPr>
              <w:t xml:space="preserve"> sus políticas y lineamientos de identificación y conocimiento de Clientes o Usuarias, así como los criterios, medidas y procedimientos internos que deberá adoptar para dar cumplimiento a lo previsto en las presentes reglas, la Ley, su Reglamento, y demás disposiciones que de ellas emanen y para gestionar los Riesgos a que está expuesta </w:t>
            </w:r>
            <w:r>
              <w:rPr>
                <w:rFonts w:ascii="Georgia" w:cs="Georgia" w:eastAsia="Georgia" w:hAnsi="Georgia"/>
                <w:b/>
                <w:bCs/>
                <w:i/>
                <w:iCs/>
                <w:color w:val="12224A"/>
                <w:sz w:val="20"/>
                <w:szCs w:val="20"/>
              </w:rPr>
              <w:t xml:space="preserve">de acuerdo con los resultados de la implementación de la metodología</w:t>
            </w:r>
            <w:r>
              <w:rPr>
                <w:rFonts w:ascii="Georgia" w:cs="Georgia" w:eastAsia="Georgia" w:hAnsi="Georgia"/>
                <w:i/>
                <w:iCs/>
                <w:color w:val="12224A"/>
                <w:sz w:val="20"/>
                <w:szCs w:val="20"/>
              </w:rPr>
              <w:t xml:space="preserve">…</w:t>
            </w:r>
          </w:p>
          <w:p>
            <w:pPr>
              <w:spacing w:after="0"/>
            </w:pPr>
            <w:r>
              <w:rPr>
                <w:rFonts w:ascii="Arial" w:cs="Arial" w:eastAsia="Arial" w:hAnsi="Arial"/>
                <w:color w:val="5A6472"/>
                <w:sz w:val="16"/>
                <w:szCs w:val="16"/>
              </w:rPr>
              <w:t xml:space="preserve">RCG art. 37, primer párrafo</w:t>
            </w:r>
          </w:p>
        </w:tc>
      </w:tr>
    </w:tbl>
    <w:p>
      <w:pPr>
        <w:spacing w:after="170"/>
      </w:pPr>
    </w:p>
    <w:p>
      <w:pPr>
        <w:spacing w:after="150" w:line="300"/>
        <w:jc w:val="both"/>
      </w:pPr>
      <w:r>
        <w:rPr>
          <w:rFonts w:ascii="Georgia" w:cs="Georgia" w:eastAsia="Georgia" w:hAnsi="Georgia"/>
          <w:color w:val="1B2430"/>
          <w:sz w:val="20"/>
          <w:szCs w:val="20"/>
        </w:rPr>
        <w:t xml:space="preserve">Dos exigencias en una sola frase. La primera: desarrollar, no reproducir. La segunda: que lo desarrollado responda a los resultados de </w:t>
      </w:r>
      <w:r>
        <w:rPr>
          <w:rFonts w:ascii="Georgia" w:cs="Georgia" w:eastAsia="Georgia" w:hAnsi="Georgia"/>
          <w:b/>
          <w:bCs/>
          <w:color w:val="1B2430"/>
          <w:sz w:val="20"/>
          <w:szCs w:val="20"/>
        </w:rPr>
        <w:t xml:space="preserve">su</w:t>
      </w:r>
      <w:r>
        <w:rPr>
          <w:rFonts w:ascii="Georgia" w:cs="Georgia" w:eastAsia="Georgia" w:hAnsi="Georgia"/>
          <w:color w:val="1B2430"/>
          <w:sz w:val="20"/>
          <w:szCs w:val="20"/>
        </w:rPr>
        <w:t xml:space="preserve"> metodología de riesgos, la del Módulo 8. Un manual que podría pertenecer a cualquier otra empresa no cumple ninguna de las dos, y se detecta en un minuto: basta con preguntar por qué un control está ahí y no otro.</w:t>
      </w:r>
    </w:p>
    <w:p>
      <w:pPr>
        <w:pStyle w:val="Heading2"/>
        <w:keepNext/>
        <w:spacing w:after="150" w:before="340"/>
      </w:pPr>
      <w:r>
        <w:rPr>
          <w:rFonts w:ascii="Georgia" w:cs="Georgia" w:eastAsia="Georgia" w:hAnsi="Georgia"/>
          <w:b/>
          <w:bCs/>
          <w:color w:val="1B2E5C"/>
          <w:sz w:val="23"/>
          <w:szCs w:val="23"/>
        </w:rPr>
        <w:t xml:space="preserve">La obligación es doble y está en una sola fracción</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b/>
                <w:bCs/>
                <w:i/>
                <w:iCs/>
                <w:color w:val="12224A"/>
                <w:sz w:val="20"/>
                <w:szCs w:val="20"/>
              </w:rPr>
              <w:t xml:space="preserve">Elaborar y observar</w:t>
            </w:r>
            <w:r>
              <w:rPr>
                <w:rFonts w:ascii="Georgia" w:cs="Georgia" w:eastAsia="Georgia" w:hAnsi="Georgia"/>
                <w:i/>
                <w:iCs/>
                <w:color w:val="12224A"/>
                <w:sz w:val="20"/>
                <w:szCs w:val="20"/>
              </w:rPr>
              <w:t xml:space="preserve"> un Manual de Políticas Internas que contenga los </w:t>
            </w:r>
            <w:r>
              <w:rPr>
                <w:rFonts w:ascii="Georgia" w:cs="Georgia" w:eastAsia="Georgia" w:hAnsi="Georgia"/>
                <w:b/>
                <w:bCs/>
                <w:i/>
                <w:iCs/>
                <w:color w:val="12224A"/>
                <w:sz w:val="20"/>
                <w:szCs w:val="20"/>
              </w:rPr>
              <w:t xml:space="preserve">criterios, medidas y procedimientos</w:t>
            </w:r>
            <w:r>
              <w:rPr>
                <w:rFonts w:ascii="Georgia" w:cs="Georgia" w:eastAsia="Georgia" w:hAnsi="Georgia"/>
                <w:i/>
                <w:iCs/>
                <w:color w:val="12224A"/>
                <w:sz w:val="20"/>
                <w:szCs w:val="20"/>
              </w:rPr>
              <w:t xml:space="preserve"> necesarios para cumplir con las obligaciones previstas en la presente Ley, incluyendo las que les permitan identificar y dar seguimiento a los actos u operaciones que lleven a cabo con Personas Políticamente Expuestas, en los términos de las reglas de carácter general que emita la Secretaría.</w:t>
            </w:r>
          </w:p>
          <w:p>
            <w:pPr>
              <w:spacing w:after="0"/>
            </w:pPr>
            <w:r>
              <w:rPr>
                <w:rFonts w:ascii="Arial" w:cs="Arial" w:eastAsia="Arial" w:hAnsi="Arial"/>
                <w:color w:val="5A6472"/>
                <w:sz w:val="16"/>
                <w:szCs w:val="16"/>
              </w:rPr>
              <w:t xml:space="preserve">Ley art. 18, fracción VIII</w:t>
            </w:r>
          </w:p>
        </w:tc>
      </w:tr>
    </w:tbl>
    <w:p>
      <w:pPr>
        <w:spacing w:after="170"/>
      </w:pPr>
    </w:p>
    <w:p>
      <w:pPr>
        <w:spacing w:after="150" w:line="300"/>
        <w:jc w:val="both"/>
      </w:pPr>
      <w:r>
        <w:rPr>
          <w:rFonts w:ascii="Georgia" w:cs="Georgia" w:eastAsia="Georgia" w:hAnsi="Georgia"/>
          <w:color w:val="1B2430"/>
          <w:sz w:val="20"/>
          <w:szCs w:val="20"/>
        </w:rPr>
        <w:t xml:space="preserve">Elaborar es tenerlo. Observar es aplicarlo. Son dos verbos y son dos incumplimientos distintos: se puede tener un manual impecable y estar incumpliendo la fracción VIII todos los días. Por eso la redacción importa tanto — </w:t>
      </w:r>
      <w:r>
        <w:rPr>
          <w:rFonts w:ascii="Georgia" w:cs="Georgia" w:eastAsia="Georgia" w:hAnsi="Georgia"/>
          <w:b/>
          <w:bCs/>
          <w:color w:val="1B2430"/>
          <w:sz w:val="20"/>
          <w:szCs w:val="20"/>
        </w:rPr>
        <w:t xml:space="preserve">un apartado que nadie puede ejecutar es un apartado que nadie va a observar.</w:t>
      </w: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Si un apartado de su Manual no nombra un responsable, un plazo y una evidencia, no es un procedimiento. Es una transcripción.</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2 · El vocabulario lo da la norma</w:t>
      </w:r>
    </w:p>
    <w:p>
      <w:pPr>
        <w:spacing w:after="150" w:line="300"/>
        <w:jc w:val="both"/>
      </w:pPr>
      <w:r>
        <w:rPr>
          <w:rFonts w:ascii="Georgia" w:cs="Georgia" w:eastAsia="Georgia" w:hAnsi="Georgia"/>
          <w:color w:val="1B2430"/>
          <w:sz w:val="20"/>
          <w:szCs w:val="20"/>
        </w:rPr>
        <w:t xml:space="preserve">No hay que inventar la estructura de un apartado. La norma la dice, y la repite en varios lugares con las mismas palabras.</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b/>
                <w:bCs/>
                <w:i/>
                <w:iCs/>
                <w:color w:val="12224A"/>
                <w:sz w:val="20"/>
                <w:szCs w:val="20"/>
              </w:rPr>
              <w:t xml:space="preserve">Mitigantes</w:t>
            </w:r>
            <w:r>
              <w:rPr>
                <w:rFonts w:ascii="Georgia" w:cs="Georgia" w:eastAsia="Georgia" w:hAnsi="Georgia"/>
                <w:i/>
                <w:iCs/>
                <w:color w:val="12224A"/>
                <w:sz w:val="20"/>
                <w:szCs w:val="20"/>
              </w:rPr>
              <w:t xml:space="preserve">, a las </w:t>
            </w:r>
            <w:r>
              <w:rPr>
                <w:rFonts w:ascii="Georgia" w:cs="Georgia" w:eastAsia="Georgia" w:hAnsi="Georgia"/>
                <w:b/>
                <w:bCs/>
                <w:i/>
                <w:iCs/>
                <w:color w:val="12224A"/>
                <w:sz w:val="20"/>
                <w:szCs w:val="20"/>
              </w:rPr>
              <w:t xml:space="preserve">políticas, criterios, medidas y procedimientos</w:t>
            </w:r>
            <w:r>
              <w:rPr>
                <w:rFonts w:ascii="Georgia" w:cs="Georgia" w:eastAsia="Georgia" w:hAnsi="Georgia"/>
                <w:i/>
                <w:iCs/>
                <w:color w:val="12224A"/>
                <w:sz w:val="20"/>
                <w:szCs w:val="20"/>
              </w:rPr>
              <w:t xml:space="preserve"> implementados por quienes realicen Actividades Vulnerables que contribuyen a administrar y disminuir la exposición a los Riesgos identificados en la metodología…</w:t>
            </w:r>
          </w:p>
          <w:p>
            <w:pPr>
              <w:spacing w:after="0"/>
            </w:pPr>
            <w:r>
              <w:rPr>
                <w:rFonts w:ascii="Arial" w:cs="Arial" w:eastAsia="Arial" w:hAnsi="Arial"/>
                <w:color w:val="5A6472"/>
                <w:sz w:val="16"/>
                <w:szCs w:val="16"/>
              </w:rPr>
              <w:t xml:space="preserve">RCG art. 3, fracción XI Quinquies</w:t>
            </w:r>
          </w:p>
        </w:tc>
      </w:tr>
    </w:tbl>
    <w:p>
      <w:pPr>
        <w:spacing w:after="170"/>
      </w:pP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…elaborarán y observarán los </w:t>
            </w:r>
            <w:r>
              <w:rPr>
                <w:rFonts w:ascii="Georgia" w:cs="Georgia" w:eastAsia="Georgia" w:hAnsi="Georgia"/>
                <w:b/>
                <w:bCs/>
                <w:i/>
                <w:iCs/>
                <w:color w:val="12224A"/>
                <w:sz w:val="20"/>
                <w:szCs w:val="20"/>
              </w:rPr>
              <w:t xml:space="preserve">criterios, medidas y procedimientos</w:t>
            </w:r>
            <w:r>
              <w:rPr>
                <w:rFonts w:ascii="Georgia" w:cs="Georgia" w:eastAsia="Georgia" w:hAnsi="Georgia"/>
                <w:i/>
                <w:iCs/>
                <w:color w:val="12224A"/>
                <w:sz w:val="20"/>
                <w:szCs w:val="20"/>
              </w:rPr>
              <w:t xml:space="preserve"> internos que se requieran para su debido cumplimiento […], los cuales deberán </w:t>
            </w:r>
            <w:r>
              <w:rPr>
                <w:rFonts w:ascii="Georgia" w:cs="Georgia" w:eastAsia="Georgia" w:hAnsi="Georgia"/>
                <w:b/>
                <w:bCs/>
                <w:i/>
                <w:iCs/>
                <w:color w:val="12224A"/>
                <w:sz w:val="20"/>
                <w:szCs w:val="20"/>
              </w:rPr>
              <w:t xml:space="preserve">formar parte integrante del Manual de Políticas Internas</w:t>
            </w:r>
            <w:r>
              <w:rPr>
                <w:rFonts w:ascii="Georgia" w:cs="Georgia" w:eastAsia="Georgia" w:hAnsi="Georgia"/>
                <w:i/>
                <w:iCs/>
                <w:color w:val="12224A"/>
                <w:sz w:val="20"/>
                <w:szCs w:val="20"/>
              </w:rPr>
              <w:t xml:space="preserve"> a que se refiere el artículo 37 de estas reglas.</w:t>
            </w:r>
          </w:p>
          <w:p>
            <w:pPr>
              <w:spacing w:after="0"/>
            </w:pPr>
            <w:r>
              <w:rPr>
                <w:rFonts w:ascii="Arial" w:cs="Arial" w:eastAsia="Arial" w:hAnsi="Arial"/>
                <w:color w:val="5A6472"/>
                <w:sz w:val="16"/>
                <w:szCs w:val="16"/>
              </w:rPr>
              <w:t xml:space="preserve">RCG art. 11, primer párrafo</w:t>
            </w:r>
          </w:p>
        </w:tc>
      </w:tr>
    </w:tbl>
    <w:p>
      <w:pPr>
        <w:spacing w:after="170"/>
      </w:pP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Y los pide JUNTOS, para cada obligación. No reparte unos temas a criterios y otros a procedimientos: cada obligación se desarrolla completa.</w:t>
            </w:r>
          </w:p>
        </w:tc>
      </w:tr>
    </w:tbl>
    <w:p>
      <w:pPr>
        <w:spacing w:after="190"/>
      </w:pPr>
    </w:p>
    <w:p>
      <w:pPr>
        <w:spacing w:after="150" w:line="300"/>
        <w:jc w:val="both"/>
      </w:pPr>
      <w:r>
        <w:rPr>
          <w:rFonts w:ascii="Georgia" w:cs="Georgia" w:eastAsia="Georgia" w:hAnsi="Georgia"/>
          <w:color w:val="1B2430"/>
          <w:sz w:val="20"/>
          <w:szCs w:val="20"/>
        </w:rPr>
        <w:t xml:space="preserve">De ahí el método. Para cada una de las obligaciones del contenido mínimo se recorren cuatro planos, y del recorrido sale el apartado escrito.</w:t>
      </w:r>
    </w:p>
    <w:p>
      <w:pPr>
        <w:spacing w:after="150" w:line="300"/>
        <w:jc w:val="both"/>
      </w:pPr>
      <w:r>
        <w:rPr>
          <w:rFonts w:ascii="Georgia" w:cs="Georgia" w:eastAsia="Georgia" w:hAnsi="Georgia"/>
          <w:color w:val="1B2430"/>
          <w:sz w:val="20"/>
          <w:szCs w:val="20"/>
        </w:rPr>
        <w:t xml:space="preserve">En la práctica eso se escribe en </w:t>
      </w:r>
      <w:r>
        <w:rPr>
          <w:rFonts w:ascii="Georgia" w:cs="Georgia" w:eastAsia="Georgia" w:hAnsi="Georgia"/>
          <w:b/>
          <w:bCs/>
          <w:color w:val="1B2430"/>
          <w:sz w:val="20"/>
          <w:szCs w:val="20"/>
        </w:rPr>
        <w:t xml:space="preserve">dos bloques por apartado</w:t>
      </w:r>
      <w:r>
        <w:rPr>
          <w:rFonts w:ascii="Georgia" w:cs="Georgia" w:eastAsia="Georgia" w:hAnsi="Georgia"/>
          <w:color w:val="1B2430"/>
          <w:sz w:val="20"/>
          <w:szCs w:val="20"/>
        </w:rPr>
        <w:t xml:space="preserve">, y así está armada la plantilla que se entrega hoy:</w:t>
      </w:r>
    </w:p>
    <w:tbl>
      <w:tblPr>
        <w:tblW w:type="dxa" w:w="9360"/>
        <w:tblBorders>
          <w:top w:val="single" w:color="E4E8EE" w:sz="4"/>
          <w:left w:val="none"/>
          <w:bottom w:val="single" w:color="E4E8EE" w:sz="4"/>
          <w:right w:val="none"/>
          <w:insideH w:val="single" w:color="E4E8EE" w:sz="2"/>
          <w:insideV w:val="none"/>
        </w:tblBorders>
      </w:tblPr>
      <w:tblGrid>
        <w:gridCol w:w="1700"/>
        <w:gridCol w:w="5600"/>
        <w:gridCol w:w="2060"/>
      </w:tblGrid>
      <w:tr>
        <w:trPr>
          <w:tblHeader/>
        </w:trPr>
        <w:tc>
          <w:tcPr>
            <w:tcW w:type="dxa" w:w="17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Bloque</w:t>
            </w:r>
          </w:p>
        </w:tc>
        <w:tc>
          <w:tcPr>
            <w:tcW w:type="dxa" w:w="56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lleva</w:t>
            </w:r>
          </w:p>
        </w:tc>
        <w:tc>
          <w:tcPr>
            <w:tcW w:type="dxa" w:w="20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Forma</w:t>
            </w:r>
          </w:p>
        </w:tc>
      </w:tr>
      <w:tr>
        <w:tc>
          <w:tcPr>
            <w:tcW w:type="dxa" w:w="170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CRITERIO</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De dónde viene la obligación —el precepto, citado— y cómo se traduce a </w:t>
            </w:r>
            <w:r>
              <w:rPr>
                <w:rFonts w:ascii="Arial" w:cs="Arial" w:eastAsia="Arial" w:hAnsi="Arial"/>
                <w:b/>
                <w:bCs/>
                <w:color w:val="1B2430"/>
                <w:sz w:val="17"/>
                <w:szCs w:val="17"/>
              </w:rPr>
              <w:t xml:space="preserve">mi</w:t>
            </w:r>
            <w:r>
              <w:rPr>
                <w:rFonts w:ascii="Arial" w:cs="Arial" w:eastAsia="Arial" w:hAnsi="Arial"/>
                <w:color w:val="1B2430"/>
                <w:sz w:val="17"/>
                <w:szCs w:val="17"/>
              </w:rPr>
              <w:t xml:space="preserve"> operación: a qué tipo de Cliente aplica, desde qué monto, qué cuenta como qué, qué pasa en el caso dudoso. Aquí se le quita la discrecionalidad a quien opera.</w:t>
            </w:r>
          </w:p>
        </w:tc>
        <w:tc>
          <w:tcPr>
            <w:tcW w:type="dxa" w:w="2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Prosa. Uno a cuatro párrafos.</w:t>
            </w:r>
          </w:p>
        </w:tc>
      </w:tr>
      <w:tr>
        <w:tc>
          <w:tcPr>
            <w:tcW w:type="dxa" w:w="170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PROCEDIMIENTO</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pasos reales, en el orden en que ocurren, con quién los ejecuta y qué documento deja cada uno.</w:t>
            </w:r>
          </w:p>
        </w:tc>
        <w:tc>
          <w:tcPr>
            <w:tcW w:type="dxa" w:w="206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Tabla de cuatro columnas.</w:t>
            </w:r>
          </w:p>
        </w:tc>
      </w:tr>
    </w:tbl>
    <w:p>
      <w:pPr>
        <w:spacing w:after="200"/>
      </w:pPr>
    </w:p>
    <w:p>
      <w:pPr>
        <w:pStyle w:val="Heading2"/>
        <w:keepNext/>
        <w:spacing w:after="150" w:before="340"/>
      </w:pPr>
      <w:r>
        <w:rPr>
          <w:rFonts w:ascii="Georgia" w:cs="Georgia" w:eastAsia="Georgia" w:hAnsi="Georgia"/>
          <w:b/>
          <w:bCs/>
          <w:color w:val="1B2E5C"/>
          <w:sz w:val="23"/>
          <w:szCs w:val="23"/>
        </w:rPr>
        <w:t xml:space="preserve">La tabla del procedimiento</w:t>
      </w:r>
    </w:p>
    <w:p>
      <w:pPr>
        <w:spacing w:after="150" w:line="300"/>
        <w:jc w:val="both"/>
      </w:pPr>
      <w:r>
        <w:rPr>
          <w:rFonts w:ascii="Georgia" w:cs="Georgia" w:eastAsia="Georgia" w:hAnsi="Georgia"/>
          <w:color w:val="1B2430"/>
          <w:sz w:val="20"/>
          <w:szCs w:val="20"/>
        </w:rPr>
        <w:t xml:space="preserve">Ésta es la forma, y no conviene cambiarla: es la que una visita sabe leer.</w:t>
      </w:r>
    </w:p>
    <w:tbl>
      <w:tblPr>
        <w:tblW w:type="dxa" w:w="9360"/>
        <w:tblBorders>
          <w:top w:val="single" w:color="E4E8EE" w:sz="4"/>
          <w:left w:val="none"/>
          <w:bottom w:val="single" w:color="E4E8EE" w:sz="4"/>
          <w:right w:val="none"/>
          <w:insideH w:val="single" w:color="E4E8EE" w:sz="2"/>
          <w:insideV w:val="none"/>
        </w:tblBorders>
      </w:tblPr>
      <w:tblGrid>
        <w:gridCol w:w="700"/>
        <w:gridCol w:w="1900"/>
        <w:gridCol w:w="4200"/>
        <w:gridCol w:w="2560"/>
      </w:tblGrid>
      <w:tr>
        <w:trPr>
          <w:tblHeader/>
        </w:trPr>
        <w:tc>
          <w:tcPr>
            <w:tcW w:type="dxa" w:w="7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No.</w:t>
            </w:r>
          </w:p>
        </w:tc>
        <w:tc>
          <w:tcPr>
            <w:tcW w:type="dxa" w:w="19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Responsable</w:t>
            </w:r>
          </w:p>
        </w:tc>
        <w:tc>
          <w:tcPr>
            <w:tcW w:type="dxa" w:w="42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Actividad</w:t>
            </w:r>
          </w:p>
        </w:tc>
        <w:tc>
          <w:tcPr>
            <w:tcW w:type="dxa" w:w="25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Documento que genera</w:t>
            </w:r>
          </w:p>
        </w:tc>
      </w:tr>
      <w:tr>
        <w:tc>
          <w:tcPr>
            <w:tcW w:type="dxa" w:w="7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1</w:t>
            </w:r>
          </w:p>
        </w:tc>
        <w:tc>
          <w:tcPr>
            <w:tcW w:type="dxa" w:w="1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Atención a Clientes</w:t>
            </w:r>
          </w:p>
        </w:tc>
        <w:tc>
          <w:tcPr>
            <w:tcW w:type="dxa" w:w="4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Recaba el formato de alta firmado y la copia de la identificación oficial</w:t>
            </w:r>
          </w:p>
        </w:tc>
        <w:tc>
          <w:tcPr>
            <w:tcW w:type="dxa" w:w="2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Formato de alta · copia cotejada</w:t>
            </w:r>
          </w:p>
        </w:tc>
      </w:tr>
      <w:tr>
        <w:tc>
          <w:tcPr>
            <w:tcW w:type="dxa" w:w="7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2</w:t>
            </w:r>
          </w:p>
        </w:tc>
        <w:tc>
          <w:tcPr>
            <w:tcW w:type="dxa" w:w="1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4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Consulta la Lista de Personas Políticamente Expuestas y deja constancia del resultado</w:t>
            </w:r>
          </w:p>
        </w:tc>
        <w:tc>
          <w:tcPr>
            <w:tcW w:type="dxa" w:w="2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Captura de la consulta, con fecha y hora</w:t>
            </w:r>
          </w:p>
        </w:tc>
      </w:tr>
      <w:tr>
        <w:tc>
          <w:tcPr>
            <w:tcW w:type="dxa" w:w="7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3</w:t>
            </w:r>
          </w:p>
        </w:tc>
        <w:tc>
          <w:tcPr>
            <w:tcW w:type="dxa" w:w="1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4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Asigna el Grado de Riesgo conforme al Capítulo III Bis</w:t>
            </w:r>
          </w:p>
        </w:tc>
        <w:tc>
          <w:tcPr>
            <w:tcW w:type="dxa" w:w="2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Cédula de calificación del Cliente</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Las tres reglas de esa tabla</w:t>
            </w:r>
          </w:p>
          <w:p>
            <w:pPr>
              <w:spacing w:after="100"/>
              <w:jc w:val="both"/>
            </w:pPr>
            <w:r>
              <w:rPr>
                <w:rFonts w:ascii="Arial" w:cs="Arial" w:eastAsia="Arial" w:hAnsi="Arial"/>
                <w:b/>
                <w:bCs/>
                <w:color w:val="1B2430"/>
                <w:sz w:val="18"/>
                <w:szCs w:val="18"/>
              </w:rPr>
              <w:t xml:space="preserve">El responsable se nombra por cargo, no por persona.</w:t>
            </w:r>
            <w:r>
              <w:rPr>
                <w:rFonts w:ascii="Arial" w:cs="Arial" w:eastAsia="Arial" w:hAnsi="Arial"/>
                <w:color w:val="1B2430"/>
                <w:sz w:val="18"/>
                <w:szCs w:val="18"/>
              </w:rPr>
              <w:t xml:space="preserve"> «Cumplimiento», no «Laura». El manual sobrevive a la rotación; el nombre, no.</w:t>
            </w:r>
          </w:p>
          <w:p>
            <w:pPr>
              <w:spacing w:after="100"/>
              <w:jc w:val="both"/>
            </w:pPr>
            <w:r>
              <w:rPr>
                <w:rFonts w:ascii="Arial" w:cs="Arial" w:eastAsia="Arial" w:hAnsi="Arial"/>
                <w:b/>
                <w:bCs/>
                <w:color w:val="1B2430"/>
                <w:sz w:val="18"/>
                <w:szCs w:val="18"/>
              </w:rPr>
              <w:t xml:space="preserve">La actividad empieza con un verbo de acción en presente.</w:t>
            </w:r>
            <w:r>
              <w:rPr>
                <w:rFonts w:ascii="Arial" w:cs="Arial" w:eastAsia="Arial" w:hAnsi="Arial"/>
                <w:color w:val="1B2430"/>
                <w:sz w:val="18"/>
                <w:szCs w:val="18"/>
              </w:rPr>
              <w:t xml:space="preserve"> Recaba, consulta, coteja, asigna, envía, resguarda. No «se procurará» ni «se dará cumplimiento a».</w:t>
            </w:r>
          </w:p>
          <w:p>
            <w:pPr>
              <w:spacing w:after="0"/>
              <w:jc w:val="both"/>
            </w:pPr>
            <w:r>
              <w:rPr>
                <w:rFonts w:ascii="Arial" w:cs="Arial" w:eastAsia="Arial" w:hAnsi="Arial"/>
                <w:b/>
                <w:bCs/>
                <w:color w:val="1B2430"/>
                <w:sz w:val="18"/>
                <w:szCs w:val="18"/>
              </w:rPr>
              <w:t xml:space="preserve">Si un paso no genera documento, no es un paso: es una intención.</w:t>
            </w:r>
            <w:r>
              <w:rPr>
                <w:rFonts w:ascii="Arial" w:cs="Arial" w:eastAsia="Arial" w:hAnsi="Arial"/>
                <w:color w:val="1B2430"/>
                <w:sz w:val="18"/>
                <w:szCs w:val="18"/>
              </w:rPr>
              <w:t xml:space="preserve"> Esa columna es la que se enseña en una visita, y es la que convierte el apartado en Mitigante de la matriz.</w:t>
            </w:r>
          </w:p>
        </w:tc>
      </w:tr>
    </w:tbl>
    <w:p>
      <w:pPr>
        <w:spacing w:after="190"/>
      </w:pPr>
    </w:p>
    <w:p>
      <w:pPr>
        <w:spacing w:after="150" w:line="300"/>
        <w:jc w:val="both"/>
      </w:pPr>
      <w:r>
        <w:rPr>
          <w:rFonts w:ascii="Georgia" w:cs="Georgia" w:eastAsia="Georgia" w:hAnsi="Georgia"/>
          <w:color w:val="1B2430"/>
          <w:sz w:val="20"/>
          <w:szCs w:val="20"/>
        </w:rPr>
        <w:t xml:space="preserve">Y debajo de la tabla, el </w:t>
      </w:r>
      <w:r>
        <w:rPr>
          <w:rFonts w:ascii="Georgia" w:cs="Georgia" w:eastAsia="Georgia" w:hAnsi="Georgia"/>
          <w:b/>
          <w:bCs/>
          <w:color w:val="1B2430"/>
          <w:sz w:val="20"/>
          <w:szCs w:val="20"/>
        </w:rPr>
        <w:t xml:space="preserve">plazo</w:t>
      </w:r>
      <w:r>
        <w:rPr>
          <w:rFonts w:ascii="Georgia" w:cs="Georgia" w:eastAsia="Georgia" w:hAnsi="Georgia"/>
          <w:color w:val="1B2430"/>
          <w:sz w:val="20"/>
          <w:szCs w:val="20"/>
        </w:rPr>
        <w:t xml:space="preserve">: en días hábiles o naturales, o la periodicidad. Sin plazo no hay incumplimiento posible, y por tanto no hay control.</w:t>
      </w:r>
    </w:p>
    <w:p>
      <w:pPr>
        <w:spacing w:after="150" w:line="300"/>
        <w:jc w:val="both"/>
      </w:pPr>
      <w:r>
        <w:rPr>
          <w:rFonts w:ascii="Georgia" w:cs="Georgia" w:eastAsia="Georgia" w:hAnsi="Georgia"/>
          <w:color w:val="1B2430"/>
          <w:sz w:val="20"/>
          <w:szCs w:val="20"/>
        </w:rPr>
        <w:t xml:space="preserve">La </w:t>
      </w:r>
      <w:r>
        <w:rPr>
          <w:rFonts w:ascii="Georgia" w:cs="Georgia" w:eastAsia="Georgia" w:hAnsi="Georgia"/>
          <w:b/>
          <w:bCs/>
          <w:color w:val="1B2430"/>
          <w:sz w:val="20"/>
          <w:szCs w:val="20"/>
        </w:rPr>
        <w:t xml:space="preserve">política</w:t>
      </w:r>
      <w:r>
        <w:rPr>
          <w:rFonts w:ascii="Georgia" w:cs="Georgia" w:eastAsia="Georgia" w:hAnsi="Georgia"/>
          <w:color w:val="1B2430"/>
          <w:sz w:val="20"/>
          <w:szCs w:val="20"/>
        </w:rPr>
        <w:t xml:space="preserve"> es el encabezado de todo eso cuando la casa toma una postura propia —«aquí no recibimos efectivo aunque la ley lo permita»—. No siempre hay una; el criterio y el procedimiento sí van siempre.</w:t>
      </w:r>
    </w:p>
    <w:p>
      <w:pPr>
        <w:pStyle w:val="Heading2"/>
        <w:keepNext/>
        <w:spacing w:after="150" w:before="340"/>
      </w:pPr>
      <w:r>
        <w:rPr>
          <w:rFonts w:ascii="Georgia" w:cs="Georgia" w:eastAsia="Georgia" w:hAnsi="Georgia"/>
          <w:b/>
          <w:bCs/>
          <w:color w:val="1B2E5C"/>
          <w:sz w:val="23"/>
          <w:szCs w:val="23"/>
        </w:rPr>
        <w:t xml:space="preserve">Un mismo tema, en los dos bloques</w:t>
      </w:r>
    </w:p>
    <w:p>
      <w:pPr>
        <w:spacing w:after="150" w:line="300"/>
        <w:jc w:val="both"/>
      </w:pPr>
      <w:r>
        <w:rPr>
          <w:rFonts w:ascii="Georgia" w:cs="Georgia" w:eastAsia="Georgia" w:hAnsi="Georgia"/>
          <w:color w:val="1B2430"/>
          <w:sz w:val="20"/>
          <w:szCs w:val="20"/>
        </w:rPr>
        <w:t xml:space="preserve">Tomemos el uso de efectivo, que casi todos tienen mal escrito. Así se ve la diferencia:</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La regla</w:t>
            </w:r>
          </w:p>
          <w:p>
            <w:pPr>
              <w:spacing w:after="0"/>
              <w:jc w:val="both"/>
            </w:pPr>
            <w:r>
              <w:rPr>
                <w:rFonts w:ascii="Arial" w:cs="Arial" w:eastAsia="Arial" w:hAnsi="Arial"/>
                <w:color w:val="1B2430"/>
                <w:sz w:val="18"/>
                <w:szCs w:val="18"/>
              </w:rPr>
              <w:t xml:space="preserve">El artículo 32 de la Ley prohíbe liquidar o pagar en efectivo por encima de los umbrales que ahí se fijan, y el artículo 42 del Reglamento precisa cuándo se entiende actualizada la prohibición. Se cita, no se transcribe entero.</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El criterio</w:t>
            </w:r>
          </w:p>
          <w:p>
            <w:pPr>
              <w:spacing w:after="0"/>
              <w:jc w:val="both"/>
            </w:pPr>
            <w:r>
              <w:rPr>
                <w:rFonts w:ascii="Arial" w:cs="Arial" w:eastAsia="Arial" w:hAnsi="Arial"/>
                <w:color w:val="1B2430"/>
                <w:sz w:val="18"/>
                <w:szCs w:val="18"/>
              </w:rPr>
              <w:t xml:space="preserve">«Esta empresa no recibe pagos en efectivo por ningún acto u operación, con independencia de su monto. Se considera pago en efectivo la entrega de monedas y billetes en moneda nacional o divisas y de Metales Preciosos, </w:t>
            </w:r>
            <w:r>
              <w:rPr>
                <w:rFonts w:ascii="Arial" w:cs="Arial" w:eastAsia="Arial" w:hAnsi="Arial"/>
                <w:b/>
                <w:bCs/>
                <w:color w:val="1B2430"/>
                <w:sz w:val="18"/>
                <w:szCs w:val="18"/>
              </w:rPr>
              <w:t xml:space="preserve">incluido el depósito que el Cliente realice directamente en la cuenta bancaria de la empresa</w:t>
            </w:r>
            <w:r>
              <w:rPr>
                <w:rFonts w:ascii="Arial" w:cs="Arial" w:eastAsia="Arial" w:hAnsi="Arial"/>
                <w:color w:val="1B2430"/>
                <w:sz w:val="18"/>
                <w:szCs w:val="18"/>
              </w:rPr>
              <w:t xml:space="preserve">. El pago por transferencia desde cuenta a nombre de un tercero distinto del Cliente requiere autorización previa conforme al numeral 7.4 de este Manual.»</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El procedimiento</w:t>
            </w:r>
          </w:p>
          <w:p>
            <w:pPr>
              <w:spacing w:after="0"/>
              <w:jc w:val="both"/>
            </w:pPr>
            <w:r>
              <w:rPr>
                <w:rFonts w:ascii="Arial" w:cs="Arial" w:eastAsia="Arial" w:hAnsi="Arial"/>
                <w:color w:val="1B2430"/>
                <w:sz w:val="18"/>
                <w:szCs w:val="18"/>
              </w:rPr>
              <w:t xml:space="preserve">Quién detecta el depósito en efectivo, en qué plazo lo escala y a quién, qué documento genera, quién autoriza la devolución y en qué forma se devuelve — todo en la tabla de cuatro columnas. Ahí la columna del documento recoge la cláusula de forma de pago del contrato, la conciliación bancaria que marca los depósitos de terceros, y el registro de la operación rechazada.</w:t>
            </w:r>
          </w:p>
        </w:tc>
      </w:tr>
    </w:tbl>
    <w:p>
      <w:pPr>
        <w:spacing w:after="190"/>
      </w:pPr>
    </w:p>
    <w:p>
      <w:pPr>
        <w:spacing w:after="150" w:line="300"/>
        <w:jc w:val="both"/>
      </w:pPr>
      <w:r>
        <w:rPr>
          <w:rFonts w:ascii="Georgia" w:cs="Georgia" w:eastAsia="Georgia" w:hAnsi="Georgia"/>
          <w:color w:val="1B2430"/>
          <w:sz w:val="20"/>
          <w:szCs w:val="20"/>
        </w:rPr>
        <w:t xml:space="preserve">El criterio cierra las tres discusiones que ese tema siempre produce. El procedimiento es lo único que una persona recién contratada puede ejecutar, y su columna de documentos es lo que se enseña en una visita. </w:t>
      </w:r>
      <w:r>
        <w:rPr>
          <w:rFonts w:ascii="Georgia" w:cs="Georgia" w:eastAsia="Georgia" w:hAnsi="Georgia"/>
          <w:b/>
          <w:bCs/>
          <w:color w:val="1B2430"/>
          <w:sz w:val="20"/>
          <w:szCs w:val="20"/>
        </w:rPr>
        <w:t xml:space="preserve">Los manuales del sector suelen tener la cita de la ley, transcrita, y nada más.</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3 · Los sustantivos del 37 Bis no reparten el trabajo</w:t>
      </w:r>
    </w:p>
    <w:p>
      <w:pPr>
        <w:spacing w:after="200"/>
      </w:pPr>
      <w:r>
        <w:rPr>
          <w:rFonts w:ascii="Arial" w:cs="Arial" w:eastAsia="Arial" w:hAnsi="Arial"/>
          <w:i/>
          <w:iCs/>
          <w:color w:val="5A6472"/>
          <w:sz w:val="19"/>
          <w:szCs w:val="19"/>
        </w:rPr>
        <w:t xml:space="preserve">Ésta es la confusión más común al leer el contenido mínimo, y conviene desmontarla antes de escribir la primera línea.</w:t>
      </w:r>
    </w:p>
    <w:p>
      <w:pPr>
        <w:spacing w:after="150" w:line="300"/>
        <w:jc w:val="both"/>
      </w:pPr>
      <w:r>
        <w:rPr>
          <w:rFonts w:ascii="Georgia" w:cs="Georgia" w:eastAsia="Georgia" w:hAnsi="Georgia"/>
          <w:color w:val="1B2430"/>
          <w:sz w:val="20"/>
          <w:szCs w:val="20"/>
        </w:rPr>
        <w:t xml:space="preserve">El artículo 37 Bis cambia de palabra de una fracción a otra: </w:t>
      </w:r>
      <w:r>
        <w:rPr>
          <w:rFonts w:ascii="Georgia" w:cs="Georgia" w:eastAsia="Georgia" w:hAnsi="Georgia"/>
          <w:b/>
          <w:bCs/>
          <w:color w:val="1B2430"/>
          <w:sz w:val="20"/>
          <w:szCs w:val="20"/>
        </w:rPr>
        <w:t xml:space="preserve">criterios</w:t>
      </w:r>
      <w:r>
        <w:rPr>
          <w:rFonts w:ascii="Georgia" w:cs="Georgia" w:eastAsia="Georgia" w:hAnsi="Georgia"/>
          <w:color w:val="1B2430"/>
          <w:sz w:val="20"/>
          <w:szCs w:val="20"/>
        </w:rPr>
        <w:t xml:space="preserve"> en la I, </w:t>
      </w:r>
      <w:r>
        <w:rPr>
          <w:rFonts w:ascii="Georgia" w:cs="Georgia" w:eastAsia="Georgia" w:hAnsi="Georgia"/>
          <w:b/>
          <w:bCs/>
          <w:color w:val="1B2430"/>
          <w:sz w:val="20"/>
          <w:szCs w:val="20"/>
        </w:rPr>
        <w:t xml:space="preserve">mecanismos</w:t>
      </w:r>
      <w:r>
        <w:rPr>
          <w:rFonts w:ascii="Georgia" w:cs="Georgia" w:eastAsia="Georgia" w:hAnsi="Georgia"/>
          <w:color w:val="1B2430"/>
          <w:sz w:val="20"/>
          <w:szCs w:val="20"/>
        </w:rPr>
        <w:t xml:space="preserve"> en la II, </w:t>
      </w:r>
      <w:r>
        <w:rPr>
          <w:rFonts w:ascii="Georgia" w:cs="Georgia" w:eastAsia="Georgia" w:hAnsi="Georgia"/>
          <w:b/>
          <w:bCs/>
          <w:color w:val="1B2430"/>
          <w:sz w:val="20"/>
          <w:szCs w:val="20"/>
        </w:rPr>
        <w:t xml:space="preserve">medidas</w:t>
      </w:r>
      <w:r>
        <w:rPr>
          <w:rFonts w:ascii="Georgia" w:cs="Georgia" w:eastAsia="Georgia" w:hAnsi="Georgia"/>
          <w:color w:val="1B2430"/>
          <w:sz w:val="20"/>
          <w:szCs w:val="20"/>
        </w:rPr>
        <w:t xml:space="preserve"> en la III, </w:t>
      </w:r>
      <w:r>
        <w:rPr>
          <w:rFonts w:ascii="Georgia" w:cs="Georgia" w:eastAsia="Georgia" w:hAnsi="Georgia"/>
          <w:b/>
          <w:bCs/>
          <w:color w:val="1B2430"/>
          <w:sz w:val="20"/>
          <w:szCs w:val="20"/>
        </w:rPr>
        <w:t xml:space="preserve">procedimientos</w:t>
      </w:r>
      <w:r>
        <w:rPr>
          <w:rFonts w:ascii="Georgia" w:cs="Georgia" w:eastAsia="Georgia" w:hAnsi="Georgia"/>
          <w:color w:val="1B2430"/>
          <w:sz w:val="20"/>
          <w:szCs w:val="20"/>
        </w:rPr>
        <w:t xml:space="preserve"> en la IV, y así. Es fácil concluir que la norma reparte el trabajo —que unas fracciones se contestan con criterios y otras con procedimientos—. </w:t>
      </w:r>
      <w:r>
        <w:rPr>
          <w:rFonts w:ascii="Georgia" w:cs="Georgia" w:eastAsia="Georgia" w:hAnsi="Georgia"/>
          <w:b/>
          <w:bCs/>
          <w:color w:val="1B2430"/>
          <w:sz w:val="20"/>
          <w:szCs w:val="20"/>
        </w:rPr>
        <w:t xml:space="preserve">No es así, y la propia norma lo desmiente en tres lugares.</w:t>
      </w:r>
    </w:p>
    <w:tbl>
      <w:tblPr>
        <w:tblW w:type="dxa" w:w="9360"/>
        <w:tblBorders>
          <w:top w:val="single" w:color="E4E8EE" w:sz="4"/>
          <w:left w:val="none"/>
          <w:bottom w:val="single" w:color="E4E8EE" w:sz="4"/>
          <w:right w:val="none"/>
          <w:insideH w:val="single" w:color="E4E8EE" w:sz="2"/>
          <w:insideV w:val="none"/>
        </w:tblBorders>
      </w:tblPr>
      <w:tblGrid>
        <w:gridCol w:w="2300"/>
        <w:gridCol w:w="7060"/>
      </w:tblGrid>
      <w:tr>
        <w:trPr>
          <w:tblHeader/>
        </w:trPr>
        <w:tc>
          <w:tcPr>
            <w:tcW w:type="dxa" w:w="23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Precepto</w:t>
            </w:r>
          </w:p>
        </w:tc>
        <w:tc>
          <w:tcPr>
            <w:tcW w:type="dxa" w:w="70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demuestra</w:t>
            </w:r>
          </w:p>
        </w:tc>
      </w:tr>
      <w:tr>
        <w:tc>
          <w:tcPr>
            <w:tcW w:type="dxa" w:w="230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RCG art. 11</w:t>
            </w:r>
          </w:p>
        </w:tc>
        <w:tc>
          <w:tcPr>
            <w:tcW w:type="dxa" w:w="7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Regula la </w:t>
            </w:r>
            <w:r>
              <w:rPr>
                <w:rFonts w:ascii="Arial" w:cs="Arial" w:eastAsia="Arial" w:hAnsi="Arial"/>
                <w:b/>
                <w:bCs/>
                <w:color w:val="1B2430"/>
                <w:sz w:val="17"/>
                <w:szCs w:val="17"/>
              </w:rPr>
              <w:t xml:space="preserve">misma</w:t>
            </w:r>
            <w:r>
              <w:rPr>
                <w:rFonts w:ascii="Arial" w:cs="Arial" w:eastAsia="Arial" w:hAnsi="Arial"/>
                <w:color w:val="1B2430"/>
                <w:sz w:val="17"/>
                <w:szCs w:val="17"/>
              </w:rPr>
              <w:t xml:space="preserve"> obligación que el 37 Bis fracción I llama sólo «criterios» —identificar y conocer al Cliente— y para ella exige «los </w:t>
            </w:r>
            <w:r>
              <w:rPr>
                <w:rFonts w:ascii="Arial" w:cs="Arial" w:eastAsia="Arial" w:hAnsi="Arial"/>
                <w:b/>
                <w:bCs/>
                <w:color w:val="1B2430"/>
                <w:sz w:val="17"/>
                <w:szCs w:val="17"/>
              </w:rPr>
              <w:t xml:space="preserve">criterios, medidas y procedimientos</w:t>
            </w:r>
            <w:r>
              <w:rPr>
                <w:rFonts w:ascii="Arial" w:cs="Arial" w:eastAsia="Arial" w:hAnsi="Arial"/>
                <w:color w:val="1B2430"/>
                <w:sz w:val="17"/>
                <w:szCs w:val="17"/>
              </w:rPr>
              <w:t xml:space="preserve"> internos […], los cuales deberán formar parte integrante del Manual de Políticas Internas».</w:t>
            </w:r>
          </w:p>
        </w:tc>
      </w:tr>
      <w:tr>
        <w:tc>
          <w:tcPr>
            <w:tcW w:type="dxa" w:w="230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RCG art. 23 Quinquies</w:t>
            </w:r>
          </w:p>
        </w:tc>
        <w:tc>
          <w:tcPr>
            <w:tcW w:type="dxa" w:w="7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Para una sola obligación —identificar al Beneficiario Controlador— manda establecer en el Manual «los </w:t>
            </w:r>
            <w:r>
              <w:rPr>
                <w:rFonts w:ascii="Arial" w:cs="Arial" w:eastAsia="Arial" w:hAnsi="Arial"/>
                <w:b/>
                <w:bCs/>
                <w:color w:val="1B2430"/>
                <w:sz w:val="17"/>
                <w:szCs w:val="17"/>
              </w:rPr>
              <w:t xml:space="preserve">criterios, medidas y procedimientos</w:t>
            </w:r>
            <w:r>
              <w:rPr>
                <w:rFonts w:ascii="Arial" w:cs="Arial" w:eastAsia="Arial" w:hAnsi="Arial"/>
                <w:color w:val="1B2430"/>
                <w:sz w:val="17"/>
                <w:szCs w:val="17"/>
              </w:rPr>
              <w:t xml:space="preserve"> internos con los cuales realizarán la identificación».</w:t>
            </w:r>
          </w:p>
        </w:tc>
      </w:tr>
      <w:tr>
        <w:tc>
          <w:tcPr>
            <w:tcW w:type="dxa" w:w="230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RCG art. 23 Ter, fr. I</w:t>
            </w:r>
          </w:p>
        </w:tc>
        <w:tc>
          <w:tcPr>
            <w:tcW w:type="dxa" w:w="7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Para el conocimiento del Cliente pide cinco cosas a la vez: «las </w:t>
            </w:r>
            <w:r>
              <w:rPr>
                <w:rFonts w:ascii="Arial" w:cs="Arial" w:eastAsia="Arial" w:hAnsi="Arial"/>
                <w:b/>
                <w:bCs/>
                <w:color w:val="1B2430"/>
                <w:sz w:val="17"/>
                <w:szCs w:val="17"/>
              </w:rPr>
              <w:t xml:space="preserve">políticas, criterios, medidas, procedimientos y controles</w:t>
            </w:r>
            <w:r>
              <w:rPr>
                <w:rFonts w:ascii="Arial" w:cs="Arial" w:eastAsia="Arial" w:hAnsi="Arial"/>
                <w:color w:val="1B2430"/>
                <w:sz w:val="17"/>
                <w:szCs w:val="17"/>
              </w:rPr>
              <w:t xml:space="preserve"> para mitigar los Riesgos».</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12224A" w:val="clear"/>
            <w:tcMar>
              <w:top w:type="dxa" w:w="150"/>
              <w:left w:type="dxa" w:w="220"/>
              <w:bottom w:type="dxa" w:w="150"/>
              <w:right w:type="dxa" w:w="220"/>
            </w:tcMar>
          </w:tcPr>
          <w:p>
            <w:pPr>
              <w:spacing w:after="0"/>
            </w:pPr>
            <w:r>
              <w:rPr>
                <w:rFonts w:ascii="Arial" w:cs="Arial" w:eastAsia="Arial" w:hAnsi="Arial"/>
                <w:b/>
                <w:bCs/>
                <w:color w:val="F2A541"/>
                <w:sz w:val="20"/>
                <w:szCs w:val="20"/>
              </w:rPr>
              <w:t xml:space="preserve">El sustantivo que use la fracción no limita lo que hay que escribir. Cada obligación se desarrolla en los cuatro planos.</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Y sobre la palabra «mecanismo»</w:t>
            </w:r>
          </w:p>
          <w:p>
            <w:pPr>
              <w:spacing w:after="100"/>
              <w:jc w:val="both"/>
            </w:pPr>
            <w:r>
              <w:rPr>
                <w:rFonts w:ascii="Arial" w:cs="Arial" w:eastAsia="Arial" w:hAnsi="Arial"/>
                <w:b/>
                <w:bCs/>
                <w:color w:val="1B2430"/>
                <w:sz w:val="18"/>
                <w:szCs w:val="18"/>
              </w:rPr>
              <w:t xml:space="preserve">Ningún precepto la define.</w:t>
            </w:r>
            <w:r>
              <w:rPr>
                <w:rFonts w:ascii="Arial" w:cs="Arial" w:eastAsia="Arial" w:hAnsi="Arial"/>
                <w:color w:val="1B2430"/>
                <w:sz w:val="18"/>
                <w:szCs w:val="18"/>
              </w:rPr>
              <w:t xml:space="preserve"> Ni la Ley, ni el Reglamento, ni las Reglas; el 37 Bis la usa seis veces sin explicarla.</w:t>
            </w:r>
          </w:p>
          <w:p>
            <w:pPr>
              <w:spacing w:after="100"/>
              <w:jc w:val="both"/>
            </w:pPr>
            <w:r>
              <w:rPr>
                <w:rFonts w:ascii="Arial" w:cs="Arial" w:eastAsia="Arial" w:hAnsi="Arial"/>
                <w:color w:val="1B2430"/>
                <w:sz w:val="18"/>
                <w:szCs w:val="18"/>
              </w:rPr>
              <w:t xml:space="preserve">No hace falta resolverlo, porque no cambia el trabajo: donde la fracción dice mecanismo, medida o criterio, el apartado se desarrolla igual. La palabra que eligió quien redactó no exime de escribir el procedimiento ni de nombrar la evidencia.</w:t>
            </w:r>
          </w:p>
          <w:p>
            <w:pPr>
              <w:spacing w:after="0"/>
              <w:jc w:val="both"/>
            </w:pPr>
            <w:r>
              <w:rPr>
                <w:rFonts w:ascii="Arial" w:cs="Arial" w:eastAsia="Arial" w:hAnsi="Arial"/>
                <w:color w:val="1B2430"/>
                <w:sz w:val="18"/>
                <w:szCs w:val="18"/>
              </w:rPr>
              <w:t xml:space="preserve">Si se necesita una lectura de uso —y como lectura, no como texto—: un mecanismo se entiende como el control operando de manera sostenida, normalmente apoyado en un sistema, que produce un resultado periódico y deja rastro sin que nadie tenga que acordarse de generarlo.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4 · Las catorce obligaciones del contenido mínimo</w:t>
      </w:r>
    </w:p>
    <w:p>
      <w:pPr>
        <w:spacing w:after="200"/>
      </w:pPr>
      <w:r>
        <w:rPr>
          <w:rFonts w:ascii="Arial" w:cs="Arial" w:eastAsia="Arial" w:hAnsi="Arial"/>
          <w:i/>
          <w:iCs/>
          <w:color w:val="5A6472"/>
          <w:sz w:val="19"/>
          <w:szCs w:val="19"/>
        </w:rPr>
        <w:t xml:space="preserve">El mismo recorrido, catorce veces. Aquí lo que cada fracción exige y qué tiene que aparecer sí o sí en su apartado, cualquiera que sea el sustantivo que use el artículo.</w:t>
      </w:r>
    </w:p>
    <w:tbl>
      <w:tblPr>
        <w:tblW w:type="dxa" w:w="9360"/>
        <w:tblBorders>
          <w:top w:val="single" w:color="E4E8EE" w:sz="4"/>
          <w:left w:val="none"/>
          <w:bottom w:val="single" w:color="E4E8EE" w:sz="4"/>
          <w:right w:val="none"/>
          <w:insideH w:val="single" w:color="E4E8EE" w:sz="2"/>
          <w:insideV w:val="none"/>
        </w:tblBorders>
      </w:tblPr>
      <w:tblGrid>
        <w:gridCol w:w="560"/>
        <w:gridCol w:w="3200"/>
        <w:gridCol w:w="5600"/>
      </w:tblGrid>
      <w:tr>
        <w:trPr>
          <w:tblHeader/>
        </w:trPr>
        <w:tc>
          <w:tcPr>
            <w:tcW w:type="dxa" w:w="5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Fr.</w:t>
            </w:r>
          </w:p>
        </w:tc>
        <w:tc>
          <w:tcPr>
            <w:tcW w:type="dxa" w:w="32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Lo que dice el RCG 37 Bis</w:t>
            </w:r>
          </w:p>
        </w:tc>
        <w:tc>
          <w:tcPr>
            <w:tcW w:type="dxa" w:w="56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tiene que aparecer sí o sí en el apartado</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I</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criterios para la identificación </w:t>
            </w:r>
            <w:r>
              <w:rPr>
                <w:rFonts w:ascii="Arial" w:cs="Arial" w:eastAsia="Arial" w:hAnsi="Arial"/>
                <w:b/>
                <w:bCs/>
                <w:color w:val="1B2430"/>
                <w:sz w:val="17"/>
                <w:szCs w:val="17"/>
              </w:rPr>
              <w:t xml:space="preserve">y conocimiento</w:t>
            </w:r>
            <w:r>
              <w:rPr>
                <w:rFonts w:ascii="Arial" w:cs="Arial" w:eastAsia="Arial" w:hAnsi="Arial"/>
                <w:color w:val="1B2430"/>
                <w:sz w:val="17"/>
                <w:szCs w:val="17"/>
              </w:rPr>
              <w:t xml:space="preserve"> de Clientes o Usuarias</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Son </w:t>
            </w:r>
            <w:r>
              <w:rPr>
                <w:rFonts w:ascii="Arial" w:cs="Arial" w:eastAsia="Arial" w:hAnsi="Arial"/>
                <w:b/>
                <w:bCs/>
                <w:color w:val="1B2430"/>
                <w:sz w:val="17"/>
                <w:szCs w:val="17"/>
              </w:rPr>
              <w:t xml:space="preserve">dos</w:t>
            </w:r>
            <w:r>
              <w:rPr>
                <w:rFonts w:ascii="Arial" w:cs="Arial" w:eastAsia="Arial" w:hAnsi="Arial"/>
                <w:color w:val="1B2430"/>
                <w:sz w:val="17"/>
                <w:szCs w:val="17"/>
              </w:rPr>
              <w:t xml:space="preserve"> obligaciones, no una. Identificar: umbrales, supuestos y qué documento se pide en cada caso (Capítulo III). Conocer: la política del Capítulo III Ter, con Perfil transaccional, monitoreo y criterios de Grado de Riesgo. Tener el expediente no cubre la segunda.</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II</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mecanismos de clasificación de Riesgo</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herramienta, la periodicidad y la salida: el grado asignado y dónde queda registrado.</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III</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Las medidas de debida diligencia aplicables conforme al Grado de Riesgo</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se hace de más en cada grado, enunciado grado por grado. No un párrafo genérico.</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IV</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procedimientos para la identificación y seguimiento reforzado de PEP</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Fuentes que se consultan, qué se hace ante coincidencia parcial, quién es «directivo o su equivalente», y qué pasa si no aprueba.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V</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mecanismos para detectar actos u operaciones fuera del Perfil transaccional</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dispara la alerta, quién la atiende, en cuánto tiempo y qué documento deja su cierre.</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VI</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procedimientos para la presentación de Avisos e Informes</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Quién arma, quién revisa, quién envía, en qué plazo y dónde queda el acuse.</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VII</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mecanismos de conservación de información y documentación</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Repositorio, control de acceso y los </w:t>
            </w:r>
            <w:r>
              <w:rPr>
                <w:rFonts w:ascii="Arial" w:cs="Arial" w:eastAsia="Arial" w:hAnsi="Arial"/>
                <w:b/>
                <w:bCs/>
                <w:color w:val="1B2430"/>
                <w:sz w:val="17"/>
                <w:szCs w:val="17"/>
              </w:rPr>
              <w:t xml:space="preserve">tres</w:t>
            </w:r>
            <w:r>
              <w:rPr>
                <w:rFonts w:ascii="Arial" w:cs="Arial" w:eastAsia="Arial" w:hAnsi="Arial"/>
                <w:color w:val="1B2430"/>
                <w:sz w:val="17"/>
                <w:szCs w:val="17"/>
              </w:rPr>
              <w:t xml:space="preserve"> plazos de diez años con sus tres fechas de arranque distintas.</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VIII</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mecanismos para dar seguimiento y acumular actos u operaciones</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sistema que acumula por Cliente y por tipo de acto, el periodo, y la alerta al alcanzar el umbral.</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IX</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mecanismos para identificar personas en listas de autoridades u organismos internacionales</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Qué listas por su nombre, con qué frecuencia se consultan, y el procedimiento de coincidencia.</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X</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Las funciones y responsabilidades de la persona Representante</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Un listado de facultades y deberes por cargo, y quién responde mientras no haya designación aceptada.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XI</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programas de capacitación</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Destinatarios, temas, periodicidad, quién imparte y cómo acredita sus cinco años, y qué se hace con quien no apruebe la evaluación.</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XII</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mecanismos de control interno, supervisión y auditoría</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Quién revisa a quién, cada cuándo, qué informe produce y cómo se garantiza la independencia respecto de la Representante.</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XIII</w:t>
            </w:r>
          </w:p>
        </w:tc>
        <w:tc>
          <w:tcPr>
            <w:tcW w:type="dxa" w:w="32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Las medidas para garantizar la confidencialidad de la información</w:t>
            </w:r>
          </w:p>
        </w:tc>
        <w:tc>
          <w:tcPr>
            <w:tcW w:type="dxa" w:w="56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Quién tiene acceso, bajo qué compromiso firmado, y la consecuencia de su violación.</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XIV</w:t>
            </w:r>
          </w:p>
        </w:tc>
        <w:tc>
          <w:tcPr>
            <w:tcW w:type="dxa" w:w="32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procedimientos para la actualización del propio Manual</w:t>
            </w:r>
          </w:p>
        </w:tc>
        <w:tc>
          <w:tcPr>
            <w:tcW w:type="dxa" w:w="56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Disparadores, responsable, plazo y control de versiones.</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Tres cosas más que el Manual debe traer y no están en esta lista</w:t>
            </w:r>
          </w:p>
          <w:p>
            <w:pPr>
              <w:spacing w:after="100"/>
              <w:jc w:val="both"/>
            </w:pPr>
            <w:r>
              <w:rPr>
                <w:rFonts w:ascii="Arial" w:cs="Arial" w:eastAsia="Arial" w:hAnsi="Arial"/>
                <w:b/>
                <w:bCs/>
                <w:color w:val="1B2430"/>
                <w:sz w:val="18"/>
                <w:szCs w:val="18"/>
              </w:rPr>
              <w:t xml:space="preserve">El diseño de la metodología</w:t>
            </w:r>
            <w:r>
              <w:rPr>
                <w:rFonts w:ascii="Arial" w:cs="Arial" w:eastAsia="Arial" w:hAnsi="Arial"/>
                <w:color w:val="1B2430"/>
                <w:sz w:val="18"/>
                <w:szCs w:val="18"/>
              </w:rPr>
              <w:t xml:space="preserve"> de evaluación de Riesgos, y </w:t>
            </w:r>
            <w:r>
              <w:rPr>
                <w:rFonts w:ascii="Arial" w:cs="Arial" w:eastAsia="Arial" w:hAnsi="Arial"/>
                <w:b/>
                <w:bCs/>
                <w:color w:val="1B2430"/>
                <w:sz w:val="18"/>
                <w:szCs w:val="18"/>
              </w:rPr>
              <w:t xml:space="preserve">el procedimiento y criterios de apertura, limitación o terminación</w:t>
            </w:r>
            <w:r>
              <w:rPr>
                <w:rFonts w:ascii="Arial" w:cs="Arial" w:eastAsia="Arial" w:hAnsi="Arial"/>
                <w:color w:val="1B2430"/>
                <w:sz w:val="18"/>
                <w:szCs w:val="18"/>
              </w:rPr>
              <w:t xml:space="preserve"> de relaciones, congruentes con esa metodología </w:t>
            </w:r>
            <w:r>
              <w:rPr>
                <w:rFonts w:ascii="Arial" w:cs="Arial" w:eastAsia="Arial" w:hAnsi="Arial"/>
                <w:i/>
                <w:iCs/>
                <w:color w:val="1B2430"/>
                <w:sz w:val="18"/>
                <w:szCs w:val="18"/>
              </w:rPr>
              <w:t xml:space="preserve">(RCG art. 37, tercer párrafo)</w:t>
            </w:r>
            <w:r>
              <w:rPr>
                <w:rFonts w:ascii="Arial" w:cs="Arial" w:eastAsia="Arial" w:hAnsi="Arial"/>
                <w:color w:val="1B2430"/>
                <w:sz w:val="18"/>
                <w:szCs w:val="18"/>
              </w:rPr>
              <w:t xml:space="preserve">.</w:t>
            </w:r>
          </w:p>
          <w:p>
            <w:pPr>
              <w:spacing w:after="0"/>
              <w:jc w:val="both"/>
            </w:pPr>
            <w:r>
              <w:rPr>
                <w:rFonts w:ascii="Arial" w:cs="Arial" w:eastAsia="Arial" w:hAnsi="Arial"/>
                <w:b/>
                <w:bCs/>
                <w:color w:val="1B2430"/>
                <w:sz w:val="18"/>
                <w:szCs w:val="18"/>
              </w:rPr>
              <w:t xml:space="preserve">La declaración de los supuestos que no se realizan</w:t>
            </w:r>
            <w:r>
              <w:rPr>
                <w:rFonts w:ascii="Arial" w:cs="Arial" w:eastAsia="Arial" w:hAnsi="Arial"/>
                <w:color w:val="1B2430"/>
                <w:sz w:val="18"/>
                <w:szCs w:val="18"/>
              </w:rPr>
              <w:t xml:space="preserve">, para quedar exento de escribir políticas sobre ellos </w:t>
            </w:r>
            <w:r>
              <w:rPr>
                <w:rFonts w:ascii="Arial" w:cs="Arial" w:eastAsia="Arial" w:hAnsi="Arial"/>
                <w:i/>
                <w:iCs/>
                <w:color w:val="1B2430"/>
                <w:sz w:val="18"/>
                <w:szCs w:val="18"/>
              </w:rPr>
              <w:t xml:space="preserve">(RCG art. 37 Bis 2)</w:t>
            </w:r>
            <w:r>
              <w:rPr>
                <w:rFonts w:ascii="Arial" w:cs="Arial" w:eastAsia="Arial" w:hAnsi="Arial"/>
                <w:color w:val="1B2430"/>
                <w:sz w:val="18"/>
                <w:szCs w:val="18"/>
              </w:rPr>
              <w:t xml:space="preserve">. La exención depende de la declaración: el silencio no exenta, obliga.</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5 · Si va a mirar un manual financiero, mire sólo la forma</w:t>
      </w:r>
    </w:p>
    <w:p>
      <w:pPr>
        <w:spacing w:after="200"/>
      </w:pPr>
      <w:r>
        <w:rPr>
          <w:rFonts w:ascii="Arial" w:cs="Arial" w:eastAsia="Arial" w:hAnsi="Arial"/>
          <w:i/>
          <w:iCs/>
          <w:color w:val="5A6472"/>
          <w:sz w:val="19"/>
          <w:szCs w:val="19"/>
        </w:rPr>
        <w:t xml:space="preserve">Los manuales de cumplimiento de entidades financieras circulan mucho y son un buen modelo de estructura. Pero son de otro régimen, y copiarles el contenido es el error más caro que se puede cometer en este curso–taller.</w:t>
      </w:r>
    </w:p>
    <w:p>
      <w:pPr>
        <w:spacing w:after="150" w:line="300"/>
        <w:jc w:val="both"/>
      </w:pPr>
      <w:r>
        <w:rPr>
          <w:rFonts w:ascii="Georgia" w:cs="Georgia" w:eastAsia="Georgia" w:hAnsi="Georgia"/>
          <w:color w:val="1B2430"/>
          <w:sz w:val="20"/>
          <w:szCs w:val="20"/>
        </w:rPr>
        <w:t xml:space="preserve">Un manual de SOFOM, banco o casa de bolsa se escribe contra el </w:t>
      </w:r>
      <w:r>
        <w:rPr>
          <w:rFonts w:ascii="Georgia" w:cs="Georgia" w:eastAsia="Georgia" w:hAnsi="Georgia"/>
          <w:b/>
          <w:bCs/>
          <w:color w:val="1B2430"/>
          <w:sz w:val="20"/>
          <w:szCs w:val="20"/>
        </w:rPr>
        <w:t xml:space="preserve">artículo 115 de la Ley de Instituciones de Crédito</w:t>
      </w:r>
      <w:r>
        <w:rPr>
          <w:rFonts w:ascii="Georgia" w:cs="Georgia" w:eastAsia="Georgia" w:hAnsi="Georgia"/>
          <w:color w:val="1B2430"/>
          <w:sz w:val="20"/>
          <w:szCs w:val="20"/>
        </w:rPr>
        <w:t xml:space="preserve"> y las </w:t>
      </w:r>
      <w:r>
        <w:rPr>
          <w:rFonts w:ascii="Georgia" w:cs="Georgia" w:eastAsia="Georgia" w:hAnsi="Georgia"/>
          <w:b/>
          <w:bCs/>
          <w:color w:val="1B2430"/>
          <w:sz w:val="20"/>
          <w:szCs w:val="20"/>
        </w:rPr>
        <w:t xml:space="preserve">Disposiciones de Carácter General</w:t>
      </w:r>
      <w:r>
        <w:rPr>
          <w:rFonts w:ascii="Georgia" w:cs="Georgia" w:eastAsia="Georgia" w:hAnsi="Georgia"/>
          <w:color w:val="1B2430"/>
          <w:sz w:val="20"/>
          <w:szCs w:val="20"/>
        </w:rPr>
        <w:t xml:space="preserve"> que emite la Secretaría por conducto de la CNBV. Una Actividad Vulnerable se escribe contra la </w:t>
      </w:r>
      <w:r>
        <w:rPr>
          <w:rFonts w:ascii="Georgia" w:cs="Georgia" w:eastAsia="Georgia" w:hAnsi="Georgia"/>
          <w:b/>
          <w:bCs/>
          <w:color w:val="1B2430"/>
          <w:sz w:val="20"/>
          <w:szCs w:val="20"/>
        </w:rPr>
        <w:t xml:space="preserve">LFPIORPI, su Reglamento y las Reglas de Carácter General</w:t>
      </w:r>
      <w:r>
        <w:rPr>
          <w:rFonts w:ascii="Georgia" w:cs="Georgia" w:eastAsia="Georgia" w:hAnsi="Georgia"/>
          <w:color w:val="1B2430"/>
          <w:sz w:val="20"/>
          <w:szCs w:val="20"/>
        </w:rPr>
        <w:t xml:space="preserve">, y su autoridad es el SAT con la UIF. Son dos mundos, y las palabras se parecen lo suficiente para engañar.</w:t>
      </w:r>
    </w:p>
    <w:tbl>
      <w:tblPr>
        <w:tblW w:type="dxa" w:w="9360"/>
        <w:tblBorders>
          <w:top w:val="single" w:color="E4E8EE" w:sz="4"/>
          <w:left w:val="none"/>
          <w:bottom w:val="single" w:color="E4E8EE" w:sz="4"/>
          <w:right w:val="none"/>
          <w:insideH w:val="single" w:color="E4E8EE" w:sz="2"/>
          <w:insideV w:val="none"/>
        </w:tblBorders>
      </w:tblPr>
      <w:tblGrid>
        <w:gridCol w:w="2500"/>
        <w:gridCol w:w="2600"/>
        <w:gridCol w:w="4260"/>
      </w:tblGrid>
      <w:tr>
        <w:trPr>
          <w:tblHeader/>
        </w:trPr>
        <w:tc>
          <w:tcPr>
            <w:tcW w:type="dxa" w:w="25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En un manual financiero dice…</w:t>
            </w:r>
          </w:p>
        </w:tc>
        <w:tc>
          <w:tcPr>
            <w:tcW w:type="dxa" w:w="26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En el suyo debe decir…</w:t>
            </w:r>
          </w:p>
        </w:tc>
        <w:tc>
          <w:tcPr>
            <w:tcW w:type="dxa" w:w="42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Por qué no es lo mismo</w:t>
            </w:r>
          </w:p>
        </w:tc>
      </w:tr>
      <w:tr>
        <w:tc>
          <w:tcPr>
            <w:tcW w:type="dxa" w:w="2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Oficial de Cumplimiento</w:t>
            </w:r>
          </w:p>
        </w:tc>
        <w:tc>
          <w:tcPr>
            <w:tcW w:type="dxa" w:w="260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Representante Encargada de Cumplimiento</w:t>
            </w:r>
          </w:p>
        </w:tc>
        <w:tc>
          <w:tcPr>
            <w:tcW w:type="dxa" w:w="42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Figura distinta, régimen distinto, y en el suyo la designación no existe hasta que la persona la acepta en el Portal </w:t>
            </w:r>
            <w:r>
              <w:rPr>
                <w:rFonts w:ascii="Arial" w:cs="Arial" w:eastAsia="Arial" w:hAnsi="Arial"/>
                <w:i/>
                <w:iCs/>
                <w:color w:val="1B2430"/>
                <w:sz w:val="17"/>
                <w:szCs w:val="17"/>
              </w:rPr>
              <w:t xml:space="preserve">(Ley art. 20 · RCG art. 10)</w:t>
            </w:r>
            <w:r>
              <w:rPr>
                <w:rFonts w:ascii="Arial" w:cs="Arial" w:eastAsia="Arial" w:hAnsi="Arial"/>
                <w:color w:val="1B2430"/>
                <w:sz w:val="17"/>
                <w:szCs w:val="17"/>
              </w:rPr>
              <w:t xml:space="preserve">.</w:t>
            </w:r>
          </w:p>
        </w:tc>
      </w:tr>
      <w:tr>
        <w:tc>
          <w:tcPr>
            <w:tcW w:type="dxa" w:w="2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Comité de Comunicación y Control</w:t>
            </w:r>
          </w:p>
        </w:tc>
        <w:tc>
          <w:tcPr>
            <w:tcW w:type="dxa" w:w="260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No existe</w:t>
            </w:r>
          </w:p>
        </w:tc>
        <w:tc>
          <w:tcPr>
            <w:tcW w:type="dxa" w:w="42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régimen de Actividades Vulnerables no lo prevé. No lo invente ni lo copie.</w:t>
            </w:r>
          </w:p>
        </w:tc>
      </w:tr>
      <w:tr>
        <w:tc>
          <w:tcPr>
            <w:tcW w:type="dxa" w:w="2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Reporte de operación relevante · inusual · interna preocupante</w:t>
            </w:r>
          </w:p>
        </w:tc>
        <w:tc>
          <w:tcPr>
            <w:tcW w:type="dxa" w:w="260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Aviso</w:t>
            </w:r>
            <w:r>
              <w:rPr>
                <w:rFonts w:ascii="Arial" w:cs="Arial" w:eastAsia="Arial" w:hAnsi="Arial"/>
                <w:color w:val="1B2430"/>
                <w:sz w:val="17"/>
                <w:szCs w:val="17"/>
              </w:rPr>
              <w:t xml:space="preserve"> e </w:t>
            </w:r>
            <w:r>
              <w:rPr>
                <w:rFonts w:ascii="Arial" w:cs="Arial" w:eastAsia="Arial" w:hAnsi="Arial"/>
                <w:b/>
                <w:bCs/>
                <w:color w:val="1B2430"/>
                <w:sz w:val="17"/>
                <w:szCs w:val="17"/>
              </w:rPr>
              <w:t xml:space="preserve">Informe</w:t>
            </w:r>
          </w:p>
        </w:tc>
        <w:tc>
          <w:tcPr>
            <w:tcW w:type="dxa" w:w="42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Otros supuestos, otros umbrales, otros plazos y otro destinatario. El equivalente más cercano al de veinticuatro horas es el del artículo 18, fracción VI, segundo párrafo de la Ley, y no cubre lo mismo.</w:t>
            </w:r>
          </w:p>
        </w:tc>
      </w:tr>
      <w:tr>
        <w:tc>
          <w:tcPr>
            <w:tcW w:type="dxa" w:w="2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Propietario real</w:t>
            </w:r>
          </w:p>
        </w:tc>
        <w:tc>
          <w:tcPr>
            <w:tcW w:type="dxa" w:w="260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Beneficiario Controlador</w:t>
            </w:r>
          </w:p>
        </w:tc>
        <w:tc>
          <w:tcPr>
            <w:tcW w:type="dxa" w:w="42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Definición y orden de prelación propios </w:t>
            </w:r>
            <w:r>
              <w:rPr>
                <w:rFonts w:ascii="Arial" w:cs="Arial" w:eastAsia="Arial" w:hAnsi="Arial"/>
                <w:i/>
                <w:iCs/>
                <w:color w:val="1B2430"/>
                <w:sz w:val="17"/>
                <w:szCs w:val="17"/>
              </w:rPr>
              <w:t xml:space="preserve">(Ley art. 3 fr. III · RCG art. 23 Quinquies)</w:t>
            </w:r>
            <w:r>
              <w:rPr>
                <w:rFonts w:ascii="Arial" w:cs="Arial" w:eastAsia="Arial" w:hAnsi="Arial"/>
                <w:color w:val="1B2430"/>
                <w:sz w:val="17"/>
                <w:szCs w:val="17"/>
              </w:rPr>
              <w:t xml:space="preserve">.</w:t>
            </w:r>
          </w:p>
        </w:tc>
      </w:tr>
      <w:tr>
        <w:tc>
          <w:tcPr>
            <w:tcW w:type="dxa" w:w="2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Lista de Personas Bloqueadas</w:t>
            </w:r>
          </w:p>
        </w:tc>
        <w:tc>
          <w:tcPr>
            <w:tcW w:type="dxa" w:w="260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Listas de autoridades nacionales u organismos internacionales</w:t>
            </w:r>
          </w:p>
        </w:tc>
        <w:tc>
          <w:tcPr>
            <w:tcW w:type="dxa" w:w="42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Es la fracción IX del contenido mínimo, y no remite a la lista de la Secretaría del régimen financiero.</w:t>
            </w:r>
          </w:p>
        </w:tc>
      </w:tr>
      <w:tr>
        <w:tc>
          <w:tcPr>
            <w:tcW w:type="dxa" w:w="2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Las Disposiciones · la Comisión</w:t>
            </w:r>
          </w:p>
        </w:tc>
        <w:tc>
          <w:tcPr>
            <w:tcW w:type="dxa" w:w="260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Las Reglas · el SAT y la UIF</w:t>
            </w:r>
          </w:p>
        </w:tc>
        <w:tc>
          <w:tcPr>
            <w:tcW w:type="dxa" w:w="42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Citar «las Disposiciones» en un manual de Actividad Vulnerable delata que el documento se copió.</w:t>
            </w:r>
          </w:p>
        </w:tc>
      </w:tr>
    </w:tbl>
    <w:p>
      <w:pPr>
        <w:spacing w:after="200"/>
      </w:pP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De un manual financiero se toma la estructura: criterio y procedimiento, la tabla de cuatro columnas, el control de cambios. El contenido, nunca.</w:t>
            </w:r>
          </w:p>
        </w:tc>
      </w:tr>
    </w:tbl>
    <w:p>
      <w:pPr>
        <w:spacing w:after="19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Lo que sí conviene copiarles</w:t>
            </w:r>
          </w:p>
          <w:p>
            <w:pPr>
              <w:spacing w:after="100"/>
              <w:jc w:val="both"/>
            </w:pPr>
            <w:r>
              <w:rPr>
                <w:rFonts w:ascii="Arial" w:cs="Arial" w:eastAsia="Arial" w:hAnsi="Arial"/>
                <w:b/>
                <w:bCs/>
                <w:color w:val="1B2430"/>
                <w:sz w:val="18"/>
                <w:szCs w:val="18"/>
              </w:rPr>
              <w:t xml:space="preserve">El control de cambios y el control de autorizaciones</w:t>
            </w:r>
            <w:r>
              <w:rPr>
                <w:rFonts w:ascii="Arial" w:cs="Arial" w:eastAsia="Arial" w:hAnsi="Arial"/>
                <w:color w:val="1B2430"/>
                <w:sz w:val="18"/>
                <w:szCs w:val="18"/>
              </w:rPr>
              <w:t xml:space="preserve"> al inicio del documento: versión, fecha, qué cambió y quién lo autorizó. Es exactamente lo que pide la fracción XIV, y casi ningún manual de Actividad Vulnerable lo trae.</w:t>
            </w:r>
          </w:p>
          <w:p>
            <w:pPr>
              <w:spacing w:after="100"/>
              <w:jc w:val="both"/>
            </w:pPr>
            <w:r>
              <w:rPr>
                <w:rFonts w:ascii="Arial" w:cs="Arial" w:eastAsia="Arial" w:hAnsi="Arial"/>
                <w:b/>
                <w:bCs/>
                <w:color w:val="1B2430"/>
                <w:sz w:val="18"/>
                <w:szCs w:val="18"/>
              </w:rPr>
              <w:t xml:space="preserve">El apartado de la empresa</w:t>
            </w:r>
            <w:r>
              <w:rPr>
                <w:rFonts w:ascii="Arial" w:cs="Arial" w:eastAsia="Arial" w:hAnsi="Arial"/>
                <w:color w:val="1B2430"/>
                <w:sz w:val="18"/>
                <w:szCs w:val="18"/>
              </w:rPr>
              <w:t xml:space="preserve">: a qué se dedica, qué productos ofrece, a qué mercado va dirigida, su estructura. Es lo que hace que el manual sea suyo y no de otro, y es lo primero que una visita compara contra la realidad.</w:t>
            </w:r>
          </w:p>
          <w:p>
            <w:pPr>
              <w:spacing w:after="0"/>
              <w:jc w:val="both"/>
            </w:pPr>
            <w:r>
              <w:rPr>
                <w:rFonts w:ascii="Arial" w:cs="Arial" w:eastAsia="Arial" w:hAnsi="Arial"/>
                <w:b/>
                <w:bCs/>
                <w:color w:val="1B2430"/>
                <w:sz w:val="18"/>
                <w:szCs w:val="18"/>
              </w:rPr>
              <w:t xml:space="preserve">El diagrama de proceso</w:t>
            </w:r>
            <w:r>
              <w:rPr>
                <w:rFonts w:ascii="Arial" w:cs="Arial" w:eastAsia="Arial" w:hAnsi="Arial"/>
                <w:color w:val="1B2430"/>
                <w:sz w:val="18"/>
                <w:szCs w:val="18"/>
              </w:rPr>
              <w:t xml:space="preserve"> con su simbología, cuando el procedimiento es largo. No es obligatorio, pero se lee en diez segundos.</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6 · El método, en seis pasos</w:t>
      </w:r>
    </w:p>
    <w:p>
      <w:pPr>
        <w:spacing w:after="200"/>
      </w:pPr>
      <w:r>
        <w:rPr>
          <w:rFonts w:ascii="Arial" w:cs="Arial" w:eastAsia="Arial" w:hAnsi="Arial"/>
          <w:i/>
          <w:iCs/>
          <w:color w:val="5A6472"/>
          <w:sz w:val="19"/>
          <w:szCs w:val="19"/>
        </w:rPr>
        <w:t xml:space="preserve">Este es el recorrido para cualquier apartado. Se hace una vez y se repite igual catorce veces.</w:t>
      </w:r>
    </w:p>
    <w:p>
      <w:pPr>
        <w:spacing w:after="110" w:line="290"/>
        <w:ind w:left="520" w:hanging="520"/>
        <w:jc w:val="both"/>
      </w:pPr>
      <w:r>
        <w:rPr>
          <w:rFonts w:ascii="Georgia" w:cs="Georgia" w:eastAsia="Georgia" w:hAnsi="Georgia"/>
          <w:b/>
          <w:bCs/>
          <w:color w:val="B07A12"/>
          <w:sz w:val="20"/>
          <w:szCs w:val="20"/>
        </w:rPr>
        <w:t xml:space="preserve">1.   </w:t>
      </w:r>
      <w:r>
        <w:rPr>
          <w:rFonts w:ascii="Georgia" w:cs="Georgia" w:eastAsia="Georgia" w:hAnsi="Georgia"/>
          <w:b/>
          <w:bCs/>
          <w:color w:val="1B2430"/>
          <w:sz w:val="20"/>
          <w:szCs w:val="20"/>
        </w:rPr>
        <w:t xml:space="preserve">Localice el precepto y transcríbalo aparte.</w:t>
      </w:r>
      <w:r>
        <w:rPr>
          <w:rFonts w:ascii="Georgia" w:cs="Georgia" w:eastAsia="Georgia" w:hAnsi="Georgia"/>
          <w:color w:val="1B2430"/>
          <w:sz w:val="20"/>
          <w:szCs w:val="20"/>
        </w:rPr>
        <w:t xml:space="preserve"> No en el Manual: en una hoja de trabajo. Sirve para saber qué le están pidiendo, y luego se guarda como fundamento al pie del apartado.</w:t>
      </w:r>
    </w:p>
    <w:p>
      <w:pPr>
        <w:spacing w:after="110" w:line="290"/>
        <w:ind w:left="520" w:hanging="520"/>
        <w:jc w:val="both"/>
      </w:pPr>
      <w:r>
        <w:rPr>
          <w:rFonts w:ascii="Georgia" w:cs="Georgia" w:eastAsia="Georgia" w:hAnsi="Georgia"/>
          <w:b/>
          <w:bCs/>
          <w:color w:val="B07A12"/>
          <w:sz w:val="20"/>
          <w:szCs w:val="20"/>
        </w:rPr>
        <w:t xml:space="preserve">2.   </w:t>
      </w:r>
      <w:r>
        <w:rPr>
          <w:rFonts w:ascii="Georgia" w:cs="Georgia" w:eastAsia="Georgia" w:hAnsi="Georgia"/>
          <w:b/>
          <w:bCs/>
          <w:color w:val="1B2430"/>
          <w:sz w:val="20"/>
          <w:szCs w:val="20"/>
        </w:rPr>
        <w:t xml:space="preserve">Lea qué tiene que aparecer sí o sí</w:t>
      </w:r>
      <w:r>
        <w:rPr>
          <w:rFonts w:ascii="Georgia" w:cs="Georgia" w:eastAsia="Georgia" w:hAnsi="Georgia"/>
          <w:color w:val="1B2430"/>
          <w:sz w:val="20"/>
          <w:szCs w:val="20"/>
        </w:rPr>
        <w:t xml:space="preserve"> en ese apartado, con la tabla del apartado 4. No se guíe por el sustantivo que use la fracción: cualquiera que sea, el apartado termina en criterio, procedimiento y evidencia.</w:t>
      </w:r>
    </w:p>
    <w:p>
      <w:pPr>
        <w:spacing w:after="110" w:line="290"/>
        <w:ind w:left="520" w:hanging="520"/>
        <w:jc w:val="both"/>
      </w:pPr>
      <w:r>
        <w:rPr>
          <w:rFonts w:ascii="Georgia" w:cs="Georgia" w:eastAsia="Georgia" w:hAnsi="Georgia"/>
          <w:b/>
          <w:bCs/>
          <w:color w:val="B07A12"/>
          <w:sz w:val="20"/>
          <w:szCs w:val="20"/>
        </w:rPr>
        <w:t xml:space="preserve">3.   </w:t>
      </w:r>
      <w:r>
        <w:rPr>
          <w:rFonts w:ascii="Georgia" w:cs="Georgia" w:eastAsia="Georgia" w:hAnsi="Georgia"/>
          <w:b/>
          <w:bCs/>
          <w:color w:val="1B2430"/>
          <w:sz w:val="20"/>
          <w:szCs w:val="20"/>
        </w:rPr>
        <w:t xml:space="preserve">Describa lo que hoy hace de verdad.</w:t>
      </w:r>
      <w:r>
        <w:rPr>
          <w:rFonts w:ascii="Georgia" w:cs="Georgia" w:eastAsia="Georgia" w:hAnsi="Georgia"/>
          <w:color w:val="1B2430"/>
          <w:sz w:val="20"/>
          <w:szCs w:val="20"/>
        </w:rPr>
        <w:t xml:space="preserve"> En bruto, sin redactar. Quién lo hace, con qué, cada cuándo, dónde queda. Aquí es donde aparecen los huecos: si no puede describirlo, es que no existe, y entonces el apartado no se redacta — se diseña primero y se redacta después.</w:t>
      </w:r>
    </w:p>
    <w:p>
      <w:pPr>
        <w:spacing w:after="110" w:line="290"/>
        <w:ind w:left="520" w:hanging="520"/>
        <w:jc w:val="both"/>
      </w:pPr>
      <w:r>
        <w:rPr>
          <w:rFonts w:ascii="Georgia" w:cs="Georgia" w:eastAsia="Georgia" w:hAnsi="Georgia"/>
          <w:b/>
          <w:bCs/>
          <w:color w:val="B07A12"/>
          <w:sz w:val="20"/>
          <w:szCs w:val="20"/>
        </w:rPr>
        <w:t xml:space="preserve">4.   </w:t>
      </w:r>
      <w:r>
        <w:rPr>
          <w:rFonts w:ascii="Georgia" w:cs="Georgia" w:eastAsia="Georgia" w:hAnsi="Georgia"/>
          <w:b/>
          <w:bCs/>
          <w:color w:val="1B2430"/>
          <w:sz w:val="20"/>
          <w:szCs w:val="20"/>
        </w:rPr>
        <w:t xml:space="preserve">Contraste contra la metodología de riesgos.</w:t>
      </w:r>
      <w:r>
        <w:rPr>
          <w:rFonts w:ascii="Georgia" w:cs="Georgia" w:eastAsia="Georgia" w:hAnsi="Georgia"/>
          <w:color w:val="1B2430"/>
          <w:sz w:val="20"/>
          <w:szCs w:val="20"/>
        </w:rPr>
        <w:t xml:space="preserve"> Si su matriz identificó un riesgo alto en este tema, el control tiene que ser más estricto que el mínimo legal, y el Manual tiene que decir por qué. Si es de riesgo bajo, se puede quedar en el mínimo, y también hay que decirlo.</w:t>
      </w:r>
    </w:p>
    <w:p>
      <w:pPr>
        <w:spacing w:after="110" w:line="290"/>
        <w:ind w:left="520" w:hanging="520"/>
        <w:jc w:val="both"/>
      </w:pPr>
      <w:r>
        <w:rPr>
          <w:rFonts w:ascii="Georgia" w:cs="Georgia" w:eastAsia="Georgia" w:hAnsi="Georgia"/>
          <w:b/>
          <w:bCs/>
          <w:color w:val="B07A12"/>
          <w:sz w:val="20"/>
          <w:szCs w:val="20"/>
        </w:rPr>
        <w:t xml:space="preserve">5.   </w:t>
      </w:r>
      <w:r>
        <w:rPr>
          <w:rFonts w:ascii="Georgia" w:cs="Georgia" w:eastAsia="Georgia" w:hAnsi="Georgia"/>
          <w:b/>
          <w:bCs/>
          <w:color w:val="1B2430"/>
          <w:sz w:val="20"/>
          <w:szCs w:val="20"/>
        </w:rPr>
        <w:t xml:space="preserve">Escriba los cuatro planos</w:t>
      </w:r>
      <w:r>
        <w:rPr>
          <w:rFonts w:ascii="Georgia" w:cs="Georgia" w:eastAsia="Georgia" w:hAnsi="Georgia"/>
          <w:color w:val="1B2430"/>
          <w:sz w:val="20"/>
          <w:szCs w:val="20"/>
        </w:rPr>
        <w:t xml:space="preserve">, en orden: la regla citada, el criterio propio, el procedimiento y la evidencia. El criterio sale de las discusiones que ese tema ya les ha provocado; el procedimiento, del paso 3 puesto en tabla.</w:t>
      </w:r>
    </w:p>
    <w:p>
      <w:pPr>
        <w:spacing w:after="110" w:line="290"/>
        <w:ind w:left="520" w:hanging="520"/>
        <w:jc w:val="both"/>
      </w:pPr>
      <w:r>
        <w:rPr>
          <w:rFonts w:ascii="Georgia" w:cs="Georgia" w:eastAsia="Georgia" w:hAnsi="Georgia"/>
          <w:b/>
          <w:bCs/>
          <w:color w:val="B07A12"/>
          <w:sz w:val="20"/>
          <w:szCs w:val="20"/>
        </w:rPr>
        <w:t xml:space="preserve">6.   </w:t>
      </w:r>
      <w:r>
        <w:rPr>
          <w:rFonts w:ascii="Georgia" w:cs="Georgia" w:eastAsia="Georgia" w:hAnsi="Georgia"/>
          <w:b/>
          <w:bCs/>
          <w:color w:val="1B2430"/>
          <w:sz w:val="20"/>
          <w:szCs w:val="20"/>
        </w:rPr>
        <w:t xml:space="preserve">Cierre con la evidencia.</w:t>
      </w:r>
      <w:r>
        <w:rPr>
          <w:rFonts w:ascii="Georgia" w:cs="Georgia" w:eastAsia="Georgia" w:hAnsi="Georgia"/>
          <w:color w:val="1B2430"/>
          <w:sz w:val="20"/>
          <w:szCs w:val="20"/>
        </w:rPr>
        <w:t xml:space="preserve"> Qué documento, registro, bitácora o acuse prueba que este apartado se aplicó. Si la respuesta es «ninguno», el apartado no sirve: vuelva al paso 3.</w:t>
      </w:r>
    </w:p>
    <w:p>
      <w:pPr>
        <w:spacing w:after="110"/>
      </w:pP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El paso 3 es donde se rompe el ejercicio, y es el que no se puede saltar. Un manual escrito sin él describe una empresa que no existe.</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7 · Modelo completo · Fracción IV, Personas Políticamente Expuestas</w:t>
      </w:r>
    </w:p>
    <w:p>
      <w:pPr>
        <w:spacing w:after="200"/>
      </w:pPr>
      <w:r>
        <w:rPr>
          <w:rFonts w:ascii="Arial" w:cs="Arial" w:eastAsia="Arial" w:hAnsi="Arial"/>
          <w:i/>
          <w:iCs/>
          <w:color w:val="5A6472"/>
          <w:sz w:val="19"/>
          <w:szCs w:val="19"/>
        </w:rPr>
        <w:t xml:space="preserve">Se desarrolla ésta porque es la única fracción del contenido mínimo que la Ley menciona por su nombre, y porque las Reglas remiten al Manual tres veces en el mismo capítulo. Es el caso más claro de una obligación que la norma no resuelve: la resuelve usted, por escrito.</w:t>
      </w:r>
    </w:p>
    <w:p>
      <w:pPr>
        <w:pStyle w:val="Heading2"/>
        <w:keepNext/>
        <w:spacing w:after="150" w:before="340"/>
      </w:pPr>
      <w:r>
        <w:rPr>
          <w:rFonts w:ascii="Georgia" w:cs="Georgia" w:eastAsia="Georgia" w:hAnsi="Georgia"/>
          <w:b/>
          <w:bCs/>
          <w:color w:val="1B2E5C"/>
          <w:sz w:val="23"/>
          <w:szCs w:val="23"/>
        </w:rPr>
        <w:t xml:space="preserve">Paso 1 · Los preceptos</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Los </w:t>
            </w:r>
            <w:r>
              <w:rPr>
                <w:rFonts w:ascii="Georgia" w:cs="Georgia" w:eastAsia="Georgia" w:hAnsi="Georgia"/>
                <w:b/>
                <w:bCs/>
                <w:i/>
                <w:iCs/>
                <w:color w:val="12224A"/>
                <w:sz w:val="20"/>
                <w:szCs w:val="20"/>
              </w:rPr>
              <w:t xml:space="preserve">procedimientos</w:t>
            </w:r>
            <w:r>
              <w:rPr>
                <w:rFonts w:ascii="Georgia" w:cs="Georgia" w:eastAsia="Georgia" w:hAnsi="Georgia"/>
                <w:i/>
                <w:iCs/>
                <w:color w:val="12224A"/>
                <w:sz w:val="20"/>
                <w:szCs w:val="20"/>
              </w:rPr>
              <w:t xml:space="preserve"> para la identificación y seguimiento reforzado de Personas Políticamente Expuestas.</w:t>
            </w:r>
          </w:p>
          <w:p>
            <w:pPr>
              <w:spacing w:after="0"/>
            </w:pPr>
            <w:r>
              <w:rPr>
                <w:rFonts w:ascii="Arial" w:cs="Arial" w:eastAsia="Arial" w:hAnsi="Arial"/>
                <w:color w:val="5A6472"/>
                <w:sz w:val="16"/>
                <w:szCs w:val="16"/>
              </w:rPr>
              <w:t xml:space="preserve">RCG art. 37 Bis, fracción IV</w:t>
            </w:r>
          </w:p>
        </w:tc>
      </w:tr>
    </w:tbl>
    <w:p>
      <w:pPr>
        <w:spacing w:after="170"/>
      </w:pP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Para los casos en que […] detecten que la persona que pretenda ser Cliente o Usuaria o que ya lo sea […] reúne los requisitos para ser considerada Persona Políticamente Expuesta y, además, con Grado de Riesgo alto deberá, </w:t>
            </w:r>
            <w:r>
              <w:rPr>
                <w:rFonts w:ascii="Georgia" w:cs="Georgia" w:eastAsia="Georgia" w:hAnsi="Georgia"/>
                <w:b/>
                <w:bCs/>
                <w:i/>
                <w:iCs/>
                <w:color w:val="12224A"/>
                <w:sz w:val="20"/>
                <w:szCs w:val="20"/>
              </w:rPr>
              <w:t xml:space="preserve">de acuerdo con lo que al efecto se establezca en su Manual de Políticas Internas</w:t>
            </w:r>
            <w:r>
              <w:rPr>
                <w:rFonts w:ascii="Georgia" w:cs="Georgia" w:eastAsia="Georgia" w:hAnsi="Georgia"/>
                <w:i/>
                <w:iCs/>
                <w:color w:val="12224A"/>
                <w:sz w:val="20"/>
                <w:szCs w:val="20"/>
              </w:rPr>
              <w:t xml:space="preserve">, obtener la aprobación de un directivo o su equivalente que consienta los actos u operaciones respectivos.
Cuando quien realice la Actividad Vulnerable sea una persona física, la aprobación referida en el párrafo anterior </w:t>
            </w:r>
            <w:r>
              <w:rPr>
                <w:rFonts w:ascii="Georgia" w:cs="Georgia" w:eastAsia="Georgia" w:hAnsi="Georgia"/>
                <w:b/>
                <w:bCs/>
                <w:i/>
                <w:iCs/>
                <w:color w:val="12224A"/>
                <w:sz w:val="20"/>
                <w:szCs w:val="20"/>
              </w:rPr>
              <w:t xml:space="preserve">se subsanará con una constancia</w:t>
            </w:r>
            <w:r>
              <w:rPr>
                <w:rFonts w:ascii="Georgia" w:cs="Georgia" w:eastAsia="Georgia" w:hAnsi="Georgia"/>
                <w:i/>
                <w:iCs/>
                <w:color w:val="12224A"/>
                <w:sz w:val="20"/>
                <w:szCs w:val="20"/>
              </w:rPr>
              <w:t xml:space="preserve"> en la que señale los motivos que consideró para realizar el acto u operación y documentarlo, si fuera el caso, en términos de lo que establezca en su Manual de Políticas Internas.</w:t>
            </w:r>
          </w:p>
          <w:p>
            <w:pPr>
              <w:spacing w:after="0"/>
            </w:pPr>
            <w:r>
              <w:rPr>
                <w:rFonts w:ascii="Arial" w:cs="Arial" w:eastAsia="Arial" w:hAnsi="Arial"/>
                <w:color w:val="5A6472"/>
                <w:sz w:val="16"/>
                <w:szCs w:val="16"/>
              </w:rPr>
              <w:t xml:space="preserve">RCG art. 23 Ter 5, párrafos primero y segundo</w:t>
            </w:r>
          </w:p>
        </w:tc>
      </w:tr>
    </w:tbl>
    <w:p>
      <w:pPr>
        <w:spacing w:after="17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Lea otra vez la frase intermedia</w:t>
            </w:r>
          </w:p>
          <w:p>
            <w:pPr>
              <w:spacing w:after="100"/>
              <w:jc w:val="both"/>
            </w:pPr>
            <w:r>
              <w:rPr>
                <w:rFonts w:ascii="Arial" w:cs="Arial" w:eastAsia="Arial" w:hAnsi="Arial"/>
                <w:color w:val="1B2430"/>
                <w:sz w:val="18"/>
                <w:szCs w:val="18"/>
              </w:rPr>
              <w:t xml:space="preserve">«</w:t>
            </w:r>
            <w:r>
              <w:rPr>
                <w:rFonts w:ascii="Arial" w:cs="Arial" w:eastAsia="Arial" w:hAnsi="Arial"/>
                <w:b/>
                <w:bCs/>
                <w:color w:val="1B2430"/>
                <w:sz w:val="18"/>
                <w:szCs w:val="18"/>
              </w:rPr>
              <w:t xml:space="preserve">De acuerdo con lo que al efecto se establezca en su Manual de Políticas Internas.</w:t>
            </w:r>
            <w:r>
              <w:rPr>
                <w:rFonts w:ascii="Arial" w:cs="Arial" w:eastAsia="Arial" w:hAnsi="Arial"/>
                <w:color w:val="1B2430"/>
                <w:sz w:val="18"/>
                <w:szCs w:val="18"/>
              </w:rPr>
              <w:t xml:space="preserve">» La norma no dice qué directivo, ni con qué formato, ni en qué plazo, ni qué pasa si el directivo no aprueba. Delega esas cuatro decisiones en usted, y sólo son exigibles porque usted las escribió.</w:t>
            </w:r>
          </w:p>
          <w:p>
            <w:pPr>
              <w:spacing w:after="0"/>
              <w:jc w:val="both"/>
            </w:pPr>
            <w:r>
              <w:rPr>
                <w:rFonts w:ascii="Arial" w:cs="Arial" w:eastAsia="Arial" w:hAnsi="Arial"/>
                <w:color w:val="1B2430"/>
                <w:sz w:val="18"/>
                <w:szCs w:val="18"/>
              </w:rPr>
              <w:t xml:space="preserve">Ésa es la prueba de que el Manual no es un trámite documental. En este tema, </w:t>
            </w:r>
            <w:r>
              <w:rPr>
                <w:rFonts w:ascii="Arial" w:cs="Arial" w:eastAsia="Arial" w:hAnsi="Arial"/>
                <w:b/>
                <w:bCs/>
                <w:color w:val="1B2430"/>
                <w:sz w:val="18"/>
                <w:szCs w:val="18"/>
              </w:rPr>
              <w:t xml:space="preserve">el Manual es la norma aplicable.</w:t>
            </w:r>
          </w:p>
        </w:tc>
      </w:tr>
    </w:tbl>
    <w:p>
      <w:pPr>
        <w:spacing w:after="190"/>
      </w:pPr>
    </w:p>
    <w:p>
      <w:pPr>
        <w:pStyle w:val="Heading2"/>
        <w:keepNext/>
        <w:spacing w:after="150" w:before="340"/>
      </w:pPr>
      <w:r>
        <w:rPr>
          <w:rFonts w:ascii="Georgia" w:cs="Georgia" w:eastAsia="Georgia" w:hAnsi="Georgia"/>
          <w:b/>
          <w:bCs/>
          <w:color w:val="1B2E5C"/>
          <w:sz w:val="23"/>
          <w:szCs w:val="23"/>
        </w:rPr>
        <w:t xml:space="preserve">Paso 2 · Qué tiene que aparecer sí o sí</w:t>
      </w:r>
    </w:p>
    <w:p>
      <w:pPr>
        <w:spacing w:after="150" w:line="300"/>
        <w:jc w:val="both"/>
      </w:pPr>
      <w:r>
        <w:rPr>
          <w:rFonts w:ascii="Georgia" w:cs="Georgia" w:eastAsia="Georgia" w:hAnsi="Georgia"/>
          <w:color w:val="1B2430"/>
          <w:sz w:val="20"/>
          <w:szCs w:val="20"/>
        </w:rPr>
        <w:t xml:space="preserve">La fracción IV usa la palabra «procedimientos», pero eso no basta para saber qué escribir: hacen falta también el criterio propio —quién es «directivo o su equivalente» en esta casa, qué se hace ante una coincidencia parcial de nombre— y la evidencia de cada paso. De modo que este apartado tiene que terminar en una tabla, no en un párrafo que diga que se aplicarán medidas reforzadas.</w:t>
      </w:r>
    </w:p>
    <w:p>
      <w:pPr>
        <w:pStyle w:val="Heading2"/>
        <w:keepNext/>
        <w:spacing w:after="150" w:before="340"/>
      </w:pPr>
      <w:r>
        <w:rPr>
          <w:rFonts w:ascii="Georgia" w:cs="Georgia" w:eastAsia="Georgia" w:hAnsi="Georgia"/>
          <w:b/>
          <w:bCs/>
          <w:color w:val="1B2E5C"/>
          <w:sz w:val="23"/>
          <w:szCs w:val="23"/>
        </w:rPr>
        <w:t xml:space="preserve">Paso 3 y 4 · Lo que se hace, contrastado con la metodología</w:t>
      </w:r>
    </w:p>
    <w:p>
      <w:pPr>
        <w:spacing w:after="150" w:line="300"/>
        <w:jc w:val="both"/>
      </w:pPr>
      <w:r>
        <w:rPr>
          <w:rFonts w:ascii="Georgia" w:cs="Georgia" w:eastAsia="Georgia" w:hAnsi="Georgia"/>
          <w:color w:val="1B2430"/>
          <w:sz w:val="20"/>
          <w:szCs w:val="20"/>
        </w:rPr>
        <w:t xml:space="preserve">Aquí va el trabajo propio de cada casa. Lo que sigue supone una empresa de tamaño medio, con área de cumplimiento de una persona, que en su matriz identificó exposición media en clientes y alta en el canal de contratación remota.</w:t>
      </w:r>
    </w:p>
    <w:p>
      <w:pPr>
        <w:pStyle w:val="Heading2"/>
        <w:keepNext/>
        <w:spacing w:after="150" w:before="340"/>
      </w:pPr>
      <w:r>
        <w:rPr>
          <w:rFonts w:ascii="Georgia" w:cs="Georgia" w:eastAsia="Georgia" w:hAnsi="Georgia"/>
          <w:b/>
          <w:bCs/>
          <w:color w:val="1B2E5C"/>
          <w:sz w:val="23"/>
          <w:szCs w:val="23"/>
        </w:rPr>
        <w:t xml:space="preserve">Paso 5 · Los cuatro planos</w:t>
      </w:r>
    </w:p>
    <w:p>
      <w:pPr>
        <w:pStyle w:val="Heading3"/>
        <w:keepNext/>
        <w:spacing w:after="110" w:before="250"/>
      </w:pPr>
      <w:r>
        <w:rPr>
          <w:rFonts w:ascii="Georgia" w:cs="Georgia" w:eastAsia="Georgia" w:hAnsi="Georgia"/>
          <w:b/>
          <w:bCs/>
          <w:color w:val="B07A12"/>
          <w:sz w:val="20"/>
          <w:szCs w:val="20"/>
        </w:rPr>
        <w:t xml:space="preserve">Política</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7F8FA" w:val="clear"/>
            <w:tcMar>
              <w:top w:type="dxa" w:w="150"/>
              <w:left w:type="dxa" w:w="200"/>
              <w:bottom w:type="dxa" w:w="150"/>
              <w:right w:type="dxa" w:w="200"/>
            </w:tcMar>
          </w:tcPr>
          <w:p>
            <w:pPr>
              <w:spacing w:after="0"/>
              <w:jc w:val="both"/>
            </w:pPr>
            <w:r>
              <w:rPr>
                <w:rFonts w:ascii="Arial" w:cs="Arial" w:eastAsia="Arial" w:hAnsi="Arial"/>
                <w:color w:val="1B2430"/>
                <w:sz w:val="18"/>
                <w:szCs w:val="18"/>
              </w:rPr>
              <w:t xml:space="preserve">«Esta empresa acepta relacionarse con Personas Políticamente Expuestas. No las rechaza por esa condición, y tampoco las trata como clientes ordinarios: toda operación con una Persona Políticamente Expuesta se somete al régimen reforzado de este numeral, y ninguna se ejecuta antes de que el régimen se haya cumplido.»</w:t>
            </w:r>
          </w:p>
        </w:tc>
      </w:tr>
    </w:tbl>
    <w:p>
      <w:pPr>
        <w:spacing w:after="190"/>
      </w:pPr>
    </w:p>
    <w:p>
      <w:pPr>
        <w:pStyle w:val="Heading3"/>
        <w:keepNext/>
        <w:spacing w:after="110" w:before="250"/>
      </w:pPr>
      <w:r>
        <w:rPr>
          <w:rFonts w:ascii="Georgia" w:cs="Georgia" w:eastAsia="Georgia" w:hAnsi="Georgia"/>
          <w:b/>
          <w:bCs/>
          <w:color w:val="B07A12"/>
          <w:sz w:val="20"/>
          <w:szCs w:val="20"/>
        </w:rPr>
        <w:t xml:space="preserve">Criterios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Quién es Persona Políticamente Expuesta</w:t>
      </w:r>
      <w:r>
        <w:rPr>
          <w:rFonts w:ascii="Georgia" w:cs="Georgia" w:eastAsia="Georgia" w:hAnsi="Georgia"/>
          <w:color w:val="1B2430"/>
          <w:sz w:val="20"/>
          <w:szCs w:val="20"/>
        </w:rPr>
        <w:t xml:space="preserve"> para efectos de este Manual, y por cuánto tiempo lo sigue siendo después de dejar el cargo.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Qué fuentes se consultan y en qué orden</w:t>
      </w:r>
      <w:r>
        <w:rPr>
          <w:rFonts w:ascii="Georgia" w:cs="Georgia" w:eastAsia="Georgia" w:hAnsi="Georgia"/>
          <w:color w:val="1B2430"/>
          <w:sz w:val="20"/>
          <w:szCs w:val="20"/>
        </w:rPr>
        <w:t xml:space="preserve">: la declaración del propio Cliente en el formato de alta, la Lista de Personas Políticamente Expuestas de la UIF y, cuando la duda subsista, la consulta prevista en el artículo 45 Ter del Reglamento.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Qué se hace ante una coincidencia parcial de nombre</w:t>
      </w:r>
      <w:r>
        <w:rPr>
          <w:rFonts w:ascii="Georgia" w:cs="Georgia" w:eastAsia="Georgia" w:hAnsi="Georgia"/>
          <w:color w:val="1B2430"/>
          <w:sz w:val="20"/>
          <w:szCs w:val="20"/>
        </w:rPr>
        <w:t xml:space="preserve">: quién decide si hay identidad, con qué datos adicionales y en cuánto tiempo.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Quién es «directivo o su equivalente»</w:t>
      </w:r>
      <w:r>
        <w:rPr>
          <w:rFonts w:ascii="Georgia" w:cs="Georgia" w:eastAsia="Georgia" w:hAnsi="Georgia"/>
          <w:color w:val="1B2430"/>
          <w:sz w:val="20"/>
          <w:szCs w:val="20"/>
        </w:rPr>
        <w:t xml:space="preserve"> en esta empresa, dicho por cargo y no por nombre, y quién lo suple en su ausencia.</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b/>
          <w:bCs/>
          <w:color w:val="1B2430"/>
          <w:sz w:val="20"/>
          <w:szCs w:val="20"/>
        </w:rPr>
        <w:t xml:space="preserve">Qué pasa si el directivo no aprueba</w:t>
      </w:r>
      <w:r>
        <w:rPr>
          <w:rFonts w:ascii="Georgia" w:cs="Georgia" w:eastAsia="Georgia" w:hAnsi="Georgia"/>
          <w:color w:val="1B2430"/>
          <w:sz w:val="20"/>
          <w:szCs w:val="20"/>
        </w:rPr>
        <w:t xml:space="preserve">: la operación no se ejecuta, quién le informa al Cliente y en qué términos, y dónde se registra la negativa.</w:t>
      </w:r>
    </w:p>
    <w:p>
      <w:pPr>
        <w:spacing w:after="110"/>
      </w:pPr>
    </w:p>
    <w:p>
      <w:pPr>
        <w:pStyle w:val="Heading3"/>
        <w:keepNext/>
        <w:spacing w:after="110" w:before="250"/>
      </w:pPr>
      <w:r>
        <w:rPr>
          <w:rFonts w:ascii="Georgia" w:cs="Georgia" w:eastAsia="Georgia" w:hAnsi="Georgia"/>
          <w:b/>
          <w:bCs/>
          <w:color w:val="B07A12"/>
          <w:sz w:val="20"/>
          <w:szCs w:val="20"/>
        </w:rPr>
        <w:t xml:space="preserve">Medidas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El formato de alta incorpora la declaración de Persona Políticamente Expuesta, con la lista de cargos y el alcance a cónyuge, dependientes económicos y personas con vínculo patrimonial.</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La consulta a la Lista queda registrada con fecha, hora y resultado, se localice o no coincidencia.</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El expediente de la Persona Políticamente Expuesta con Grado de Riesgo alto no puede cerrarse en el sistema sin el documento de aprobación cargado.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La revisión del Perfil transaccional de estos Clientes se practica cada tres meses, y no cada seis, por decisión propia derivada de la matriz.</w:t>
      </w:r>
    </w:p>
    <w:p>
      <w:pPr>
        <w:spacing w:after="110"/>
      </w:pPr>
    </w:p>
    <w:p>
      <w:pPr>
        <w:pStyle w:val="Heading3"/>
        <w:keepNext/>
        <w:spacing w:after="110" w:before="250"/>
      </w:pPr>
      <w:r>
        <w:rPr>
          <w:rFonts w:ascii="Georgia" w:cs="Georgia" w:eastAsia="Georgia" w:hAnsi="Georgia"/>
          <w:b/>
          <w:bCs/>
          <w:color w:val="B07A12"/>
          <w:sz w:val="20"/>
          <w:szCs w:val="20"/>
        </w:rPr>
        <w:t xml:space="preserve">Procedimiento</w:t>
      </w:r>
    </w:p>
    <w:tbl>
      <w:tblPr>
        <w:tblW w:type="dxa" w:w="9360"/>
        <w:tblBorders>
          <w:top w:val="single" w:color="E4E8EE" w:sz="4"/>
          <w:left w:val="none"/>
          <w:bottom w:val="single" w:color="E4E8EE" w:sz="4"/>
          <w:right w:val="none"/>
          <w:insideH w:val="single" w:color="E4E8EE" w:sz="2"/>
          <w:insideV w:val="none"/>
        </w:tblBorders>
      </w:tblPr>
      <w:tblGrid>
        <w:gridCol w:w="420"/>
        <w:gridCol w:w="3050"/>
        <w:gridCol w:w="1550"/>
        <w:gridCol w:w="1500"/>
        <w:gridCol w:w="2840"/>
      </w:tblGrid>
      <w:tr>
        <w:trPr>
          <w:tblHeader/>
        </w:trPr>
        <w:tc>
          <w:tcPr>
            <w:tcW w:type="dxa" w:w="42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w:t>
            </w:r>
          </w:p>
        </w:tc>
        <w:tc>
          <w:tcPr>
            <w:tcW w:type="dxa" w:w="30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Paso</w:t>
            </w:r>
          </w:p>
        </w:tc>
        <w:tc>
          <w:tcPr>
            <w:tcW w:type="dxa" w:w="15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Responsable</w:t>
            </w:r>
          </w:p>
        </w:tc>
        <w:tc>
          <w:tcPr>
            <w:tcW w:type="dxa" w:w="15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Plazo</w:t>
            </w:r>
          </w:p>
        </w:tc>
        <w:tc>
          <w:tcPr>
            <w:tcW w:type="dxa" w:w="284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Evidencia que deja</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1</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Recabar la declaración de Persona Políticamente Expuesta en el formato de alta</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Quien atiende al Cliente</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Antes de la primera operación</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Formato de alta firmado</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2</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Consultar la Lista de la UIF y dejar constancia del resultado</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Mismo día del alta</w:t>
            </w:r>
          </w:p>
        </w:tc>
        <w:tc>
          <w:tcPr>
            <w:tcW w:type="dxa" w:w="284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Captura o acuse de la consulta, con fecha y hora</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3</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Resolver la coincidencia parcial, si la hubo</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2 días hábiles</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Nota de resolución en el expediente</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4</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Asignar Grado de Riesgo conforme al Capítulo III Bis</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Mismo día</w:t>
            </w:r>
          </w:p>
        </w:tc>
        <w:tc>
          <w:tcPr>
            <w:tcW w:type="dxa" w:w="284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Cédula de calificación del Cliente</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5</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Si es alto: aplicar el cuestionario reforzado de origen y destino de recursos</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Antes de la operación</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Cuestionario firmado o con Firma Electrónica</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6</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Solicitar la aprobación del directivo</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Antes de la operación</w:t>
            </w:r>
          </w:p>
        </w:tc>
        <w:tc>
          <w:tcPr>
            <w:tcW w:type="dxa" w:w="284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Formato del RCG 23 Ter 5</w:t>
            </w:r>
            <w:r>
              <w:rPr>
                <w:rFonts w:ascii="Arial" w:cs="Arial" w:eastAsia="Arial" w:hAnsi="Arial"/>
                <w:color w:val="1B2430"/>
                <w:sz w:val="17"/>
                <w:szCs w:val="17"/>
              </w:rPr>
              <w:t xml:space="preserve">, descargable del Módulo 6</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7</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Ejecutar u ordenar la no ejecución, según la respuesta</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Dirección de operaciones</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24 h desde la respuesta</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Orden de operación, o registro de la negativa</w:t>
            </w:r>
          </w:p>
        </w:tc>
      </w:tr>
      <w:tr>
        <w:tc>
          <w:tcPr>
            <w:tcW w:type="dxa" w:w="42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8</w:t>
            </w:r>
          </w:p>
        </w:tc>
        <w:tc>
          <w:tcPr>
            <w:tcW w:type="dxa" w:w="30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Revisar el Perfil transaccional</w:t>
            </w:r>
          </w:p>
        </w:tc>
        <w:tc>
          <w:tcPr>
            <w:tcW w:type="dxa" w:w="15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Cada 3 meses</w:t>
            </w:r>
          </w:p>
        </w:tc>
        <w:tc>
          <w:tcPr>
            <w:tcW w:type="dxa" w:w="284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Cédula de revisión</w:t>
            </w:r>
          </w:p>
        </w:tc>
      </w:tr>
      <w:tr>
        <w:tc>
          <w:tcPr>
            <w:tcW w:type="dxa" w:w="42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9</w:t>
            </w:r>
          </w:p>
        </w:tc>
        <w:tc>
          <w:tcPr>
            <w:tcW w:type="dxa" w:w="30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Resguardar todo lo anterior</w:t>
            </w:r>
          </w:p>
        </w:tc>
        <w:tc>
          <w:tcPr>
            <w:tcW w:type="dxa" w:w="15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w:t>
            </w:r>
          </w:p>
        </w:tc>
        <w:tc>
          <w:tcPr>
            <w:tcW w:type="dxa" w:w="15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Al cierre de cada paso</w:t>
            </w:r>
          </w:p>
        </w:tc>
        <w:tc>
          <w:tcPr>
            <w:tcW w:type="dxa" w:w="284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Expediente completo, 10 años desde la operación</w:t>
            </w:r>
          </w:p>
        </w:tc>
      </w:tr>
    </w:tbl>
    <w:p>
      <w:pPr>
        <w:spacing w:after="200"/>
      </w:pPr>
    </w:p>
    <w:p>
      <w:pPr>
        <w:pStyle w:val="Heading2"/>
        <w:keepNext/>
        <w:spacing w:after="150" w:before="340"/>
      </w:pPr>
      <w:r>
        <w:rPr>
          <w:rFonts w:ascii="Georgia" w:cs="Georgia" w:eastAsia="Georgia" w:hAnsi="Georgia"/>
          <w:b/>
          <w:bCs/>
          <w:color w:val="1B2E5C"/>
          <w:sz w:val="23"/>
          <w:szCs w:val="23"/>
        </w:rPr>
        <w:t xml:space="preserve">Paso 6 · La evidencia del apartado</w:t>
      </w:r>
    </w:p>
    <w:p>
      <w:pPr>
        <w:spacing w:after="150" w:line="300"/>
        <w:jc w:val="both"/>
      </w:pPr>
      <w:r>
        <w:rPr>
          <w:rFonts w:ascii="Georgia" w:cs="Georgia" w:eastAsia="Georgia" w:hAnsi="Georgia"/>
          <w:color w:val="1B2430"/>
          <w:sz w:val="20"/>
          <w:szCs w:val="20"/>
        </w:rPr>
        <w:t xml:space="preserve">Nueve pasos, nueve rastros. Si la autoridad pregunta cómo aplica esta empresa el régimen de Personas Políticamente Expuestas, la respuesta no es el texto del Manual: son los nueve documentos. </w:t>
      </w:r>
      <w:r>
        <w:rPr>
          <w:rFonts w:ascii="Georgia" w:cs="Georgia" w:eastAsia="Georgia" w:hAnsi="Georgia"/>
          <w:b/>
          <w:bCs/>
          <w:color w:val="1B2430"/>
          <w:sz w:val="20"/>
          <w:szCs w:val="20"/>
        </w:rPr>
        <w:t xml:space="preserve">El texto sólo sirve para saber cuáles pedir.</w:t>
      </w:r>
    </w:p>
    <w:tbl>
      <w:tblPr>
        <w:tblW w:type="dxa" w:w="9360"/>
        <w:tblBorders>
          <w:top w:val="none"/>
          <w:left w:val="none"/>
          <w:bottom w:val="none"/>
          <w:right w:val="none"/>
          <w:insideH w:val="none"/>
          <w:insideV w:val="none"/>
        </w:tblBorders>
      </w:tblPr>
      <w:tblGrid>
        <w:gridCol w:w="9360"/>
      </w:tblGrid>
      <w:tr>
        <w:tc>
          <w:tcPr>
            <w:tcW w:type="dxa" w:w="9360"/>
            <w:shd w:fill="12224A" w:val="clear"/>
            <w:tcMar>
              <w:top w:type="dxa" w:w="150"/>
              <w:left w:type="dxa" w:w="220"/>
              <w:bottom w:type="dxa" w:w="150"/>
              <w:right w:type="dxa" w:w="220"/>
            </w:tcMar>
          </w:tcPr>
          <w:p>
            <w:pPr>
              <w:spacing w:after="0"/>
            </w:pPr>
            <w:r>
              <w:rPr>
                <w:rFonts w:ascii="Arial" w:cs="Arial" w:eastAsia="Arial" w:hAnsi="Arial"/>
                <w:b/>
                <w:bCs/>
                <w:color w:val="F2A541"/>
                <w:sz w:val="20"/>
                <w:szCs w:val="20"/>
              </w:rPr>
              <w:t xml:space="preserve">Compare el apartado que acaba de leer con la frase que trae la mayoría de los manuales: «se aplicarán medidas de debida diligencia reforzada a las Personas Políticamente Expuestas conforme a la normatividad aplicable». Las dos ocupan una página. Sólo una se puede ejecutar.</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8 · Segundo modelo, abreviado · Fracción VIII, acumulación</w:t>
      </w:r>
    </w:p>
    <w:p>
      <w:pPr>
        <w:spacing w:after="200"/>
      </w:pPr>
      <w:r>
        <w:rPr>
          <w:rFonts w:ascii="Arial" w:cs="Arial" w:eastAsia="Arial" w:hAnsi="Arial"/>
          <w:i/>
          <w:iCs/>
          <w:color w:val="5A6472"/>
          <w:sz w:val="19"/>
          <w:szCs w:val="19"/>
        </w:rPr>
        <w:t xml:space="preserve">El mismo método sobre un tema de sistema, para ver que no cambia. Aquí la norma pide mecanismo, no procedimiento, y eso altera la forma del texto.</w:t>
      </w:r>
    </w:p>
    <w:p>
      <w:pPr>
        <w:pStyle w:val="Heading2"/>
        <w:keepNext/>
        <w:spacing w:after="150" w:before="340"/>
      </w:pPr>
      <w:r>
        <w:rPr>
          <w:rFonts w:ascii="Georgia" w:cs="Georgia" w:eastAsia="Georgia" w:hAnsi="Georgia"/>
          <w:b/>
          <w:bCs/>
          <w:color w:val="1B2E5C"/>
          <w:sz w:val="23"/>
          <w:szCs w:val="23"/>
        </w:rPr>
        <w:t xml:space="preserve">El precepto</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Los </w:t>
            </w:r>
            <w:r>
              <w:rPr>
                <w:rFonts w:ascii="Georgia" w:cs="Georgia" w:eastAsia="Georgia" w:hAnsi="Georgia"/>
                <w:b/>
                <w:bCs/>
                <w:i/>
                <w:iCs/>
                <w:color w:val="12224A"/>
                <w:sz w:val="20"/>
                <w:szCs w:val="20"/>
              </w:rPr>
              <w:t xml:space="preserve">mecanismos</w:t>
            </w:r>
            <w:r>
              <w:rPr>
                <w:rFonts w:ascii="Georgia" w:cs="Georgia" w:eastAsia="Georgia" w:hAnsi="Georgia"/>
                <w:i/>
                <w:iCs/>
                <w:color w:val="12224A"/>
                <w:sz w:val="20"/>
                <w:szCs w:val="20"/>
              </w:rPr>
              <w:t xml:space="preserve"> para dar seguimiento y acumular actos u operaciones que en lo individual se celebren con las personas Clientes o Usuarias, cuyo monto por suma acumulada alcance o supere los umbrales establecidos en cada caso, para la presentación de Avisos.</w:t>
            </w:r>
          </w:p>
          <w:p>
            <w:pPr>
              <w:spacing w:after="0"/>
            </w:pPr>
            <w:r>
              <w:rPr>
                <w:rFonts w:ascii="Arial" w:cs="Arial" w:eastAsia="Arial" w:hAnsi="Arial"/>
                <w:color w:val="5A6472"/>
                <w:sz w:val="16"/>
                <w:szCs w:val="16"/>
              </w:rPr>
              <w:t xml:space="preserve">RCG art. 37 Bis, fracción VIII</w:t>
            </w:r>
          </w:p>
        </w:tc>
      </w:tr>
    </w:tbl>
    <w:p>
      <w:pPr>
        <w:spacing w:after="170"/>
      </w:pPr>
    </w:p>
    <w:p>
      <w:pPr>
        <w:pStyle w:val="Heading2"/>
        <w:keepNext/>
        <w:spacing w:after="150" w:before="340"/>
      </w:pPr>
      <w:r>
        <w:rPr>
          <w:rFonts w:ascii="Georgia" w:cs="Georgia" w:eastAsia="Georgia" w:hAnsi="Georgia"/>
          <w:b/>
          <w:bCs/>
          <w:color w:val="1B2E5C"/>
          <w:sz w:val="23"/>
          <w:szCs w:val="23"/>
        </w:rPr>
        <w:t xml:space="preserve">Los cuatro planos, en corto</w:t>
      </w:r>
    </w:p>
    <w:tbl>
      <w:tblPr>
        <w:tblW w:type="dxa" w:w="9360"/>
        <w:tblBorders>
          <w:top w:val="single" w:color="E4E8EE" w:sz="4"/>
          <w:left w:val="none"/>
          <w:bottom w:val="single" w:color="E4E8EE" w:sz="4"/>
          <w:right w:val="none"/>
          <w:insideH w:val="single" w:color="E4E8EE" w:sz="2"/>
          <w:insideV w:val="none"/>
        </w:tblBorders>
      </w:tblPr>
      <w:tblGrid>
        <w:gridCol w:w="1450"/>
        <w:gridCol w:w="7910"/>
      </w:tblGrid>
      <w:tr>
        <w:trPr>
          <w:tblHeader/>
        </w:trPr>
        <w:tc>
          <w:tcPr>
            <w:tcW w:type="dxa" w:w="14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Plano</w:t>
            </w:r>
          </w:p>
        </w:tc>
        <w:tc>
          <w:tcPr>
            <w:tcW w:type="dxa" w:w="791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Cómo queda redactado</w:t>
            </w:r>
          </w:p>
        </w:tc>
      </w:tr>
      <w:tr>
        <w:tc>
          <w:tcPr>
            <w:tcW w:type="dxa" w:w="14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Política</w:t>
            </w:r>
          </w:p>
        </w:tc>
        <w:tc>
          <w:tcPr>
            <w:tcW w:type="dxa" w:w="791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«Esta empresa acumula por Cliente o Usuaria y por tipo de acto u operación, en periodos de hasta seis meses, y presenta el Aviso al alcanzarse el umbral aunque el periodo no se haya agotado.»</w:t>
            </w:r>
          </w:p>
        </w:tc>
      </w:tr>
      <w:tr>
        <w:tc>
          <w:tcPr>
            <w:tcW w:type="dxa" w:w="14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Criterio</w:t>
            </w:r>
          </w:p>
        </w:tc>
        <w:tc>
          <w:tcPr>
            <w:tcW w:type="dxa" w:w="791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Cuándo arranca el periodo (con el primer acto que se ubique en el supuesto de identificación); qué actos entran y cuáles no; y la regla del Reglamento para las fracciones </w:t>
            </w:r>
            <w:r>
              <w:rPr>
                <w:rFonts w:ascii="Arial" w:cs="Arial" w:eastAsia="Arial" w:hAnsi="Arial"/>
                <w:b/>
                <w:bCs/>
                <w:color w:val="1B2430"/>
                <w:sz w:val="17"/>
                <w:szCs w:val="17"/>
              </w:rPr>
              <w:t xml:space="preserve">sin</w:t>
            </w:r>
            <w:r>
              <w:rPr>
                <w:rFonts w:ascii="Arial" w:cs="Arial" w:eastAsia="Arial" w:hAnsi="Arial"/>
                <w:color w:val="1B2430"/>
                <w:sz w:val="17"/>
                <w:szCs w:val="17"/>
              </w:rPr>
              <w:t xml:space="preserve"> umbral de identificación, donde se acumula todo desde el primer acto.</w:t>
            </w:r>
          </w:p>
        </w:tc>
      </w:tr>
      <w:tr>
        <w:tc>
          <w:tcPr>
            <w:tcW w:type="dxa" w:w="14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Medida</w:t>
            </w:r>
          </w:p>
        </w:tc>
        <w:tc>
          <w:tcPr>
            <w:tcW w:type="dxa" w:w="791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sistema registra cada acto con Cliente, tipo, fecha y monto; la acumulación se calcula sola; el umbral está parametrizado por fracción y se revisa cuando cambia el valor de la UMA.</w:t>
            </w:r>
          </w:p>
        </w:tc>
      </w:tr>
      <w:tr>
        <w:tc>
          <w:tcPr>
            <w:tcW w:type="dxa" w:w="14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Mecanismo</w:t>
            </w:r>
          </w:p>
        </w:tc>
        <w:tc>
          <w:tcPr>
            <w:tcW w:type="dxa" w:w="791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herramienta </w:t>
            </w:r>
            <w:r>
              <w:rPr>
                <w:rFonts w:ascii="Arial" w:cs="Arial" w:eastAsia="Arial" w:hAnsi="Arial"/>
                <w:i/>
                <w:iCs/>
                <w:color w:val="1B2430"/>
                <w:sz w:val="17"/>
                <w:szCs w:val="17"/>
              </w:rPr>
              <w:t xml:space="preserve">(cuál)</w:t>
            </w:r>
            <w:r>
              <w:rPr>
                <w:rFonts w:ascii="Arial" w:cs="Arial" w:eastAsia="Arial" w:hAnsi="Arial"/>
                <w:color w:val="1B2430"/>
                <w:sz w:val="17"/>
                <w:szCs w:val="17"/>
              </w:rPr>
              <w:t xml:space="preserve">, la periodicidad </w:t>
            </w:r>
            <w:r>
              <w:rPr>
                <w:rFonts w:ascii="Arial" w:cs="Arial" w:eastAsia="Arial" w:hAnsi="Arial"/>
                <w:i/>
                <w:iCs/>
                <w:color w:val="1B2430"/>
                <w:sz w:val="17"/>
                <w:szCs w:val="17"/>
              </w:rPr>
              <w:t xml:space="preserve">(el cálculo corre en cada captura y hay un barrido diario)</w:t>
            </w:r>
            <w:r>
              <w:rPr>
                <w:rFonts w:ascii="Arial" w:cs="Arial" w:eastAsia="Arial" w:hAnsi="Arial"/>
                <w:color w:val="1B2430"/>
                <w:sz w:val="17"/>
                <w:szCs w:val="17"/>
              </w:rPr>
              <w:t xml:space="preserve">, y la salida </w:t>
            </w:r>
            <w:r>
              <w:rPr>
                <w:rFonts w:ascii="Arial" w:cs="Arial" w:eastAsia="Arial" w:hAnsi="Arial"/>
                <w:i/>
                <w:iCs/>
                <w:color w:val="1B2430"/>
                <w:sz w:val="17"/>
                <w:szCs w:val="17"/>
              </w:rPr>
              <w:t xml:space="preserve">(una alerta al área de cumplimiento el mismo día en que un Cliente alcanza el umbral, con el detalle de los actos que la componen)</w:t>
            </w:r>
            <w:r>
              <w:rPr>
                <w:rFonts w:ascii="Arial" w:cs="Arial" w:eastAsia="Arial" w:hAnsi="Arial"/>
                <w:color w:val="1B2430"/>
                <w:sz w:val="17"/>
                <w:szCs w:val="17"/>
              </w:rPr>
              <w:t xml:space="preserve">.</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Dos fechas que este apartado tiene que respetar</w:t>
            </w:r>
          </w:p>
          <w:p>
            <w:pPr>
              <w:spacing w:after="100"/>
              <w:jc w:val="both"/>
            </w:pPr>
            <w:r>
              <w:rPr>
                <w:rFonts w:ascii="Arial" w:cs="Arial" w:eastAsia="Arial" w:hAnsi="Arial"/>
                <w:color w:val="1B2430"/>
                <w:sz w:val="18"/>
                <w:szCs w:val="18"/>
              </w:rPr>
              <w:t xml:space="preserve">La obligación de que este seguimiento se apoye en </w:t>
            </w:r>
            <w:r>
              <w:rPr>
                <w:rFonts w:ascii="Arial" w:cs="Arial" w:eastAsia="Arial" w:hAnsi="Arial"/>
                <w:b/>
                <w:bCs/>
                <w:color w:val="1B2430"/>
                <w:sz w:val="18"/>
                <w:szCs w:val="18"/>
              </w:rPr>
              <w:t xml:space="preserve">mecanismos automatizados</w:t>
            </w:r>
            <w:r>
              <w:rPr>
                <w:rFonts w:ascii="Arial" w:cs="Arial" w:eastAsia="Arial" w:hAnsi="Arial"/>
                <w:color w:val="1B2430"/>
                <w:sz w:val="18"/>
                <w:szCs w:val="18"/>
              </w:rPr>
              <w:t xml:space="preserve"> es exigible a más tardar el </w:t>
            </w:r>
            <w:r>
              <w:rPr>
                <w:rFonts w:ascii="Arial" w:cs="Arial" w:eastAsia="Arial" w:hAnsi="Arial"/>
                <w:b/>
                <w:bCs/>
                <w:color w:val="1B2430"/>
                <w:sz w:val="18"/>
                <w:szCs w:val="18"/>
              </w:rPr>
              <w:t xml:space="preserve">1 de junio de 2027</w:t>
            </w:r>
            <w:r>
              <w:rPr>
                <w:rFonts w:ascii="Arial" w:cs="Arial" w:eastAsia="Arial" w:hAnsi="Arial"/>
                <w:color w:val="1B2430"/>
                <w:sz w:val="18"/>
                <w:szCs w:val="18"/>
              </w:rPr>
              <w:t xml:space="preserve">, y respecto de los actos u operaciones realizados a partir de esa fecha </w:t>
            </w:r>
            <w:r>
              <w:rPr>
                <w:rFonts w:ascii="Arial" w:cs="Arial" w:eastAsia="Arial" w:hAnsi="Arial"/>
                <w:i/>
                <w:iCs/>
                <w:color w:val="1B2430"/>
                <w:sz w:val="18"/>
                <w:szCs w:val="18"/>
              </w:rPr>
              <w:t xml:space="preserve">(Transitorio Noveno del ACUERDO 115/2026, y RCG art. 41)</w:t>
            </w:r>
            <w:r>
              <w:rPr>
                <w:rFonts w:ascii="Arial" w:cs="Arial" w:eastAsia="Arial" w:hAnsi="Arial"/>
                <w:color w:val="1B2430"/>
                <w:sz w:val="18"/>
                <w:szCs w:val="18"/>
              </w:rPr>
              <w:t xml:space="preserve">.</w:t>
            </w:r>
          </w:p>
          <w:p>
            <w:pPr>
              <w:spacing w:after="0"/>
              <w:jc w:val="both"/>
            </w:pPr>
            <w:r>
              <w:rPr>
                <w:rFonts w:ascii="Arial" w:cs="Arial" w:eastAsia="Arial" w:hAnsi="Arial"/>
                <w:color w:val="1B2430"/>
                <w:sz w:val="18"/>
                <w:szCs w:val="18"/>
              </w:rPr>
              <w:t xml:space="preserve">Hasta entonces el mecanismo puede ser manual, pero tiene que existir, estar escrito y dejar registro. Un control manual documentado cumple; un control automatizado sin documentar, no.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9 · Cómo se redacta un paso</w:t>
      </w:r>
    </w:p>
    <w:p>
      <w:pPr>
        <w:spacing w:after="200"/>
      </w:pPr>
      <w:r>
        <w:rPr>
          <w:rFonts w:ascii="Arial" w:cs="Arial" w:eastAsia="Arial" w:hAnsi="Arial"/>
          <w:i/>
          <w:iCs/>
          <w:color w:val="5A6472"/>
          <w:sz w:val="19"/>
          <w:szCs w:val="19"/>
        </w:rPr>
        <w:t xml:space="preserve">Un procedimiento se rompe casi siempre por el verbo. Hay verbos que describen y verbos que ordenan; sólo los segundos se pueden ejecutar y auditar.</w:t>
      </w:r>
    </w:p>
    <w:tbl>
      <w:tblPr>
        <w:tblW w:type="dxa" w:w="9360"/>
        <w:tblBorders>
          <w:top w:val="single" w:color="E4E8EE" w:sz="4"/>
          <w:left w:val="none"/>
          <w:bottom w:val="single" w:color="E4E8EE" w:sz="4"/>
          <w:right w:val="none"/>
          <w:insideH w:val="single" w:color="E4E8EE" w:sz="2"/>
          <w:insideV w:val="none"/>
        </w:tblBorders>
      </w:tblPr>
      <w:tblGrid>
        <w:gridCol w:w="2900"/>
        <w:gridCol w:w="3400"/>
        <w:gridCol w:w="3060"/>
      </w:tblGrid>
      <w:tr>
        <w:trPr>
          <w:tblHeader/>
        </w:trPr>
        <w:tc>
          <w:tcPr>
            <w:tcW w:type="dxa" w:w="29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No sirve para un paso</w:t>
            </w:r>
          </w:p>
        </w:tc>
        <w:tc>
          <w:tcPr>
            <w:tcW w:type="dxa" w:w="34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Por qué</w:t>
            </w:r>
          </w:p>
        </w:tc>
        <w:tc>
          <w:tcPr>
            <w:tcW w:type="dxa" w:w="30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Sirve</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procurará</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 obliga a nadie y no se puede incumplir</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solicita · Se recaba</w:t>
            </w:r>
          </w:p>
        </w:tc>
      </w:tr>
      <w:tr>
        <w:tc>
          <w:tcPr>
            <w:tcW w:type="dxa" w:w="2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Se dará cumplimiento a lo dispuesto en…</w:t>
            </w:r>
          </w:p>
        </w:tc>
        <w:tc>
          <w:tcPr>
            <w:tcW w:type="dxa" w:w="34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Remite a la ley en vez de decir qué se hace</w:t>
            </w:r>
          </w:p>
        </w:tc>
        <w:tc>
          <w:tcPr>
            <w:tcW w:type="dxa" w:w="3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Se consulta la Lista y se imprime el resultado</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aplicarán las medidas necesarias</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 dice cuáles, ni quién decide qué es necesario</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aplica el cuestionario del Anexo 3</w:t>
            </w:r>
          </w:p>
        </w:tc>
      </w:tr>
      <w:tr>
        <w:tc>
          <w:tcPr>
            <w:tcW w:type="dxa" w:w="2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En su caso, se podrá requerir</w:t>
            </w:r>
          </w:p>
        </w:tc>
        <w:tc>
          <w:tcPr>
            <w:tcW w:type="dxa" w:w="34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Convierte el control en potestad de quien opera</w:t>
            </w:r>
          </w:p>
        </w:tc>
        <w:tc>
          <w:tcPr>
            <w:tcW w:type="dxa" w:w="3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Se requiere cuando el monto supere X</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 empresa velará por</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No tiene sujeto que responda</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Cumplimiento verifica y firma</w:t>
            </w:r>
          </w:p>
        </w:tc>
      </w:tr>
      <w:tr>
        <w:tc>
          <w:tcPr>
            <w:tcW w:type="dxa" w:w="29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Periódicamente</w:t>
            </w:r>
          </w:p>
        </w:tc>
        <w:tc>
          <w:tcPr>
            <w:tcW w:type="dxa" w:w="34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Sin periodicidad no hay incumplimiento posible</w:t>
            </w:r>
          </w:p>
        </w:tc>
        <w:tc>
          <w:tcPr>
            <w:tcW w:type="dxa" w:w="30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Cada tres meses, en los primeros cinco días hábiles</w:t>
            </w:r>
          </w:p>
        </w:tc>
      </w:tr>
      <w:tr>
        <w:tc>
          <w:tcPr>
            <w:tcW w:type="dxa" w:w="29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área correspondiente</w:t>
            </w:r>
          </w:p>
        </w:tc>
        <w:tc>
          <w:tcPr>
            <w:tcW w:type="dxa" w:w="34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Nadie es el área correspondiente</w:t>
            </w:r>
          </w:p>
        </w:tc>
        <w:tc>
          <w:tcPr>
            <w:tcW w:type="dxa" w:w="30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La persona Representante Encargada de Cumplimiento</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La forma mínima de un paso</w:t>
            </w:r>
          </w:p>
          <w:p>
            <w:pPr>
              <w:spacing w:after="100"/>
              <w:jc w:val="both"/>
            </w:pPr>
            <w:r>
              <w:rPr>
                <w:rFonts w:ascii="Arial" w:cs="Arial" w:eastAsia="Arial" w:hAnsi="Arial"/>
                <w:b/>
                <w:bCs/>
                <w:color w:val="1B2430"/>
                <w:sz w:val="18"/>
                <w:szCs w:val="18"/>
              </w:rPr>
              <w:t xml:space="preserve">Quién</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qué hace</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con qué</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en qué plazo</w:t>
            </w:r>
            <w:r>
              <w:rPr>
                <w:rFonts w:ascii="Arial" w:cs="Arial" w:eastAsia="Arial" w:hAnsi="Arial"/>
                <w:color w:val="1B2430"/>
                <w:sz w:val="18"/>
                <w:szCs w:val="18"/>
              </w:rPr>
              <w:t xml:space="preserve"> + </w:t>
            </w:r>
            <w:r>
              <w:rPr>
                <w:rFonts w:ascii="Arial" w:cs="Arial" w:eastAsia="Arial" w:hAnsi="Arial"/>
                <w:b/>
                <w:bCs/>
                <w:color w:val="1B2430"/>
                <w:sz w:val="18"/>
                <w:szCs w:val="18"/>
              </w:rPr>
              <w:t xml:space="preserve">qué documento deja</w:t>
            </w:r>
            <w:r>
              <w:rPr>
                <w:rFonts w:ascii="Arial" w:cs="Arial" w:eastAsia="Arial" w:hAnsi="Arial"/>
                <w:color w:val="1B2430"/>
                <w:sz w:val="18"/>
                <w:szCs w:val="18"/>
              </w:rPr>
              <w:t xml:space="preserve">.</w:t>
            </w:r>
          </w:p>
          <w:p>
            <w:pPr>
              <w:spacing w:after="0"/>
              <w:jc w:val="both"/>
            </w:pPr>
            <w:r>
              <w:rPr>
                <w:rFonts w:ascii="Arial" w:cs="Arial" w:eastAsia="Arial" w:hAnsi="Arial"/>
                <w:color w:val="1B2430"/>
                <w:sz w:val="18"/>
                <w:szCs w:val="18"/>
              </w:rPr>
              <w:t xml:space="preserve">Ejemplo: «</w:t>
            </w:r>
            <w:r>
              <w:rPr>
                <w:rFonts w:ascii="Arial" w:cs="Arial" w:eastAsia="Arial" w:hAnsi="Arial"/>
                <w:i/>
                <w:iCs/>
                <w:color w:val="1B2430"/>
                <w:sz w:val="18"/>
                <w:szCs w:val="18"/>
              </w:rPr>
              <w:t xml:space="preserve">Cumplimiento</w:t>
            </w:r>
            <w:r>
              <w:rPr>
                <w:rFonts w:ascii="Arial" w:cs="Arial" w:eastAsia="Arial" w:hAnsi="Arial"/>
                <w:color w:val="1B2430"/>
                <w:sz w:val="18"/>
                <w:szCs w:val="18"/>
              </w:rPr>
              <w:t xml:space="preserve"> </w:t>
            </w:r>
            <w:r>
              <w:rPr>
                <w:rFonts w:ascii="Arial" w:cs="Arial" w:eastAsia="Arial" w:hAnsi="Arial"/>
                <w:i/>
                <w:iCs/>
                <w:color w:val="1B2430"/>
                <w:sz w:val="18"/>
                <w:szCs w:val="18"/>
              </w:rPr>
              <w:t xml:space="preserve">consulta</w:t>
            </w:r>
            <w:r>
              <w:rPr>
                <w:rFonts w:ascii="Arial" w:cs="Arial" w:eastAsia="Arial" w:hAnsi="Arial"/>
                <w:color w:val="1B2430"/>
                <w:sz w:val="18"/>
                <w:szCs w:val="18"/>
              </w:rPr>
              <w:t xml:space="preserve"> la Lista de Personas Políticamente Expuestas </w:t>
            </w:r>
            <w:r>
              <w:rPr>
                <w:rFonts w:ascii="Arial" w:cs="Arial" w:eastAsia="Arial" w:hAnsi="Arial"/>
                <w:i/>
                <w:iCs/>
                <w:color w:val="1B2430"/>
                <w:sz w:val="18"/>
                <w:szCs w:val="18"/>
              </w:rPr>
              <w:t xml:space="preserve">en el Portal</w:t>
            </w:r>
            <w:r>
              <w:rPr>
                <w:rFonts w:ascii="Arial" w:cs="Arial" w:eastAsia="Arial" w:hAnsi="Arial"/>
                <w:color w:val="1B2430"/>
                <w:sz w:val="18"/>
                <w:szCs w:val="18"/>
              </w:rPr>
              <w:t xml:space="preserve"> </w:t>
            </w:r>
            <w:r>
              <w:rPr>
                <w:rFonts w:ascii="Arial" w:cs="Arial" w:eastAsia="Arial" w:hAnsi="Arial"/>
                <w:i/>
                <w:iCs/>
                <w:color w:val="1B2430"/>
                <w:sz w:val="18"/>
                <w:szCs w:val="18"/>
              </w:rPr>
              <w:t xml:space="preserve">el mismo día del alta</w:t>
            </w:r>
            <w:r>
              <w:rPr>
                <w:rFonts w:ascii="Arial" w:cs="Arial" w:eastAsia="Arial" w:hAnsi="Arial"/>
                <w:color w:val="1B2430"/>
                <w:sz w:val="18"/>
                <w:szCs w:val="18"/>
              </w:rPr>
              <w:t xml:space="preserve">, e </w:t>
            </w:r>
            <w:r>
              <w:rPr>
                <w:rFonts w:ascii="Arial" w:cs="Arial" w:eastAsia="Arial" w:hAnsi="Arial"/>
                <w:i/>
                <w:iCs/>
                <w:color w:val="1B2430"/>
                <w:sz w:val="18"/>
                <w:szCs w:val="18"/>
              </w:rPr>
              <w:t xml:space="preserve">imprime el resultado con fecha y hora al expediente</w:t>
            </w:r>
            <w:r>
              <w:rPr>
                <w:rFonts w:ascii="Arial" w:cs="Arial" w:eastAsia="Arial" w:hAnsi="Arial"/>
                <w:color w:val="1B2430"/>
                <w:sz w:val="18"/>
                <w:szCs w:val="18"/>
              </w:rPr>
              <w:t xml:space="preserve">.» Cinco elementos, una oración, ejecutable por quien entró ayer.</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10 · Los seis errores que tiran un Manual</w:t>
      </w:r>
    </w:p>
    <w:p>
      <w:pPr>
        <w:spacing w:after="200"/>
      </w:pPr>
      <w:r>
        <w:rPr>
          <w:rFonts w:ascii="Arial" w:cs="Arial" w:eastAsia="Arial" w:hAnsi="Arial"/>
          <w:i/>
          <w:iCs/>
          <w:color w:val="5A6472"/>
          <w:sz w:val="19"/>
          <w:szCs w:val="19"/>
        </w:rPr>
        <w:t xml:space="preserve">Ninguno es de redacción bonita. Los seis son de sustento.</w:t>
      </w:r>
    </w:p>
    <w:tbl>
      <w:tblPr>
        <w:tblW w:type="dxa" w:w="9360"/>
        <w:tblBorders>
          <w:top w:val="single" w:color="E4E8EE" w:sz="4"/>
          <w:left w:val="none"/>
          <w:bottom w:val="single" w:color="E4E8EE" w:sz="4"/>
          <w:right w:val="none"/>
          <w:insideH w:val="single" w:color="E4E8EE" w:sz="2"/>
          <w:insideV w:val="none"/>
        </w:tblBorders>
      </w:tblPr>
      <w:tblGrid>
        <w:gridCol w:w="2750"/>
        <w:gridCol w:w="3450"/>
        <w:gridCol w:w="3160"/>
      </w:tblGrid>
      <w:tr>
        <w:trPr>
          <w:tblHeader/>
        </w:trPr>
        <w:tc>
          <w:tcPr>
            <w:tcW w:type="dxa" w:w="27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El error</w:t>
            </w:r>
          </w:p>
        </w:tc>
        <w:tc>
          <w:tcPr>
            <w:tcW w:type="dxa" w:w="345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Cómo se detecta</w:t>
            </w:r>
          </w:p>
        </w:tc>
        <w:tc>
          <w:tcPr>
            <w:tcW w:type="dxa" w:w="31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Qué lo evita</w:t>
            </w:r>
          </w:p>
        </w:tc>
      </w:tr>
      <w:tr>
        <w:tc>
          <w:tcPr>
            <w:tcW w:type="dxa" w:w="27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Transcrito.</w:t>
            </w:r>
            <w:r>
              <w:rPr>
                <w:rFonts w:ascii="Arial" w:cs="Arial" w:eastAsia="Arial" w:hAnsi="Arial"/>
                <w:color w:val="1B2430"/>
                <w:sz w:val="17"/>
                <w:szCs w:val="17"/>
              </w:rPr>
              <w:t xml:space="preserve"> El Manual reproduce la norma y no desarrolla nada.</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pregunta quién ejecuta un apartado cualquiera. No hay respuesta en el texto.</w:t>
            </w:r>
          </w:p>
        </w:tc>
        <w:tc>
          <w:tcPr>
            <w:tcW w:type="dxa" w:w="31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Los cuatro planos en cada apartado.</w:t>
            </w:r>
          </w:p>
        </w:tc>
      </w:tr>
      <w:tr>
        <w:tc>
          <w:tcPr>
            <w:tcW w:type="dxa" w:w="27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Ajeno.</w:t>
            </w:r>
            <w:r>
              <w:rPr>
                <w:rFonts w:ascii="Arial" w:cs="Arial" w:eastAsia="Arial" w:hAnsi="Arial"/>
                <w:color w:val="1B2430"/>
                <w:sz w:val="17"/>
                <w:szCs w:val="17"/>
              </w:rPr>
              <w:t xml:space="preserve"> Es plantilla de otra empresa, o de otro sector.</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controles no corresponden a la operación real, y no hay relación con la matriz de riesgos.</w:t>
            </w:r>
          </w:p>
        </w:tc>
        <w:tc>
          <w:tcPr>
            <w:tcW w:type="dxa" w:w="31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paso 3 del método, y el contraste con la metodología.</w:t>
            </w:r>
          </w:p>
        </w:tc>
      </w:tr>
      <w:tr>
        <w:tc>
          <w:tcPr>
            <w:tcW w:type="dxa" w:w="27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Sin evidencia.</w:t>
            </w:r>
            <w:r>
              <w:rPr>
                <w:rFonts w:ascii="Arial" w:cs="Arial" w:eastAsia="Arial" w:hAnsi="Arial"/>
                <w:color w:val="1B2430"/>
                <w:sz w:val="17"/>
                <w:szCs w:val="17"/>
              </w:rPr>
              <w:t xml:space="preserve"> Describe controles que no dejan rastro.</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pide el soporte de un control y no existe ninguno.</w:t>
            </w:r>
          </w:p>
        </w:tc>
        <w:tc>
          <w:tcPr>
            <w:tcW w:type="dxa" w:w="31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paso 6: cerrar cada apartado con su evidencia.</w:t>
            </w:r>
          </w:p>
        </w:tc>
      </w:tr>
      <w:tr>
        <w:tc>
          <w:tcPr>
            <w:tcW w:type="dxa" w:w="27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Desconectado de la metodología.</w:t>
            </w:r>
            <w:r>
              <w:rPr>
                <w:rFonts w:ascii="Arial" w:cs="Arial" w:eastAsia="Arial" w:hAnsi="Arial"/>
                <w:color w:val="1B2430"/>
                <w:sz w:val="17"/>
                <w:szCs w:val="17"/>
              </w:rPr>
              <w:t xml:space="preserve"> No refleja los resultados de la evaluación de Riesgos.</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matriz identifica un riesgo alto que en el Manual recibe el tratamiento mínimo, sin explicación.</w:t>
            </w:r>
          </w:p>
        </w:tc>
        <w:tc>
          <w:tcPr>
            <w:tcW w:type="dxa" w:w="31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El paso 4, y el tercer párrafo del RCG 37.</w:t>
            </w:r>
          </w:p>
        </w:tc>
      </w:tr>
      <w:tr>
        <w:tc>
          <w:tcPr>
            <w:tcW w:type="dxa" w:w="2750"/>
            <w:shd w:fill="FFFFFF"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Con huecos no declarados.</w:t>
            </w:r>
            <w:r>
              <w:rPr>
                <w:rFonts w:ascii="Arial" w:cs="Arial" w:eastAsia="Arial" w:hAnsi="Arial"/>
                <w:color w:val="1B2430"/>
                <w:sz w:val="17"/>
                <w:szCs w:val="17"/>
              </w:rPr>
              <w:t xml:space="preserve"> Faltan fracciones y no hay declaración del 37 Bis 2.</w:t>
            </w:r>
          </w:p>
        </w:tc>
        <w:tc>
          <w:tcPr>
            <w:tcW w:type="dxa" w:w="345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recorren las catorce fracciones y alguna no aparece ni como apartado ni como exención.</w:t>
            </w:r>
          </w:p>
        </w:tc>
        <w:tc>
          <w:tcPr>
            <w:tcW w:type="dxa" w:w="31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apartado de supuestos no realizados, escrito de manera expresa.</w:t>
            </w:r>
          </w:p>
        </w:tc>
      </w:tr>
      <w:tr>
        <w:tc>
          <w:tcPr>
            <w:tcW w:type="dxa" w:w="2750"/>
            <w:shd w:fill="F7F8FA" w:val="clear"/>
            <w:tcMar>
              <w:top w:type="dxa" w:w="90"/>
              <w:left w:type="dxa" w:w="120"/>
              <w:bottom w:type="dxa" w:w="90"/>
              <w:right w:type="dxa" w:w="120"/>
            </w:tcMar>
          </w:tcPr>
          <w:p>
            <w:pPr>
              <w:spacing w:after="0"/>
            </w:pPr>
            <w:r>
              <w:rPr>
                <w:rFonts w:ascii="Arial" w:cs="Arial" w:eastAsia="Arial" w:hAnsi="Arial"/>
                <w:b/>
                <w:bCs/>
                <w:color w:val="1B2430"/>
                <w:sz w:val="17"/>
                <w:szCs w:val="17"/>
              </w:rPr>
              <w:t xml:space="preserve">Congelado.</w:t>
            </w:r>
            <w:r>
              <w:rPr>
                <w:rFonts w:ascii="Arial" w:cs="Arial" w:eastAsia="Arial" w:hAnsi="Arial"/>
                <w:color w:val="1B2430"/>
                <w:sz w:val="17"/>
                <w:szCs w:val="17"/>
              </w:rPr>
              <w:t xml:space="preserve"> No se ha actualizado desde que se firmó.</w:t>
            </w:r>
          </w:p>
        </w:tc>
        <w:tc>
          <w:tcPr>
            <w:tcW w:type="dxa" w:w="345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No hay control de versiones ni constancia de revisión, pese a que la norma cambió.</w:t>
            </w:r>
          </w:p>
        </w:tc>
        <w:tc>
          <w:tcPr>
            <w:tcW w:type="dxa" w:w="31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La fracción XIV escrita como procedimiento, con disparadores.</w:t>
            </w:r>
          </w:p>
        </w:tc>
      </w:tr>
    </w:tbl>
    <w:p>
      <w:pPr>
        <w:spacing w:after="200"/>
      </w:pPr>
    </w:p>
    <w:p>
      <w:pPr>
        <w:pStyle w:val="Heading2"/>
        <w:keepNext/>
        <w:spacing w:after="150" w:before="340"/>
      </w:pPr>
      <w:r>
        <w:rPr>
          <w:rFonts w:ascii="Georgia" w:cs="Georgia" w:eastAsia="Georgia" w:hAnsi="Georgia"/>
          <w:b/>
          <w:bCs/>
          <w:color w:val="1B2E5C"/>
          <w:sz w:val="23"/>
          <w:szCs w:val="23"/>
        </w:rPr>
        <w:t xml:space="preserve">Cuándo hay que volver a tocarlo</w:t>
      </w:r>
    </w:p>
    <w:p>
      <w:pPr>
        <w:spacing w:after="150" w:line="300"/>
        <w:jc w:val="both"/>
      </w:pPr>
      <w:r>
        <w:rPr>
          <w:rFonts w:ascii="Georgia" w:cs="Georgia" w:eastAsia="Georgia" w:hAnsi="Georgia"/>
          <w:color w:val="1B2430"/>
          <w:sz w:val="20"/>
          <w:szCs w:val="20"/>
        </w:rPr>
        <w:t xml:space="preserve">La fracción XIV pide un procedimiento de actualización, y un procedimiento necesita disparadores. Éstos son los que conviene dejar escritos: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se reforman la Ley, el Reglamento o las Reglas.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la evaluación anual de Riesgos arroja riesgos mayores o nuevos — la norma lo ordena de manera expresa: en ese caso </w:t>
      </w:r>
      <w:r>
        <w:rPr>
          <w:rFonts w:ascii="Georgia" w:cs="Georgia" w:eastAsia="Georgia" w:hAnsi="Georgia"/>
          <w:b/>
          <w:bCs/>
          <w:color w:val="1B2430"/>
          <w:sz w:val="20"/>
          <w:szCs w:val="20"/>
        </w:rPr>
        <w:t xml:space="preserve">debe modificar</w:t>
      </w:r>
      <w:r>
        <w:rPr>
          <w:rFonts w:ascii="Georgia" w:cs="Georgia" w:eastAsia="Georgia" w:hAnsi="Georgia"/>
          <w:color w:val="1B2430"/>
          <w:sz w:val="20"/>
          <w:szCs w:val="20"/>
        </w:rPr>
        <w:t xml:space="preserve"> las políticas, criterios, medidas y procedimientos que correspondan </w:t>
      </w:r>
      <w:r>
        <w:rPr>
          <w:rFonts w:ascii="Georgia" w:cs="Georgia" w:eastAsia="Georgia" w:hAnsi="Georgia"/>
          <w:i/>
          <w:iCs/>
          <w:color w:val="1B2430"/>
          <w:sz w:val="20"/>
          <w:szCs w:val="20"/>
        </w:rPr>
        <w:t xml:space="preserve">(RCG art. 10 Septies 3, último párrafo)</w:t>
      </w:r>
      <w:r>
        <w:rPr>
          <w:rFonts w:ascii="Georgia" w:cs="Georgia" w:eastAsia="Georgia" w:hAnsi="Georgia"/>
          <w:color w:val="1B2430"/>
          <w:sz w:val="20"/>
          <w:szCs w:val="20"/>
        </w:rPr>
        <w:t xml:space="preserve">.</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se actualiza la Evaluación Nacional de Riesgos.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la empresa empieza a realizar un supuesto que había declarado como no realizado.</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cambia la persona Representante Encargada de Cumplimiento, o la estructura de la operación.</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una auditoría interna o externa identifica observaciones.</w:t>
      </w:r>
    </w:p>
    <w:p>
      <w:pPr>
        <w:spacing w:after="90" w:line="290"/>
        <w:ind w:left="420" w:hanging="220"/>
        <w:jc w:val="both"/>
      </w:pPr>
      <w:r>
        <w:rPr>
          <w:rFonts w:ascii="Georgia" w:cs="Georgia" w:eastAsia="Georgia" w:hAnsi="Georgia"/>
          <w:b/>
          <w:bCs/>
          <w:color w:val="B07A12"/>
          <w:sz w:val="20"/>
          <w:szCs w:val="20"/>
        </w:rPr>
        <w:t xml:space="preserve">—   </w:t>
      </w:r>
      <w:r>
        <w:rPr>
          <w:rFonts w:ascii="Georgia" w:cs="Georgia" w:eastAsia="Georgia" w:hAnsi="Georgia"/>
          <w:color w:val="1B2430"/>
          <w:sz w:val="20"/>
          <w:szCs w:val="20"/>
        </w:rPr>
        <w:t xml:space="preserve">Cuando </w:t>
      </w:r>
      <w:r>
        <w:rPr>
          <w:rFonts w:ascii="Georgia" w:cs="Georgia" w:eastAsia="Georgia" w:hAnsi="Georgia"/>
          <w:b/>
          <w:bCs/>
          <w:color w:val="1B2430"/>
          <w:sz w:val="20"/>
          <w:szCs w:val="20"/>
        </w:rPr>
        <w:t xml:space="preserve">el SAT lo ordena</w:t>
      </w:r>
      <w:r>
        <w:rPr>
          <w:rFonts w:ascii="Georgia" w:cs="Georgia" w:eastAsia="Georgia" w:hAnsi="Georgia"/>
          <w:color w:val="1B2430"/>
          <w:sz w:val="20"/>
          <w:szCs w:val="20"/>
        </w:rPr>
        <w:t xml:space="preserve">: puede señalar que se efectúen modificaciones al Manual «cuando a su juicio sea necesario» </w:t>
      </w:r>
      <w:r>
        <w:rPr>
          <w:rFonts w:ascii="Georgia" w:cs="Georgia" w:eastAsia="Georgia" w:hAnsi="Georgia"/>
          <w:i/>
          <w:iCs/>
          <w:color w:val="1B2430"/>
          <w:sz w:val="20"/>
          <w:szCs w:val="20"/>
        </w:rPr>
        <w:t xml:space="preserve">(RCG art. 37 Bis 3)</w:t>
      </w:r>
      <w:r>
        <w:rPr>
          <w:rFonts w:ascii="Georgia" w:cs="Georgia" w:eastAsia="Georgia" w:hAnsi="Georgia"/>
          <w:color w:val="1B2430"/>
          <w:sz w:val="20"/>
          <w:szCs w:val="20"/>
        </w:rPr>
        <w:t xml:space="preserve">.</w:t>
      </w:r>
    </w:p>
    <w:p>
      <w:pPr>
        <w:spacing w:after="11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11 · Por qué esto decide su riesgo residual</w:t>
      </w:r>
    </w:p>
    <w:p>
      <w:pPr>
        <w:spacing w:after="150" w:line="300"/>
        <w:jc w:val="both"/>
      </w:pPr>
      <w:r>
        <w:rPr>
          <w:rFonts w:ascii="Georgia" w:cs="Georgia" w:eastAsia="Georgia" w:hAnsi="Georgia"/>
          <w:color w:val="1B2430"/>
          <w:sz w:val="20"/>
          <w:szCs w:val="20"/>
        </w:rPr>
        <w:t xml:space="preserve">Hay una razón, más allá del cumplimiento formal, para escribir bien cada apartado. Está en el capítulo de la metodología, y enlaza directamente con la metodología de riesgos (Módulo 8).</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val="clear"/>
            <w:tcMar>
              <w:top w:type="dxa" w:w="130"/>
              <w:left w:type="dxa" w:w="200"/>
              <w:bottom w:type="dxa" w:w="130"/>
              <w:right w:type="dxa" w:w="200"/>
            </w:tcMar>
          </w:tcPr>
          <w:p>
            <w:pPr>
              <w:spacing w:after="70"/>
              <w:jc w:val="both"/>
            </w:pPr>
            <w:r>
              <w:rPr>
                <w:rFonts w:ascii="Georgia" w:cs="Georgia" w:eastAsia="Georgia" w:hAnsi="Georgia"/>
                <w:i/>
                <w:iCs/>
                <w:color w:val="12224A"/>
                <w:sz w:val="20"/>
                <w:szCs w:val="20"/>
              </w:rPr>
              <w:t xml:space="preserve">Identificar los </w:t>
            </w:r>
            <w:r>
              <w:rPr>
                <w:rFonts w:ascii="Georgia" w:cs="Georgia" w:eastAsia="Georgia" w:hAnsi="Georgia"/>
                <w:b/>
                <w:bCs/>
                <w:i/>
                <w:iCs/>
                <w:color w:val="12224A"/>
                <w:sz w:val="20"/>
                <w:szCs w:val="20"/>
              </w:rPr>
              <w:t xml:space="preserve">Mitigantes</w:t>
            </w:r>
            <w:r>
              <w:rPr>
                <w:rFonts w:ascii="Georgia" w:cs="Georgia" w:eastAsia="Georgia" w:hAnsi="Georgia"/>
                <w:i/>
                <w:iCs/>
                <w:color w:val="12224A"/>
                <w:sz w:val="20"/>
                <w:szCs w:val="20"/>
              </w:rPr>
              <w:t xml:space="preserve"> que tenga implementados al momento del diseño de la metodología, debiendo considerar </w:t>
            </w:r>
            <w:r>
              <w:rPr>
                <w:rFonts w:ascii="Georgia" w:cs="Georgia" w:eastAsia="Georgia" w:hAnsi="Georgia"/>
                <w:b/>
                <w:bCs/>
                <w:i/>
                <w:iCs/>
                <w:color w:val="12224A"/>
                <w:sz w:val="20"/>
                <w:szCs w:val="20"/>
              </w:rPr>
              <w:t xml:space="preserve">todas las políticas, criterios, medidas y procedimientos internos previstos en el Manual de Políticas Internas, así como su efectiva aplicación</w:t>
            </w:r>
            <w:r>
              <w:rPr>
                <w:rFonts w:ascii="Georgia" w:cs="Georgia" w:eastAsia="Georgia" w:hAnsi="Georgia"/>
                <w:i/>
                <w:iCs/>
                <w:color w:val="12224A"/>
                <w:sz w:val="20"/>
                <w:szCs w:val="20"/>
              </w:rPr>
              <w:t xml:space="preserve">, a fin de establecer el efecto que estos tendrán sobre los indicadores y elementos de Riesgo…</w:t>
            </w:r>
          </w:p>
          <w:p>
            <w:pPr>
              <w:spacing w:after="0"/>
            </w:pPr>
            <w:r>
              <w:rPr>
                <w:rFonts w:ascii="Arial" w:cs="Arial" w:eastAsia="Arial" w:hAnsi="Arial"/>
                <w:color w:val="5A6472"/>
                <w:sz w:val="16"/>
                <w:szCs w:val="16"/>
              </w:rPr>
              <w:t xml:space="preserve">RCG art. 10 Septies 3, fracción III</w:t>
            </w:r>
          </w:p>
        </w:tc>
      </w:tr>
    </w:tbl>
    <w:p>
      <w:pPr>
        <w:spacing w:after="170"/>
      </w:pPr>
    </w:p>
    <w:p>
      <w:pPr>
        <w:spacing w:after="150" w:line="300"/>
        <w:jc w:val="both"/>
      </w:pPr>
      <w:r>
        <w:rPr>
          <w:rFonts w:ascii="Georgia" w:cs="Georgia" w:eastAsia="Georgia" w:hAnsi="Georgia"/>
          <w:color w:val="1B2430"/>
          <w:sz w:val="20"/>
          <w:szCs w:val="20"/>
        </w:rPr>
        <w:t xml:space="preserve">Los Mitigantes de su matriz </w:t>
      </w:r>
      <w:r>
        <w:rPr>
          <w:rFonts w:ascii="Georgia" w:cs="Georgia" w:eastAsia="Georgia" w:hAnsi="Georgia"/>
          <w:b/>
          <w:bCs/>
          <w:color w:val="1B2430"/>
          <w:sz w:val="20"/>
          <w:szCs w:val="20"/>
        </w:rPr>
        <w:t xml:space="preserve">son</w:t>
      </w:r>
      <w:r>
        <w:rPr>
          <w:rFonts w:ascii="Georgia" w:cs="Georgia" w:eastAsia="Georgia" w:hAnsi="Georgia"/>
          <w:color w:val="1B2430"/>
          <w:sz w:val="20"/>
          <w:szCs w:val="20"/>
        </w:rPr>
        <w:t xml:space="preserve"> los apartados de su Manual. No otra cosa. Y la fracción exige dos condiciones acumulativas: que estén previstos en el Manual, y que se apliquen de manera efectiva.</w:t>
      </w:r>
    </w:p>
    <w:tbl>
      <w:tblPr>
        <w:tblW w:type="dxa" w:w="9360"/>
        <w:tblBorders>
          <w:top w:val="none"/>
          <w:left w:val="none"/>
          <w:bottom w:val="none"/>
          <w:right w:val="none"/>
          <w:insideH w:val="none"/>
          <w:insideV w:val="none"/>
        </w:tblBorders>
      </w:tblPr>
      <w:tblGrid>
        <w:gridCol w:w="9360"/>
      </w:tblGrid>
      <w:tr>
        <w:tc>
          <w:tcPr>
            <w:tcW w:type="dxa" w:w="9360"/>
            <w:shd w:fill="F2A541" w:val="clear"/>
            <w:tcMar>
              <w:top w:type="dxa" w:w="150"/>
              <w:left w:type="dxa" w:w="220"/>
              <w:bottom w:type="dxa" w:w="150"/>
              <w:right w:type="dxa" w:w="220"/>
            </w:tcMar>
          </w:tcPr>
          <w:p>
            <w:pPr>
              <w:spacing w:after="0"/>
            </w:pPr>
            <w:r>
              <w:rPr>
                <w:rFonts w:ascii="Arial" w:cs="Arial" w:eastAsia="Arial" w:hAnsi="Arial"/>
                <w:b/>
                <w:bCs/>
                <w:color w:val="12224A"/>
                <w:sz w:val="20"/>
                <w:szCs w:val="20"/>
              </w:rPr>
              <w:t xml:space="preserve">Un control que no está escrito no computa como Mitigante. Un control escrito que no deja evidencia de aplicación, tampoco. En ambos casos el riesgo residual de su matriz se queda igual al inherente — y ése es el número que va a tener que explicar.</w:t>
            </w:r>
          </w:p>
        </w:tc>
      </w:tr>
    </w:tbl>
    <w:p>
      <w:pPr>
        <w:spacing w:after="190"/>
      </w:pPr>
    </w:p>
    <w:p>
      <w:pPr>
        <w:spacing w:after="150" w:line="300"/>
        <w:jc w:val="both"/>
      </w:pPr>
      <w:r>
        <w:rPr>
          <w:rFonts w:ascii="Georgia" w:cs="Georgia" w:eastAsia="Georgia" w:hAnsi="Georgia"/>
          <w:color w:val="1B2430"/>
          <w:sz w:val="20"/>
          <w:szCs w:val="20"/>
        </w:rPr>
        <w:t xml:space="preserve">De ahí que el orden de las sesiones no sea de temario sino de norma: primero la metodología, porque el Manual tiene que responder a sus resultados; después el Manual, porque de él salen los Mitigantes que la metodología necesita para calcular el residual. Los dos documentos se leen juntos, y una autoridad que los lea juntos verá de inmediato si uno se escribió pensando en el otro.</w:t>
      </w: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12 · Lista de verificación de un apartado</w:t>
      </w:r>
    </w:p>
    <w:p>
      <w:pPr>
        <w:spacing w:after="200"/>
      </w:pPr>
      <w:r>
        <w:rPr>
          <w:rFonts w:ascii="Arial" w:cs="Arial" w:eastAsia="Arial" w:hAnsi="Arial"/>
          <w:i/>
          <w:iCs/>
          <w:color w:val="5A6472"/>
          <w:sz w:val="19"/>
          <w:szCs w:val="19"/>
        </w:rPr>
        <w:t xml:space="preserve">Antes de dar por terminado cualquiera de los catorce, pásele estas nueve preguntas. Si alguna se responde que no, el apartado no está listo.</w:t>
      </w:r>
    </w:p>
    <w:tbl>
      <w:tblPr>
        <w:tblW w:type="dxa" w:w="9360"/>
        <w:tblBorders>
          <w:top w:val="single" w:color="E4E8EE" w:sz="4"/>
          <w:left w:val="none"/>
          <w:bottom w:val="single" w:color="E4E8EE" w:sz="4"/>
          <w:right w:val="none"/>
          <w:insideH w:val="single" w:color="E4E8EE" w:sz="2"/>
          <w:insideV w:val="none"/>
        </w:tblBorders>
      </w:tblPr>
      <w:tblGrid>
        <w:gridCol w:w="560"/>
        <w:gridCol w:w="8800"/>
      </w:tblGrid>
      <w:tr>
        <w:trPr>
          <w:tblHeader/>
        </w:trPr>
        <w:tc>
          <w:tcPr>
            <w:tcW w:type="dxa" w:w="56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
            </w:r>
          </w:p>
        </w:tc>
        <w:tc>
          <w:tcPr>
            <w:tcW w:type="dxa" w:w="8800"/>
            <w:shd w:fill="12224A" w:val="clear"/>
            <w:tcMar>
              <w:top w:type="dxa" w:w="90"/>
              <w:left w:type="dxa" w:w="120"/>
              <w:bottom w:type="dxa" w:w="90"/>
              <w:right w:type="dxa" w:w="120"/>
            </w:tcMar>
          </w:tcPr>
          <w:p>
            <w:pPr>
              <w:spacing w:after="0"/>
            </w:pPr>
            <w:r>
              <w:rPr>
                <w:rFonts w:ascii="Arial" w:cs="Arial" w:eastAsia="Arial" w:hAnsi="Arial"/>
                <w:b/>
                <w:bCs/>
                <w:color w:val="FFFFFF"/>
                <w:sz w:val="17"/>
                <w:szCs w:val="17"/>
              </w:rPr>
              <w:t xml:space="preserve">Pregunta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1</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¿Está el precepto citado al pie, con ordenamiento, artículo y fracción?</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2</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¿Están los </w:t>
            </w:r>
            <w:r>
              <w:rPr>
                <w:rFonts w:ascii="Arial" w:cs="Arial" w:eastAsia="Arial" w:hAnsi="Arial"/>
                <w:b/>
                <w:bCs/>
                <w:color w:val="1B2430"/>
                <w:sz w:val="17"/>
                <w:szCs w:val="17"/>
              </w:rPr>
              <w:t xml:space="preserve">cuatro planos</w:t>
            </w:r>
            <w:r>
              <w:rPr>
                <w:rFonts w:ascii="Arial" w:cs="Arial" w:eastAsia="Arial" w:hAnsi="Arial"/>
                <w:color w:val="1B2430"/>
                <w:sz w:val="17"/>
                <w:szCs w:val="17"/>
              </w:rPr>
              <w:t xml:space="preserve"> — la regla citada, el criterio propio, el procedimiento y la evidencia?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3</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¿Aparece un </w:t>
            </w:r>
            <w:r>
              <w:rPr>
                <w:rFonts w:ascii="Arial" w:cs="Arial" w:eastAsia="Arial" w:hAnsi="Arial"/>
                <w:b/>
                <w:bCs/>
                <w:color w:val="1B2430"/>
                <w:sz w:val="17"/>
                <w:szCs w:val="17"/>
              </w:rPr>
              <w:t xml:space="preserve">responsable</w:t>
            </w:r>
            <w:r>
              <w:rPr>
                <w:rFonts w:ascii="Arial" w:cs="Arial" w:eastAsia="Arial" w:hAnsi="Arial"/>
                <w:color w:val="1B2430"/>
                <w:sz w:val="17"/>
                <w:szCs w:val="17"/>
              </w:rPr>
              <w:t xml:space="preserve"> nombrado por cargo, y no un «área correspondiente»?</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4</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¿Hay un </w:t>
            </w:r>
            <w:r>
              <w:rPr>
                <w:rFonts w:ascii="Arial" w:cs="Arial" w:eastAsia="Arial" w:hAnsi="Arial"/>
                <w:b/>
                <w:bCs/>
                <w:color w:val="1B2430"/>
                <w:sz w:val="17"/>
                <w:szCs w:val="17"/>
              </w:rPr>
              <w:t xml:space="preserve">plazo</w:t>
            </w:r>
            <w:r>
              <w:rPr>
                <w:rFonts w:ascii="Arial" w:cs="Arial" w:eastAsia="Arial" w:hAnsi="Arial"/>
                <w:color w:val="1B2430"/>
                <w:sz w:val="17"/>
                <w:szCs w:val="17"/>
              </w:rPr>
              <w:t xml:space="preserve"> en días o una periodicidad concreta?</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5</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¿Se nombra la </w:t>
            </w:r>
            <w:r>
              <w:rPr>
                <w:rFonts w:ascii="Arial" w:cs="Arial" w:eastAsia="Arial" w:hAnsi="Arial"/>
                <w:b/>
                <w:bCs/>
                <w:color w:val="1B2430"/>
                <w:sz w:val="17"/>
                <w:szCs w:val="17"/>
              </w:rPr>
              <w:t xml:space="preserve">evidencia</w:t>
            </w:r>
            <w:r>
              <w:rPr>
                <w:rFonts w:ascii="Arial" w:cs="Arial" w:eastAsia="Arial" w:hAnsi="Arial"/>
                <w:color w:val="1B2430"/>
                <w:sz w:val="17"/>
                <w:szCs w:val="17"/>
              </w:rPr>
              <w:t xml:space="preserve"> que cada paso deja, y existe de verdad?</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6</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¿Los verbos </w:t>
            </w:r>
            <w:r>
              <w:rPr>
                <w:rFonts w:ascii="Arial" w:cs="Arial" w:eastAsia="Arial" w:hAnsi="Arial"/>
                <w:b/>
                <w:bCs/>
                <w:color w:val="1B2430"/>
                <w:sz w:val="17"/>
                <w:szCs w:val="17"/>
              </w:rPr>
              <w:t xml:space="preserve">ordenan</w:t>
            </w:r>
            <w:r>
              <w:rPr>
                <w:rFonts w:ascii="Arial" w:cs="Arial" w:eastAsia="Arial" w:hAnsi="Arial"/>
                <w:color w:val="1B2430"/>
                <w:sz w:val="17"/>
                <w:szCs w:val="17"/>
              </w:rPr>
              <w:t xml:space="preserve"> en vez de describir? </w:t>
            </w:r>
            <w:r>
              <w:rPr>
                <w:rFonts w:ascii="Arial" w:cs="Arial" w:eastAsia="Arial" w:hAnsi="Arial"/>
                <w:i/>
                <w:iCs/>
                <w:color w:val="1B2430"/>
                <w:sz w:val="17"/>
                <w:szCs w:val="17"/>
              </w:rPr>
              <w:t xml:space="preserve">(véase el apartado 9)</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7</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¿El control </w:t>
            </w:r>
            <w:r>
              <w:rPr>
                <w:rFonts w:ascii="Arial" w:cs="Arial" w:eastAsia="Arial" w:hAnsi="Arial"/>
                <w:b/>
                <w:bCs/>
                <w:color w:val="1B2430"/>
                <w:sz w:val="17"/>
                <w:szCs w:val="17"/>
              </w:rPr>
              <w:t xml:space="preserve">corresponde al grado de riesgo</w:t>
            </w:r>
            <w:r>
              <w:rPr>
                <w:rFonts w:ascii="Arial" w:cs="Arial" w:eastAsia="Arial" w:hAnsi="Arial"/>
                <w:color w:val="1B2430"/>
                <w:sz w:val="17"/>
                <w:szCs w:val="17"/>
              </w:rPr>
              <w:t xml:space="preserve"> que su matriz asignó a este tema?</w:t>
            </w:r>
          </w:p>
        </w:tc>
      </w:tr>
      <w:tr>
        <w:tc>
          <w:tcPr>
            <w:tcW w:type="dxa" w:w="56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8</w:t>
            </w:r>
          </w:p>
        </w:tc>
        <w:tc>
          <w:tcPr>
            <w:tcW w:type="dxa" w:w="8800"/>
            <w:shd w:fill="F7F8FA" w:val="clear"/>
            <w:tcMar>
              <w:top w:type="dxa" w:w="90"/>
              <w:left w:type="dxa" w:w="120"/>
              <w:bottom w:type="dxa" w:w="90"/>
              <w:right w:type="dxa" w:w="120"/>
            </w:tcMar>
          </w:tcPr>
          <w:p>
            <w:pPr>
              <w:spacing w:after="0"/>
            </w:pPr>
            <w:r>
              <w:rPr>
                <w:rFonts w:ascii="Arial" w:cs="Arial" w:eastAsia="Arial" w:hAnsi="Arial"/>
                <w:color w:val="1B2430"/>
                <w:sz w:val="17"/>
                <w:szCs w:val="17"/>
              </w:rPr>
              <w:t xml:space="preserve">¿Podría </w:t>
            </w:r>
            <w:r>
              <w:rPr>
                <w:rFonts w:ascii="Arial" w:cs="Arial" w:eastAsia="Arial" w:hAnsi="Arial"/>
                <w:b/>
                <w:bCs/>
                <w:color w:val="1B2430"/>
                <w:sz w:val="17"/>
                <w:szCs w:val="17"/>
              </w:rPr>
              <w:t xml:space="preserve">ejecutarlo</w:t>
            </w:r>
            <w:r>
              <w:rPr>
                <w:rFonts w:ascii="Arial" w:cs="Arial" w:eastAsia="Arial" w:hAnsi="Arial"/>
                <w:color w:val="1B2430"/>
                <w:sz w:val="17"/>
                <w:szCs w:val="17"/>
              </w:rPr>
              <w:t xml:space="preserve"> una persona que entró ayer, sin preguntar?</w:t>
            </w:r>
          </w:p>
        </w:tc>
      </w:tr>
      <w:tr>
        <w:tc>
          <w:tcPr>
            <w:tcW w:type="dxa" w:w="56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9</w:t>
            </w:r>
          </w:p>
        </w:tc>
        <w:tc>
          <w:tcPr>
            <w:tcW w:type="dxa" w:w="8800"/>
            <w:shd w:fill="FFFFFF" w:val="clear"/>
            <w:tcMar>
              <w:top w:type="dxa" w:w="90"/>
              <w:left w:type="dxa" w:w="120"/>
              <w:bottom w:type="dxa" w:w="90"/>
              <w:right w:type="dxa" w:w="120"/>
            </w:tcMar>
          </w:tcPr>
          <w:p>
            <w:pPr>
              <w:spacing w:after="0"/>
            </w:pPr>
            <w:r>
              <w:rPr>
                <w:rFonts w:ascii="Arial" w:cs="Arial" w:eastAsia="Arial" w:hAnsi="Arial"/>
                <w:color w:val="1B2430"/>
                <w:sz w:val="17"/>
                <w:szCs w:val="17"/>
              </w:rPr>
              <w:t xml:space="preserve">Si el supuesto no se realiza, ¿está </w:t>
            </w:r>
            <w:r>
              <w:rPr>
                <w:rFonts w:ascii="Arial" w:cs="Arial" w:eastAsia="Arial" w:hAnsi="Arial"/>
                <w:b/>
                <w:bCs/>
                <w:color w:val="1B2430"/>
                <w:sz w:val="17"/>
                <w:szCs w:val="17"/>
              </w:rPr>
              <w:t xml:space="preserve">declarado como no realizado</w:t>
            </w:r>
            <w:r>
              <w:rPr>
                <w:rFonts w:ascii="Arial" w:cs="Arial" w:eastAsia="Arial" w:hAnsi="Arial"/>
                <w:color w:val="1B2430"/>
                <w:sz w:val="17"/>
                <w:szCs w:val="17"/>
              </w:rPr>
              <w:t xml:space="preserve"> en términos del RCG 37 Bis 2?</w:t>
            </w:r>
          </w:p>
        </w:tc>
      </w:tr>
    </w:tbl>
    <w:p>
      <w:pPr>
        <w:spacing w:after="200"/>
      </w:pP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FDF3E3"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La prueba de las dos preguntas</w:t>
            </w:r>
          </w:p>
          <w:p>
            <w:pPr>
              <w:spacing w:after="100"/>
              <w:jc w:val="both"/>
            </w:pPr>
            <w:r>
              <w:rPr>
                <w:rFonts w:ascii="Arial" w:cs="Arial" w:eastAsia="Arial" w:hAnsi="Arial"/>
                <w:color w:val="1B2430"/>
                <w:sz w:val="18"/>
                <w:szCs w:val="18"/>
              </w:rPr>
              <w:t xml:space="preserve">Cuando no haya tiempo para las nueve, quedan dos, y son las que una visita usa:</w:t>
            </w:r>
          </w:p>
          <w:p>
            <w:pPr>
              <w:spacing w:after="0"/>
              <w:jc w:val="both"/>
            </w:pPr>
            <w:r>
              <w:rPr>
                <w:rFonts w:ascii="Arial" w:cs="Arial" w:eastAsia="Arial" w:hAnsi="Arial"/>
                <w:b/>
                <w:bCs/>
                <w:color w:val="1B2430"/>
                <w:sz w:val="18"/>
                <w:szCs w:val="18"/>
              </w:rPr>
              <w:t xml:space="preserve">¿Quién hace esto, y cómo me lo demuestra?</w:t>
            </w:r>
            <w:r>
              <w:rPr>
                <w:rFonts w:ascii="Arial" w:cs="Arial" w:eastAsia="Arial" w:hAnsi="Arial"/>
                <w:color w:val="1B2430"/>
                <w:sz w:val="18"/>
                <w:szCs w:val="18"/>
              </w:rPr>
              <w:t xml:space="preserve"> Si el Manual no contesta las dos con el texto en la mano, hay que reescribir el apartado.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13 · El ejercicio de hoy</w:t>
      </w:r>
    </w:p>
    <w:p>
      <w:pPr>
        <w:spacing w:after="150" w:line="300"/>
        <w:jc w:val="both"/>
      </w:pPr>
      <w:r>
        <w:rPr>
          <w:rFonts w:ascii="Georgia" w:cs="Georgia" w:eastAsia="Georgia" w:hAnsi="Georgia"/>
          <w:color w:val="1B2430"/>
          <w:sz w:val="20"/>
          <w:szCs w:val="20"/>
        </w:rPr>
        <w:t xml:space="preserve">Quince minutos, con la plantilla del Manual abierta —el Manual modelo descargable— y esta guía al lado.</w:t>
      </w:r>
    </w:p>
    <w:p>
      <w:pPr>
        <w:spacing w:after="110" w:line="290"/>
        <w:ind w:left="520" w:hanging="520"/>
        <w:jc w:val="both"/>
      </w:pPr>
      <w:r>
        <w:rPr>
          <w:rFonts w:ascii="Georgia" w:cs="Georgia" w:eastAsia="Georgia" w:hAnsi="Georgia"/>
          <w:b/>
          <w:bCs/>
          <w:color w:val="B07A12"/>
          <w:sz w:val="20"/>
          <w:szCs w:val="20"/>
        </w:rPr>
        <w:t xml:space="preserve">1.   </w:t>
      </w:r>
      <w:r>
        <w:rPr>
          <w:rFonts w:ascii="Georgia" w:cs="Georgia" w:eastAsia="Georgia" w:hAnsi="Georgia"/>
          <w:b/>
          <w:bCs/>
          <w:color w:val="1B2430"/>
          <w:sz w:val="20"/>
          <w:szCs w:val="20"/>
        </w:rPr>
        <w:t xml:space="preserve">Elija una fracción</w:t>
      </w:r>
      <w:r>
        <w:rPr>
          <w:rFonts w:ascii="Georgia" w:cs="Georgia" w:eastAsia="Georgia" w:hAnsi="Georgia"/>
          <w:color w:val="1B2430"/>
          <w:sz w:val="20"/>
          <w:szCs w:val="20"/>
        </w:rPr>
        <w:t xml:space="preserve"> del artículo 37 Bis. No la más fácil: la que peor tenga hoy.</w:t>
      </w:r>
    </w:p>
    <w:p>
      <w:pPr>
        <w:spacing w:after="110" w:line="290"/>
        <w:ind w:left="520" w:hanging="520"/>
        <w:jc w:val="both"/>
      </w:pPr>
      <w:r>
        <w:rPr>
          <w:rFonts w:ascii="Georgia" w:cs="Georgia" w:eastAsia="Georgia" w:hAnsi="Georgia"/>
          <w:b/>
          <w:bCs/>
          <w:color w:val="B07A12"/>
          <w:sz w:val="20"/>
          <w:szCs w:val="20"/>
        </w:rPr>
        <w:t xml:space="preserve">2.   </w:t>
      </w:r>
      <w:r>
        <w:rPr>
          <w:rFonts w:ascii="Georgia" w:cs="Georgia" w:eastAsia="Georgia" w:hAnsi="Georgia"/>
          <w:b/>
          <w:bCs/>
          <w:color w:val="1B2430"/>
          <w:sz w:val="20"/>
          <w:szCs w:val="20"/>
        </w:rPr>
        <w:t xml:space="preserve">Lea qué tiene que aparecer sí o sí</w:t>
      </w:r>
      <w:r>
        <w:rPr>
          <w:rFonts w:ascii="Georgia" w:cs="Georgia" w:eastAsia="Georgia" w:hAnsi="Georgia"/>
          <w:color w:val="1B2430"/>
          <w:sz w:val="20"/>
          <w:szCs w:val="20"/>
        </w:rPr>
        <w:t xml:space="preserve"> en esa fracción, en la tabla del apartado 4.</w:t>
      </w:r>
    </w:p>
    <w:p>
      <w:pPr>
        <w:spacing w:after="110" w:line="290"/>
        <w:ind w:left="520" w:hanging="520"/>
        <w:jc w:val="both"/>
      </w:pPr>
      <w:r>
        <w:rPr>
          <w:rFonts w:ascii="Georgia" w:cs="Georgia" w:eastAsia="Georgia" w:hAnsi="Georgia"/>
          <w:b/>
          <w:bCs/>
          <w:color w:val="B07A12"/>
          <w:sz w:val="20"/>
          <w:szCs w:val="20"/>
        </w:rPr>
        <w:t xml:space="preserve">3.   </w:t>
      </w:r>
      <w:r>
        <w:rPr>
          <w:rFonts w:ascii="Georgia" w:cs="Georgia" w:eastAsia="Georgia" w:hAnsi="Georgia"/>
          <w:b/>
          <w:bCs/>
          <w:color w:val="1B2430"/>
          <w:sz w:val="20"/>
          <w:szCs w:val="20"/>
        </w:rPr>
        <w:t xml:space="preserve">Escriba los cuatro planos.</w:t>
      </w:r>
      <w:r>
        <w:rPr>
          <w:rFonts w:ascii="Georgia" w:cs="Georgia" w:eastAsia="Georgia" w:hAnsi="Georgia"/>
          <w:color w:val="1B2430"/>
          <w:sz w:val="20"/>
          <w:szCs w:val="20"/>
        </w:rPr>
        <w:t xml:space="preserve"> La regla citada; el criterio que resuelva la discusión que ese tema les provoca; el procedimiento en tabla, con responsable y plazo; y la evidencia que deja cada paso.</w:t>
      </w:r>
    </w:p>
    <w:p>
      <w:pPr>
        <w:spacing w:after="110" w:line="290"/>
        <w:ind w:left="520" w:hanging="520"/>
        <w:jc w:val="both"/>
      </w:pPr>
      <w:r>
        <w:rPr>
          <w:rFonts w:ascii="Georgia" w:cs="Georgia" w:eastAsia="Georgia" w:hAnsi="Georgia"/>
          <w:b/>
          <w:bCs/>
          <w:color w:val="B07A12"/>
          <w:sz w:val="20"/>
          <w:szCs w:val="20"/>
        </w:rPr>
        <w:t xml:space="preserve">4.   </w:t>
      </w:r>
      <w:r>
        <w:rPr>
          <w:rFonts w:ascii="Georgia" w:cs="Georgia" w:eastAsia="Georgia" w:hAnsi="Georgia"/>
          <w:b/>
          <w:bCs/>
          <w:color w:val="1B2430"/>
          <w:sz w:val="20"/>
          <w:szCs w:val="20"/>
        </w:rPr>
        <w:t xml:space="preserve">Páselo por la lista del apartado 12.</w:t>
      </w:r>
      <w:r>
        <w:rPr>
          <w:rFonts w:ascii="Georgia" w:cs="Georgia" w:eastAsia="Georgia" w:hAnsi="Georgia"/>
          <w:color w:val="1B2430"/>
          <w:sz w:val="20"/>
          <w:szCs w:val="20"/>
        </w:rPr>
        <w:t xml:space="preserve"> Corrija lo que no pase.</w:t>
      </w:r>
    </w:p>
    <w:p>
      <w:pPr>
        <w:spacing w:after="110"/>
      </w:pPr>
    </w:p>
    <w:p>
      <w:pPr>
        <w:spacing w:after="150" w:line="300"/>
        <w:jc w:val="both"/>
      </w:pPr>
      <w:r>
        <w:rPr>
          <w:rFonts w:ascii="Georgia" w:cs="Georgia" w:eastAsia="Georgia" w:hAnsi="Georgia"/>
          <w:color w:val="1B2430"/>
          <w:sz w:val="20"/>
          <w:szCs w:val="20"/>
        </w:rPr>
        <w:t xml:space="preserve">Al terminar tendrán un apartado real de su propio Manual y el método para escribir los trece restantes. Es el único ejercicio de este curso–taller cuyo resultado se puede pegar tal cual en un documento que la autoridad va a leer.</w:t>
      </w:r>
    </w:p>
    <w:tbl>
      <w:tblPr>
        <w:tblW w:type="dxa" w:w="9360"/>
        <w:tblBorders>
          <w:top w:val="single" w:color="E4E8EE" w:sz="4"/>
          <w:left w:val="single" w:color="E4E8EE" w:sz="4"/>
          <w:bottom w:val="single" w:color="E4E8EE" w:sz="4"/>
          <w:right w:val="single" w:color="E4E8EE" w:sz="4"/>
          <w:insideH w:val="none"/>
          <w:insideV w:val="none"/>
        </w:tblBorders>
      </w:tblPr>
      <w:tblGrid>
        <w:gridCol w:w="9360"/>
      </w:tblGrid>
      <w:tr>
        <w:tc>
          <w:tcPr>
            <w:tcW w:type="dxa" w:w="9360"/>
            <w:shd w:fill="E8F4EC" w:val="clear"/>
            <w:tcMar>
              <w:top w:type="dxa" w:w="150"/>
              <w:left w:type="dxa" w:w="200"/>
              <w:bottom w:type="dxa" w:w="150"/>
              <w:right w:type="dxa" w:w="200"/>
            </w:tcMar>
          </w:tcPr>
          <w:p>
            <w:pPr>
              <w:spacing w:after="90"/>
            </w:pPr>
            <w:r>
              <w:rPr>
                <w:rFonts w:ascii="Georgia" w:cs="Georgia" w:eastAsia="Georgia" w:hAnsi="Georgia"/>
                <w:b/>
                <w:bCs/>
                <w:color w:val="12224A"/>
                <w:sz w:val="20"/>
                <w:szCs w:val="20"/>
              </w:rPr>
              <w:t xml:space="preserve">Y para esta semana</w:t>
            </w:r>
          </w:p>
          <w:p>
            <w:pPr>
              <w:spacing w:after="0"/>
              <w:jc w:val="both"/>
            </w:pPr>
            <w:r>
              <w:rPr>
                <w:rFonts w:ascii="Arial" w:cs="Arial" w:eastAsia="Arial" w:hAnsi="Arial"/>
                <w:color w:val="1B2430"/>
                <w:sz w:val="18"/>
                <w:szCs w:val="18"/>
              </w:rPr>
              <w:t xml:space="preserve">La tarea que corresponde a esta guía: </w:t>
            </w:r>
            <w:r>
              <w:rPr>
                <w:rFonts w:ascii="Arial" w:cs="Arial" w:eastAsia="Arial" w:hAnsi="Arial"/>
                <w:b/>
                <w:bCs/>
                <w:color w:val="1B2430"/>
                <w:sz w:val="18"/>
                <w:szCs w:val="18"/>
              </w:rPr>
              <w:t xml:space="preserve">escriban el apartado 18 de la plantilla, el de los supuestos que no realizan.</w:t>
            </w:r>
            <w:r>
              <w:rPr>
                <w:rFonts w:ascii="Arial" w:cs="Arial" w:eastAsia="Arial" w:hAnsi="Arial"/>
                <w:color w:val="1B2430"/>
                <w:sz w:val="18"/>
                <w:szCs w:val="18"/>
              </w:rPr>
              <w:t xml:space="preserve"> Es el que más páginas ahorra, el que casi nadie tiene, y el único que se puede terminar completo en una sola sesión de trabajo.</w:t>
            </w:r>
          </w:p>
        </w:tc>
      </w:tr>
    </w:tbl>
    <w:p>
      <w:pPr>
        <w:spacing w:after="190"/>
      </w:pPr>
    </w:p>
    <w:p>
      <w:r>
        <w:br w:type="page"/>
      </w:r>
    </w:p>
    <w:p>
      <w:pPr>
        <w:pStyle w:val="Heading1"/>
        <w:pBdr>
          <w:bottom w:val="single" w:color="12224A" w:sz="12" w:space="9"/>
        </w:pBdr>
        <w:spacing w:after="230"/>
      </w:pPr>
      <w:r>
        <w:rPr>
          <w:rFonts w:ascii="Georgia" w:cs="Georgia" w:eastAsia="Georgia" w:hAnsi="Georgia"/>
          <w:b/>
          <w:bCs/>
          <w:color w:val="12224A"/>
          <w:sz w:val="30"/>
          <w:szCs w:val="30"/>
        </w:rPr>
        <w:t xml:space="preserve">Aviso</w:t>
      </w:r>
    </w:p>
    <w:p>
      <w:pPr>
        <w:spacing w:after="150" w:line="300"/>
        <w:jc w:val="both"/>
      </w:pPr>
      <w:r>
        <w:rPr>
          <w:rFonts w:ascii="Georgia" w:cs="Georgia" w:eastAsia="Georgia" w:hAnsi="Georgia"/>
          <w:i/>
          <w:iCs/>
          <w:color w:val="1B2430"/>
          <w:sz w:val="20"/>
          <w:szCs w:val="20"/>
        </w:rPr>
        <w:t xml:space="preserve">Este documento es material de análisis y capacitación. No es asesoría legal, no es interpretación oficial y no sustituye el criterio de la autoridad competente.</w:t>
      </w:r>
      <w:r>
        <w:rPr>
          <w:rFonts w:ascii="Georgia" w:cs="Georgia" w:eastAsia="Georgia" w:hAnsi="Georgia"/>
          <w:i w:val="false"/>
          <w:iCs w:val="false"/>
          <w:color w:val="1B2430"/>
          <w:sz w:val="20"/>
          <w:szCs w:val="20"/>
        </w:rPr>
        <w:t xml:space="preserve"> Conforme al artículo 5 de la Ley corresponde a la Secretaría de Hacienda y Crédito Público aplicar e interpretar estos ordenamientos en el ámbito administrativo; el artículo 3, fracción I del Reglamento radica esa interpretación en la Unidad de Inteligencia Financiera, y el artículo 40 de las propias Reglas lo confirma. Nada de lo aquí escrito la vincula ni la anticipa.</w:t>
      </w:r>
    </w:p>
    <w:p>
      <w:pPr>
        <w:spacing w:after="150" w:line="300"/>
        <w:jc w:val="both"/>
      </w:pPr>
      <w:r>
        <w:rPr>
          <w:rFonts w:ascii="Georgia" w:cs="Georgia" w:eastAsia="Georgia" w:hAnsi="Georgia"/>
          <w:color w:val="1B2430"/>
          <w:sz w:val="20"/>
          <w:szCs w:val="20"/>
        </w:rPr>
        <w:t xml:space="preserve">Las cláusulas modelo de esta guía son </w:t>
      </w:r>
      <w:r>
        <w:rPr>
          <w:rFonts w:ascii="Georgia" w:cs="Georgia" w:eastAsia="Georgia" w:hAnsi="Georgia"/>
          <w:b/>
          <w:bCs/>
          <w:color w:val="1B2430"/>
          <w:sz w:val="20"/>
          <w:szCs w:val="20"/>
        </w:rPr>
        <w:t xml:space="preserve">ejemplos de redacción, no plantillas para copiar</w:t>
      </w:r>
      <w:r>
        <w:rPr>
          <w:rFonts w:ascii="Georgia" w:cs="Georgia" w:eastAsia="Georgia" w:hAnsi="Georgia"/>
          <w:color w:val="1B2430"/>
          <w:sz w:val="20"/>
          <w:szCs w:val="20"/>
        </w:rPr>
        <w:t xml:space="preserve">. Un Manual copiado incurre en el segundo de los errores del apartado 9. Cada apartado debe responder a la operación real de quien lo escribe y a los resultados de su propia metodología de evaluación de Riesgos.</w:t>
      </w:r>
    </w:p>
    <w:p>
      <w:pPr>
        <w:spacing w:after="150" w:line="300"/>
        <w:jc w:val="both"/>
      </w:pPr>
      <w:r>
        <w:rPr>
          <w:rFonts w:ascii="Georgia" w:cs="Georgia" w:eastAsia="Georgia" w:hAnsi="Georgia"/>
          <w:color w:val="1B2430"/>
          <w:sz w:val="20"/>
          <w:szCs w:val="20"/>
        </w:rPr>
        <w:t xml:space="preserve">Citas: Ley Federal para la Prevención e Identificación de Operaciones con Recursos de Procedencia Ilícita, última reforma DOF 16 de julio de 2025 · su Reglamento, reforma DOF 27 de marzo de 2026 · Reglas de Carácter General en su texto compilado con el ACUERDO 115/2026, DOF 7 de agosto de 2026, en vigor el 30 de noviembre de 2026 con vigencias escalonadas. El Capítulo X —el del Manual— es exigible con la metodología incorporada a partir del </w:t>
      </w:r>
      <w:r>
        <w:rPr>
          <w:rFonts w:ascii="Georgia" w:cs="Georgia" w:eastAsia="Georgia" w:hAnsi="Georgia"/>
          <w:b/>
          <w:bCs/>
          <w:color w:val="1B2430"/>
          <w:sz w:val="20"/>
          <w:szCs w:val="20"/>
        </w:rPr>
        <w:t xml:space="preserve">1 de marzo de 2027</w:t>
      </w:r>
      <w:r>
        <w:rPr>
          <w:rFonts w:ascii="Georgia" w:cs="Georgia" w:eastAsia="Georgia" w:hAnsi="Georgia"/>
          <w:color w:val="1B2430"/>
          <w:sz w:val="20"/>
          <w:szCs w:val="20"/>
        </w:rPr>
        <w:t xml:space="preserve">, conforme al Transitorio Tercero.</w:t>
      </w:r>
    </w:p>
    <w:p>
      <w:pPr>
        <w:spacing w:after="150" w:line="300"/>
        <w:jc w:val="both"/>
      </w:pPr>
      <w:r>
        <w:rPr>
          <w:rFonts w:ascii="Georgia" w:cs="Georgia" w:eastAsia="Georgia" w:hAnsi="Georgia"/>
          <w:color w:val="1B2430"/>
          <w:sz w:val="20"/>
          <w:szCs w:val="20"/>
        </w:rPr>
        <w:t xml:space="preserve">Formación continua. Este curso–taller no otorga certificación alguna.</w:t>
      </w:r>
    </w:p>
    <w:sectPr>
      <w:headerReference w:type="default" r:id="rId7"/>
      <w:headerReference w:type="first" r:id="rId8"/>
      <w:footerReference w:type="default" r:id="rId9"/>
      <w:footerReference w:type="first" r:id="rId10"/>
      <w:pgSz w:w="12240" w:h="15840" w:orient="portrait"/>
      <w:pgMar w:top="1300" w:right="1440" w:bottom="120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A6472"/>
        <w:sz w:val="15"/>
        <w:szCs w:val="15"/>
      </w:rPr>
      <w:t xml:space="preserve">GMC360 · 360Educa</w:t>
    </w:r>
    <w:r>
      <w:rPr>
        <w:rFonts w:ascii="Arial" w:cs="Arial" w:eastAsia="Arial" w:hAnsi="Arial"/>
        <w:sz w:val="15"/>
        <w:szCs w:val="15"/>
      </w:rPr>
      <w:t xml:space="preserve">	</w:t>
    </w:r>
    <w:r>
      <w:rPr>
        <w:rFonts w:ascii="Arial" w:cs="Arial" w:eastAsia="Arial" w:hAnsi="Arial"/>
        <w:b/>
        <w:bCs/>
        <w:color w:val="12224A"/>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4" w:space="6"/>
      </w:pBdr>
      <w:tabs>
        <w:tab w:val="right" w:pos="9360"/>
      </w:tabs>
    </w:pPr>
    <w:r>
      <w:rPr>
        <w:rFonts w:ascii="Arial" w:cs="Arial" w:eastAsia="Arial" w:hAnsi="Arial"/>
        <w:color w:val="5A6472"/>
        <w:sz w:val="15"/>
        <w:szCs w:val="15"/>
      </w:rPr>
      <w:t xml:space="preserve">Cómo se escribe un Manual de Políticas Internas</w:t>
    </w:r>
    <w:r>
      <w:rPr>
        <w:rFonts w:ascii="Arial" w:cs="Arial" w:eastAsia="Arial" w:hAnsi="Arial"/>
        <w:color w:val="5A6472"/>
        <w:sz w:val="15"/>
        <w:szCs w:val="15"/>
      </w:rPr>
      <w:t xml:space="preserve">	Curso–taller PLD/FT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se escribe un Manual de Políticas Internas — Guía de redacción</dc:title>
  <dc:creator>GMC360 · 360Educa</dc:creator>
  <dc:description>Curso–taller PLD/FT · Actividades Vulnerables. Método de los cuatro planos y modelos desarrollados.</dc:description>
  <cp:lastModifiedBy>Un-named</cp:lastModifiedBy>
  <cp:revision>1</cp:revision>
  <dcterms:created xsi:type="dcterms:W3CDTF">2026-09-01T12:53:18.471Z</dcterms:created>
  <dcterms:modified xsi:type="dcterms:W3CDTF">2026-09-01T12:53:18.471Z</dcterms:modified>
</cp:coreProperties>
</file>

<file path=docProps/custom.xml><?xml version="1.0" encoding="utf-8"?>
<Properties xmlns="http://schemas.openxmlformats.org/officeDocument/2006/custom-properties" xmlns:vt="http://schemas.openxmlformats.org/officeDocument/2006/docPropsVTypes"/>
</file>