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before="480" w:after="0"/>
        <w:ind w:left="0" w:right="0"/>
        <w:jc w:val="center"/>
      </w:pPr>
      <w:r>
        <w:rPr>
          <w:rFonts w:ascii="Arial" w:cs="Arial" w:eastAsia="Arial" w:hAnsi="Arial"/>
          <w:b/>
          <w:bCs/>
          <w:color w:val="FFFFFF"/>
          <w:sz w:val="48"/>
          <w:szCs w:val="48"/>
        </w:rPr>
        <w:t xml:space="preserve">TALLER LFPIORPI 2026</w:t>
      </w:r>
    </w:p>
    <w:p>
      <w:pPr>
        <w:shd w:fill="0D2137" w:val="clear"/>
        <w:spacing w:before="0" w:after="0"/>
        <w:jc w:val="center"/>
      </w:pPr>
      <w:r>
        <w:rPr>
          <w:rFonts w:ascii="Arial" w:cs="Arial" w:eastAsia="Arial" w:hAnsi="Arial"/>
          <w:color w:val="A8C4E0"/>
          <w:sz w:val="36"/>
          <w:szCs w:val="36"/>
        </w:rPr>
        <w:t xml:space="preserve">Consorcio Peredo</w:t>
      </w:r>
    </w:p>
    <w:p>
      <w:pPr>
        <w:shd w:fill="0D2137" w:val="clear"/>
        <w:spacing w:before="0" w:after="0"/>
        <w:jc w:val="center"/>
      </w:pPr>
      <w:r>
        <w:rPr>
          <w:rFonts w:ascii="Arial" w:cs="Arial" w:eastAsia="Arial" w:hAnsi="Arial"/>
          <w:color w:val="FFFFFF"/>
          <w:sz w:val="24"/>
          <w:szCs w:val="24"/>
        </w:rPr>
        <w:t xml:space="preserve"> </w:t>
      </w:r>
    </w:p>
    <w:p>
      <w:pPr>
        <w:pBdr>
          <w:bottom w:val="single" w:color="0D2137" w:sz="6" w:space="1"/>
        </w:pBdr>
        <w:shd w:fill="D6E4F7" w:val="clear"/>
        <w:spacing w:before="0" w:after="0"/>
        <w:jc w:val="center"/>
      </w:pPr>
      <w:r>
        <w:rPr>
          <w:rFonts w:ascii="Arial" w:cs="Arial" w:eastAsia="Arial" w:hAnsi="Arial"/>
          <w:b/>
          <w:bCs/>
          <w:color w:val="0D2137"/>
          <w:sz w:val="28"/>
          <w:szCs w:val="28"/>
        </w:rPr>
        <w:t xml:space="preserve">BLOQUE 0  ·  CHOQUE INICIAL</w:t>
      </w:r>
      <w:r>
        <w:rPr>
          <w:rFonts w:ascii="Arial" w:cs="Arial" w:eastAsia="Arial" w:hAnsi="Arial"/>
          <w:color w:val="666666"/>
          <w:sz w:val="22"/>
          <w:szCs w:val="22"/>
        </w:rPr>
        <w:t xml:space="preserve">     |     10 minutos     |     Oaxaca, 2026</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2137"/>
                <w:sz w:val="20"/>
                <w:szCs w:val="20"/>
              </w:rPr>
              <w:t xml:space="preserve">Duración: </w:t>
            </w:r>
            <w:r>
              <w:rPr>
                <w:rFonts w:ascii="Arial" w:cs="Arial" w:eastAsia="Arial" w:hAnsi="Arial"/>
                <w:color w:val="222222"/>
                <w:sz w:val="20"/>
                <w:szCs w:val="20"/>
              </w:rPr>
              <w:t xml:space="preserve">10 minutos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2137"/>
                <w:sz w:val="20"/>
                <w:szCs w:val="20"/>
              </w:rPr>
              <w:t xml:space="preserve">Modalidad: </w:t>
            </w:r>
            <w:r>
              <w:rPr>
                <w:rFonts w:ascii="Arial" w:cs="Arial" w:eastAsia="Arial" w:hAnsi="Arial"/>
                <w:color w:val="222222"/>
                <w:sz w:val="20"/>
                <w:szCs w:val="20"/>
              </w:rPr>
              <w:t xml:space="preserve">Impacto emocional + datos verificados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2137"/>
                <w:sz w:val="20"/>
                <w:szCs w:val="20"/>
              </w:rPr>
              <w:t xml:space="preserve">Facilitadora: </w:t>
            </w:r>
            <w:r>
              <w:rPr>
                <w:rFonts w:ascii="Arial" w:cs="Arial" w:eastAsia="Arial" w:hAnsi="Arial"/>
                <w:color w:val="222222"/>
                <w:sz w:val="20"/>
                <w:szCs w:val="20"/>
              </w:rPr>
              <w:t xml:space="preserve">Maribel Vázquez Menchaca</w:t>
            </w:r>
          </w:p>
        </w:tc>
      </w:tr>
    </w:tbl>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PROPÓSITO DEL BLOQUE</w:t>
      </w:r>
    </w:p>
    <w:p>
      <w:pPr>
        <w:spacing w:before="60" w:after="80"/>
      </w:pPr>
      <w:r>
        <w:rPr>
          <w:rFonts w:ascii="Arial" w:cs="Arial" w:eastAsia="Arial" w:hAnsi="Arial"/>
          <w:color w:val="222222"/>
          <w:sz w:val="22"/>
          <w:szCs w:val="22"/>
        </w:rPr>
        <w:t xml:space="preserve">Este bloque no es informativo. Es un impacto deliberado. Su función es romper la zona de confort y activar la disposición cognitiva necesaria para que los participantes procesen el contenido del taller con la urgencia real que la situación exige.</w:t>
      </w:r>
    </w:p>
    <w:p>
      <w:pPr>
        <w:spacing w:before="0" w:after="120"/>
      </w:pPr>
      <w:r>
        <w:t xml:space="preserve"/>
      </w:r>
    </w:p>
    <w:p>
      <w:pPr>
        <w:spacing w:before="60" w:after="80"/>
      </w:pPr>
      <w:r>
        <w:rPr>
          <w:rFonts w:ascii="Arial" w:cs="Arial" w:eastAsia="Arial" w:hAnsi="Arial"/>
          <w:color w:val="222222"/>
          <w:sz w:val="22"/>
          <w:szCs w:val="22"/>
        </w:rPr>
        <w:t xml:space="preserve">Un participante que entra pensando que "esto es capacitación de rutina" no aprenderá lo que necesita aprender. Un participante que comprende que su empresa es parte del sistema que el GAFI está evaluando ahora mismo, procesará cada módulo con atención crítica.</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OBJETIVOS DEL FACILITADOR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OBJETIVO DEL FACILITADOR</w:t>
            </w:r>
          </w:p>
        </w:tc>
        <w:tc>
          <w:tcPr>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MENSAJE QUE DEBE QUEDAR</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Generar conciencia de riesgo real y personal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Esta evaluación tiene consecuencias económicas medibles para México — y para el sector donde trabajo.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Anclar el contexto institucional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 reforma del 16 de julio de 2025 existe porque el GAFI ya identificó deficiencias. No somos espectadores; somos parte de la solución.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Establecer la urgencia operativa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El equipo evaluador está en México ahora mismo. Cada empresa sujeta obligada forma parte del ecosistema que está siendo analizado.</w:t>
            </w:r>
          </w:p>
        </w:tc>
      </w:tr>
    </w:tbl>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2"/>
          <w:szCs w:val="32"/>
        </w:rPr>
        <w:t xml:space="preserve">1.  QUÉ ES EL GAFI Y POR QUÉ MÉXICO IMPORTA</w:t>
      </w:r>
    </w:p>
    <w:p>
      <w:pPr>
        <w:spacing w:before="0" w:after="0"/>
      </w:pPr>
      <w:r>
        <w:t xml:space="preserve"/>
      </w:r>
    </w:p>
    <w:p>
      <w:pPr>
        <w:spacing w:before="200" w:after="80"/>
      </w:pPr>
      <w:r>
        <w:rPr>
          <w:rFonts w:ascii="Arial" w:cs="Arial" w:eastAsia="Arial" w:hAnsi="Arial"/>
          <w:b/>
          <w:bCs/>
          <w:color w:val="1C3557"/>
          <w:sz w:val="22"/>
          <w:szCs w:val="22"/>
        </w:rPr>
        <w:t xml:space="preserve">1.1  La arquitectura del sistema</w:t>
      </w:r>
    </w:p>
    <w:p>
      <w:pPr>
        <w:spacing w:before="60" w:after="80"/>
      </w:pPr>
      <w:r>
        <w:rPr>
          <w:rFonts w:ascii="Arial" w:cs="Arial" w:eastAsia="Arial" w:hAnsi="Arial"/>
          <w:color w:val="222222"/>
          <w:sz w:val="22"/>
          <w:szCs w:val="22"/>
        </w:rPr>
        <w:t xml:space="preserve">El Grupo de Acción Financiera Internacional (GAFI/FATF) es el organismo intergubernamental que establece los estándares globales para combatir el lavado de dinero (LD), el financiamiento al terrorismo (FT) y la proliferación de armas. Fue creado en 1989 por el G7. Hoy agrupa 39 miembros plenos y más de 180 jurisdicciones observadoras.</w:t>
      </w:r>
    </w:p>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El GAFI no es un organismo académico. Es un mecanismo de presión pública con consecuencias económicas directas y demostrables. Sus 40 Recomendaciones son el estándar de facto para los sistemas antilavado a nivel mundial.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 DEL GAFI</w:t>
            </w:r>
          </w:p>
        </w:tc>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 QUE HACE</w:t>
            </w:r>
          </w:p>
        </w:tc>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POR QUÉ IMPORTA PARA MÉXICO</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22222"/>
                <w:sz w:val="20"/>
                <w:szCs w:val="20"/>
              </w:rPr>
              <w:t xml:space="preserve">Estándares globales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Emite 40 Recomendaciones: el estándar internacional ALD/CFT</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México las asumió como miembro pleno. Incumplirlas tiene visibilidad internacional.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Evaluación mutua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Evalúa a cada país miembro en cumplimiento técnico y efectividad real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 5ª Ronda está en curso ahora mismo. Los resultados son públicos y permanentes.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22222"/>
                <w:sz w:val="20"/>
                <w:szCs w:val="20"/>
              </w:rPr>
              <w:t xml:space="preserve">Listas públicas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Publica 3 veces al año listas de jurisdicciones con deficiencias estratégicas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Estar en la Lista Gris genera restricciones bancarias y económicas inmediatas.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Presión de mercado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Sus decisiones orientan a bancos corresponsales, calificadoras e inversionistas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Una calificación negativa puede elevar el costo del crédito soberano y frenar inversión.</w:t>
            </w:r>
          </w:p>
        </w:tc>
      </w:tr>
    </w:tbl>
    <w:p>
      <w:pPr>
        <w:spacing w:before="0" w:after="120"/>
      </w:pPr>
      <w:r>
        <w:t xml:space="preserve"/>
      </w:r>
    </w:p>
    <w:p>
      <w:pPr>
        <w:spacing w:before="200" w:after="80"/>
      </w:pPr>
      <w:r>
        <w:rPr>
          <w:rFonts w:ascii="Arial" w:cs="Arial" w:eastAsia="Arial" w:hAnsi="Arial"/>
          <w:b/>
          <w:bCs/>
          <w:color w:val="1C3557"/>
          <w:sz w:val="22"/>
          <w:szCs w:val="22"/>
        </w:rPr>
        <w:t xml:space="preserve">1.2  Por qué México importa especialmente en 2026</w:t>
      </w:r>
    </w:p>
    <w:p>
      <w:pPr>
        <w:spacing w:before="60" w:after="80"/>
      </w:pPr>
      <w:r>
        <w:rPr>
          <w:rFonts w:ascii="Arial" w:cs="Arial" w:eastAsia="Arial" w:hAnsi="Arial"/>
          <w:color w:val="222222"/>
          <w:sz w:val="22"/>
          <w:szCs w:val="22"/>
        </w:rPr>
        <w:t xml:space="preserve">México no es cualquier país en esta evaluación. Es, simultáneamente, el país evaluado Y el presidente del GAFI durante el período de su propia evaluación (2024-2026). Este hecho sin precedente eleva exponencialmente la visibilidad política del resultado.</w:t>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Lo que México demuestre durante la visita in situ de marzo 2026 puede inclinar la balanza entre un resultado satisfactorio y entrar a la Lista Gris.</w:t>
      </w:r>
    </w:p>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2"/>
          <w:szCs w:val="32"/>
        </w:rPr>
        <w:t xml:space="preserve">2.  QUÉ SIGNIFICA ESTAR EN LA LISTA GRIS</w:t>
      </w:r>
    </w:p>
    <w:p>
      <w:pPr>
        <w:spacing w:before="0" w:after="0"/>
      </w:pPr>
      <w:r>
        <w:t xml:space="preserve"/>
      </w:r>
    </w:p>
    <w:p>
      <w:pPr>
        <w:spacing w:before="200" w:after="80"/>
      </w:pPr>
      <w:r>
        <w:rPr>
          <w:rFonts w:ascii="Arial" w:cs="Arial" w:eastAsia="Arial" w:hAnsi="Arial"/>
          <w:b/>
          <w:bCs/>
          <w:color w:val="1C3557"/>
          <w:sz w:val="22"/>
          <w:szCs w:val="22"/>
        </w:rPr>
        <w:t xml:space="preserve">2.1  Las tres listas del GAFI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LISTA</w:t>
            </w:r>
          </w:p>
        </w:tc>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¿QUÉ SIGNIFICA?</w:t>
            </w:r>
          </w:p>
        </w:tc>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CONSECUENCIA PRÁCTICA</w:t>
            </w:r>
          </w:p>
        </w:tc>
      </w:tr>
      <w:tr>
        <w:tc>
          <w:tcPr>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pPr>
              <w:jc w:val="left"/>
            </w:pPr>
            <w:r>
              <w:rPr>
                <w:rFonts w:ascii="Arial" w:cs="Arial" w:eastAsia="Arial" w:hAnsi="Arial"/>
                <w:b/>
                <w:bCs/>
                <w:color w:val="C0392B"/>
                <w:sz w:val="20"/>
                <w:szCs w:val="20"/>
              </w:rPr>
              <w:t xml:space="preserve">🔴  Lista Negra</w:t>
            </w:r>
          </w:p>
        </w:tc>
        <w:tc>
          <w:tcPr>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Deficiencias graves sin voluntad de corregirlas</w:t>
            </w:r>
          </w:p>
        </w:tc>
        <w:tc>
          <w:tcPr>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Corea del Norte, Irán, Myanmar. Contramediadas internacionales obligatorias.</w:t>
            </w:r>
          </w:p>
        </w:tc>
      </w:tr>
      <w:tr>
        <w:tc>
          <w:tcPr>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color w:val="8B6914"/>
                <w:sz w:val="20"/>
                <w:szCs w:val="20"/>
              </w:rPr>
              <w:t xml:space="preserve">🟡  Lista Gris</w:t>
            </w:r>
          </w:p>
        </w:tc>
        <w:tc>
          <w:tcPr>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Deficiencias identificadas, con plan de acción comprometido. Seguimiento público.</w:t>
            </w:r>
          </w:p>
        </w:tc>
        <w:tc>
          <w:tcPr>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 países actualmente. Restricciones bancarias, encarecimiento de crédito, mayor escrutinio en transacciones.</w:t>
            </w:r>
          </w:p>
        </w:tc>
      </w:tr>
      <w:tr>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rFonts w:ascii="Arial" w:cs="Arial" w:eastAsia="Arial" w:hAnsi="Arial"/>
                <w:b/>
                <w:bCs/>
                <w:color w:val="1A6B3A"/>
                <w:sz w:val="20"/>
                <w:szCs w:val="20"/>
              </w:rPr>
              <w:t xml:space="preserve">🟢  Seguimiento Reforzado</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Deficiencias relevantes que requieren reporte periódico, sin señalamiento público en Lista Gris.</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México está en esta categoría con alta probabilidad. El resultado de la visita actual define si sube o baja.</w:t>
            </w:r>
          </w:p>
        </w:tc>
      </w:tr>
    </w:tbl>
    <w:p>
      <w:pPr>
        <w:spacing w:before="0" w:after="120"/>
      </w:pPr>
      <w:r>
        <w:t xml:space="preserve"/>
      </w:r>
    </w:p>
    <w:p>
      <w:pPr>
        <w:spacing w:before="200" w:after="80"/>
      </w:pPr>
      <w:r>
        <w:rPr>
          <w:rFonts w:ascii="Arial" w:cs="Arial" w:eastAsia="Arial" w:hAnsi="Arial"/>
          <w:b/>
          <w:bCs/>
          <w:color w:val="1C3557"/>
          <w:sz w:val="22"/>
          <w:szCs w:val="22"/>
        </w:rPr>
        <w:t xml:space="preserve">2.2  Las consecuencias económicas concretas</w:t>
      </w:r>
    </w:p>
    <w:p>
      <w:pPr>
        <w:spacing w:before="60" w:after="80"/>
      </w:pPr>
      <w:r>
        <w:rPr>
          <w:rFonts w:ascii="Arial" w:cs="Arial" w:eastAsia="Arial" w:hAnsi="Arial"/>
          <w:color w:val="222222"/>
          <w:sz w:val="22"/>
          <w:szCs w:val="22"/>
        </w:rPr>
        <w:t xml:space="preserve">La Lista Gris no es una sanción formal. Es un mecanismo de seguimiento. Pero sus efectos económicos son equivalentes a una sanción severa. El estigma de aparecer en la lista activa mecanismos de mercado que operan de forma automática.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SECTOR AFECTADO</w:t>
            </w:r>
          </w:p>
        </w:tc>
        <w:tc>
          <w:tcPr>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CONSECUENCIA</w:t>
            </w:r>
          </w:p>
        </w:tc>
        <w:tc>
          <w:tcPr>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MAGNITUD PARA MÉXICO</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22222"/>
                <w:sz w:val="20"/>
                <w:szCs w:val="20"/>
              </w:rPr>
              <w:t xml:space="preserve">Sector financiero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Bancos corresponsales aplican medidas reforzadas o cierran líneas de crédito internacional.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Restricción de financiamiento para empresas mexicanas con operaciones o proveedores en el extranjero.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Comercio exterior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Mayor escrutinio en transacciones internacionales; tiempos de procesamiento más largos.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Deterioro de competitividad exportadora; freno al nearshoring.</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22222"/>
                <w:sz w:val="20"/>
                <w:szCs w:val="20"/>
              </w:rPr>
              <w:t xml:space="preserve">Remesas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Restricciones en envío y recepción; canales formales más costosos.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México recibe aprox. USD 64,000 millones/año en remesas. Un alza del 1% en costo = USD 640M menos para familias.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Inversión extranjera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Mayor due diligence de fondos internacionales; percepción de riesgo país elevada.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FMI documentó una caída promedio de 7.6% del PIB en flujos de capital para países en Lista Gris.*</w:t>
            </w:r>
          </w:p>
        </w:tc>
      </w:tr>
    </w:tbl>
    <w:p>
      <w:pPr>
        <w:spacing w:before="0" w:after="0"/>
      </w:pPr>
      <w:r>
        <w:t xml:space="preserve"/>
      </w:r>
    </w:p>
    <w:p>
      <w:pPr>
        <w:spacing w:before="60" w:after="80"/>
      </w:pPr>
      <w:r>
        <w:rPr>
          <w:rFonts w:ascii="Arial" w:cs="Arial" w:eastAsia="Arial" w:hAnsi="Arial"/>
          <w:i/>
          <w:iCs/>
          <w:color w:val="666666"/>
          <w:sz w:val="18"/>
          <w:szCs w:val="18"/>
        </w:rPr>
        <w:t xml:space="preserve">* Fuente: IMF Working Paper WP/21/153 (Kida y Paetzold, 2021). Dato verificado.</w:t>
      </w:r>
    </w:p>
    <w:p>
      <w:pPr>
        <w:spacing w:before="0" w:after="120"/>
      </w:pPr>
      <w:r>
        <w:t xml:space="preserve"/>
      </w:r>
    </w:p>
    <w:p>
      <w:pPr>
        <w:spacing w:before="200" w:after="80"/>
      </w:pPr>
      <w:r>
        <w:rPr>
          <w:rFonts w:ascii="Arial" w:cs="Arial" w:eastAsia="Arial" w:hAnsi="Arial"/>
          <w:b/>
          <w:bCs/>
          <w:color w:val="1C3557"/>
          <w:sz w:val="22"/>
          <w:szCs w:val="22"/>
        </w:rPr>
        <w:t xml:space="preserve">2.3  Cuánto tarda salir: los casos de Argentina y Panamá</w:t>
      </w:r>
    </w:p>
    <w:p>
      <w:pPr>
        <w:spacing w:before="60" w:after="80"/>
      </w:pPr>
      <w:r>
        <w:rPr>
          <w:rFonts w:ascii="Arial" w:cs="Arial" w:eastAsia="Arial" w:hAnsi="Arial"/>
          <w:color w:val="222222"/>
          <w:sz w:val="22"/>
          <w:szCs w:val="22"/>
        </w:rPr>
        <w:t xml:space="preserve">La salida de la Lista Gris no es automática ni rápida. Exige demostrar avances legislativos, operativos y estadísticos verificables ante el GAFI cada 6 meses. Argentina entró a la Lista Gris en 2023 con proceso de salida proyectado para 2025-2026. Panamá tardó más de 3 años en salir.</w:t>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Para el facilitador: Mencionar estos casos hace tangible el costo de tiempo y reputación que México debe evitar. No es teoría; es lo que ya le pasó a países vecinos.</w:t>
      </w:r>
    </w:p>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2"/>
          <w:szCs w:val="32"/>
        </w:rPr>
        <w:t xml:space="preserve">3.  LA REFORMA DEL 16 DE JULIO DE 2025</w:t>
      </w:r>
    </w:p>
    <w:p>
      <w:pPr>
        <w:spacing w:before="0" w:after="0"/>
      </w:pPr>
      <w:r>
        <w:t xml:space="preserve"/>
      </w:r>
    </w:p>
    <w:p>
      <w:pPr>
        <w:spacing w:before="60" w:after="80"/>
      </w:pPr>
      <w:r>
        <w:rPr>
          <w:rFonts w:ascii="Arial" w:cs="Arial" w:eastAsia="Arial" w:hAnsi="Arial"/>
          <w:color w:val="222222"/>
          <w:sz w:val="22"/>
          <w:szCs w:val="22"/>
        </w:rPr>
        <w:t xml:space="preserve">El 16 de julio de 2025 se publicó en el DOF el Decreto que reforma y adiciona diversas disposiciones de la LFPIORPI y el Artículo 400 Bis del Código Penal Federal. Esta reforma no es coincidencia: es la respuesta legislativa de México a deficiencias identificadas por el GAFI.</w:t>
      </w:r>
    </w:p>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Para el facilitador: El mensaje correcto no es solo 'México hizo una reforma'. El mensaje es: 'La reforma ya está en vigor — y las obligaciones que activa son las que vamos a revisar hoy.'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CAMBIO EN LA REFORMA</w:t>
            </w:r>
          </w:p>
        </w:tc>
        <w:tc>
          <w:tcPr>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QUÉ SIGNIFICA EN LA PRÁCTICA</w:t>
            </w:r>
          </w:p>
        </w:tc>
      </w:tr>
      <w:tr>
        <w:tc>
          <w:tcPr>
            <w:tcBorders>
              <w:top w:val="single" w:color="CCCCCC" w:sz="1"/>
              <w:left w:val="single" w:color="CCCCCC" w:sz="1"/>
              <w:bottom w:val="single" w:color="CCCCCC" w:sz="1"/>
              <w:right w:val="single" w:color="CCCCCC" w:sz="1"/>
            </w:tcBorders>
            <w:shd w:fill="F0F9FB" w:val="clear"/>
            <w:tcMar>
              <w:top w:type="dxa" w:w="80"/>
              <w:left w:type="dxa" w:w="120"/>
              <w:bottom w:type="dxa" w:w="80"/>
              <w:right w:type="dxa" w:w="120"/>
            </w:tcMar>
          </w:tcPr>
          <w:p>
            <w:r>
              <w:rPr>
                <w:rFonts w:ascii="Arial" w:cs="Arial" w:eastAsia="Arial" w:hAnsi="Arial"/>
                <w:b/>
                <w:bCs/>
                <w:color w:val="222222"/>
                <w:sz w:val="20"/>
                <w:szCs w:val="20"/>
              </w:rPr>
              <w:t xml:space="preserve">Obligación de evaluación de riesgos (Art. 18, Fracc. VII)</w:t>
            </w:r>
          </w:p>
        </w:tc>
        <w:tc>
          <w:tcPr>
            <w:tcBorders>
              <w:top w:val="single" w:color="CCCCCC" w:sz="1"/>
              <w:left w:val="single" w:color="CCCCCC" w:sz="1"/>
              <w:bottom w:val="single" w:color="CCCCCC" w:sz="1"/>
              <w:right w:val="single" w:color="CCCCCC" w:sz="1"/>
            </w:tcBorders>
            <w:shd w:fill="F0F9FB" w:val="clear"/>
            <w:tcMar>
              <w:top w:type="dxa" w:w="80"/>
              <w:left w:type="dxa" w:w="120"/>
              <w:bottom w:type="dxa" w:w="80"/>
              <w:right w:type="dxa" w:w="120"/>
            </w:tcMar>
          </w:tcPr>
          <w:p>
            <w:r>
              <w:rPr>
                <w:rFonts w:ascii="Arial" w:cs="Arial" w:eastAsia="Arial" w:hAnsi="Arial"/>
                <w:b w:val="false"/>
                <w:bCs w:val="false"/>
                <w:color w:val="222222"/>
                <w:sz w:val="20"/>
                <w:szCs w:val="20"/>
              </w:rPr>
              <w:t xml:space="preserve">Los sujetos obligados deben identificar, analizar y mitigar sus propios riesgos. Ya no basta con cumplir listas de verificación.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Identificación del Beneficiario Controlador — umbral 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Antes el control era al 50%. Ahora aplica desde el 25% del capital. Más personas físicas quedan identificadas.</w:t>
            </w:r>
          </w:p>
        </w:tc>
      </w:tr>
      <w:tr>
        <w:tc>
          <w:tcPr>
            <w:tcBorders>
              <w:top w:val="single" w:color="CCCCCC" w:sz="1"/>
              <w:left w:val="single" w:color="CCCCCC" w:sz="1"/>
              <w:bottom w:val="single" w:color="CCCCCC" w:sz="1"/>
              <w:right w:val="single" w:color="CCCCCC" w:sz="1"/>
            </w:tcBorders>
            <w:shd w:fill="F0F9FB" w:val="clear"/>
            <w:tcMar>
              <w:top w:type="dxa" w:w="80"/>
              <w:left w:type="dxa" w:w="120"/>
              <w:bottom w:type="dxa" w:w="80"/>
              <w:right w:type="dxa" w:w="120"/>
            </w:tcMar>
          </w:tcPr>
          <w:p>
            <w:r>
              <w:rPr>
                <w:rFonts w:ascii="Arial" w:cs="Arial" w:eastAsia="Arial" w:hAnsi="Arial"/>
                <w:b/>
                <w:bCs/>
                <w:color w:val="222222"/>
                <w:sz w:val="20"/>
                <w:szCs w:val="20"/>
              </w:rPr>
              <w:t xml:space="preserve">Sistemas automatizados de monitoreo (Art. 18, Fracc. X)</w:t>
            </w:r>
          </w:p>
        </w:tc>
        <w:tc>
          <w:tcPr>
            <w:tcBorders>
              <w:top w:val="single" w:color="CCCCCC" w:sz="1"/>
              <w:left w:val="single" w:color="CCCCCC" w:sz="1"/>
              <w:bottom w:val="single" w:color="CCCCCC" w:sz="1"/>
              <w:right w:val="single" w:color="CCCCCC" w:sz="1"/>
            </w:tcBorders>
            <w:shd w:fill="F0F9FB" w:val="clear"/>
            <w:tcMar>
              <w:top w:type="dxa" w:w="80"/>
              <w:left w:type="dxa" w:w="120"/>
              <w:bottom w:type="dxa" w:w="80"/>
              <w:right w:type="dxa" w:w="120"/>
            </w:tcMar>
          </w:tcPr>
          <w:p>
            <w:r>
              <w:rPr>
                <w:rFonts w:ascii="Arial" w:cs="Arial" w:eastAsia="Arial" w:hAnsi="Arial"/>
                <w:b w:val="false"/>
                <w:bCs w:val="false"/>
                <w:color w:val="222222"/>
                <w:sz w:val="20"/>
                <w:szCs w:val="20"/>
              </w:rPr>
              <w:t xml:space="preserve">Obligación de contar con mecanismos tecnológicos para detectar operaciones fuera del perfil del cliente.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Sanciones más proporcionales y disuasorias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régimen sancionatorio se fortaleció para ser creíble ante los evaluadores y ante el mercado.</w:t>
            </w:r>
          </w:p>
        </w:tc>
      </w:tr>
      <w:tr>
        <w:tc>
          <w:tcPr>
            <w:tcBorders>
              <w:top w:val="single" w:color="CCCCCC" w:sz="1"/>
              <w:left w:val="single" w:color="CCCCCC" w:sz="1"/>
              <w:bottom w:val="single" w:color="CCCCCC" w:sz="1"/>
              <w:right w:val="single" w:color="CCCCCC" w:sz="1"/>
            </w:tcBorders>
            <w:shd w:fill="F0F9FB" w:val="clear"/>
            <w:tcMar>
              <w:top w:type="dxa" w:w="80"/>
              <w:left w:type="dxa" w:w="120"/>
              <w:bottom w:type="dxa" w:w="80"/>
              <w:right w:type="dxa" w:w="120"/>
            </w:tcMar>
          </w:tcPr>
          <w:p>
            <w:r>
              <w:rPr>
                <w:rFonts w:ascii="Arial" w:cs="Arial" w:eastAsia="Arial" w:hAnsi="Arial"/>
                <w:b/>
                <w:bCs/>
                <w:color w:val="222222"/>
                <w:sz w:val="20"/>
                <w:szCs w:val="20"/>
              </w:rPr>
              <w:t xml:space="preserve">Plazo de conservación: 5 → 10 años</w:t>
            </w:r>
          </w:p>
        </w:tc>
        <w:tc>
          <w:tcPr>
            <w:tcBorders>
              <w:top w:val="single" w:color="CCCCCC" w:sz="1"/>
              <w:left w:val="single" w:color="CCCCCC" w:sz="1"/>
              <w:bottom w:val="single" w:color="CCCCCC" w:sz="1"/>
              <w:right w:val="single" w:color="CCCCCC" w:sz="1"/>
            </w:tcBorders>
            <w:shd w:fill="F0F9FB" w:val="clear"/>
            <w:tcMar>
              <w:top w:type="dxa" w:w="80"/>
              <w:left w:type="dxa" w:w="120"/>
              <w:bottom w:type="dxa" w:w="80"/>
              <w:right w:type="dxa" w:w="120"/>
            </w:tcMar>
          </w:tcPr>
          <w:p>
            <w:r>
              <w:rPr>
                <w:rFonts w:ascii="Arial" w:cs="Arial" w:eastAsia="Arial" w:hAnsi="Arial"/>
                <w:b w:val="false"/>
                <w:bCs w:val="false"/>
                <w:color w:val="222222"/>
                <w:sz w:val="20"/>
                <w:szCs w:val="20"/>
              </w:rPr>
              <w:t xml:space="preserve">La información y documentación de actividades vulnerables debe conservarse el doble del plazo anterior.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Aviso por sospecha en 24 horas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Incluso si la operación no se celebró. El obligado pasa de receptor pasivo a fuente de inteligencia activa.</w:t>
            </w:r>
          </w:p>
        </w:tc>
      </w:tr>
    </w:tbl>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2"/>
          <w:szCs w:val="32"/>
        </w:rPr>
        <w:t xml:space="preserve">4.  LAS REGLAS DE CARÁCTER GENERAL: LA BRECHA PENDIENTE</w:t>
      </w:r>
    </w:p>
    <w:p>
      <w:pPr>
        <w:spacing w:before="0" w:after="0"/>
      </w:pPr>
      <w:r>
        <w:t xml:space="preserve"/>
      </w:r>
    </w:p>
    <w:p>
      <w:pPr>
        <w:spacing w:before="60" w:after="80"/>
      </w:pPr>
      <w:r>
        <w:rPr>
          <w:rFonts w:ascii="Arial" w:cs="Arial" w:eastAsia="Arial" w:hAnsi="Arial"/>
          <w:color w:val="222222"/>
          <w:sz w:val="22"/>
          <w:szCs w:val="22"/>
        </w:rPr>
        <w:t xml:space="preserve">Las Reglas de Carácter General derivadas de la reforma del 16 de julio de 2025 aún no han sido publicadas. Su publicación está proyectada para julio de 2026.</w:t>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Esto significa que varias obligaciones del Art. 18 están en vigor pero sin el detalle operativo que las Reglas darán. Los obligados deben prepararse con lo que la Ley ya exige — y estar listos para adaptarse cuando las Reglas se publiquen.</w:t>
      </w:r>
    </w:p>
    <w:p>
      <w:pPr>
        <w:spacing w:before="60" w:after="80"/>
      </w:pPr>
      <w:r>
        <w:rPr>
          <w:rFonts w:ascii="Arial" w:cs="Arial" w:eastAsia="Arial" w:hAnsi="Arial"/>
          <w:color w:val="222222"/>
          <w:sz w:val="22"/>
          <w:szCs w:val="22"/>
        </w:rPr>
        <w:t xml:space="preserve">La forma práctica de comunicarlo: la reforma construyó el marco. Las Reglas darán el manual de operación. Cumplir la Ley desde ahora es la posición correcta — y la que el evaluador valorará.</w:t>
      </w:r>
    </w:p>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2"/>
          <w:szCs w:val="32"/>
        </w:rPr>
        <w:t xml:space="preserve">5.  MENSAJE DE ARRANQUE PARA EL FACILITADOR</w:t>
      </w:r>
    </w:p>
    <w:p>
      <w:pPr>
        <w:spacing w:before="0" w:after="0"/>
      </w:pPr>
      <w:r>
        <w:t xml:space="preserve"/>
      </w:r>
    </w:p>
    <w:p>
      <w:pPr>
        <w:spacing w:before="200" w:after="80"/>
      </w:pPr>
      <w:r>
        <w:rPr>
          <w:rFonts w:ascii="Arial" w:cs="Arial" w:eastAsia="Arial" w:hAnsi="Arial"/>
          <w:b/>
          <w:bCs/>
          <w:color w:val="1C3557"/>
          <w:sz w:val="22"/>
          <w:szCs w:val="22"/>
        </w:rPr>
        <w:t xml:space="preserve">5.1  Los hechos que se entregan en los primeros 5 minutos</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22222"/>
          <w:sz w:val="22"/>
          <w:szCs w:val="22"/>
        </w:rPr>
        <w:t xml:space="preserve">El equipo evaluador del GAFI está en México durante la semana del 9 al 27 de marzo de 2026. Esta semana.</w:t>
      </w:r>
    </w:p>
    <w:p>
      <w:pPr>
        <w:pStyle w:val="ListParagraph"/>
        <w:numPr>
          <w:ilvl w:val="0"/>
          <w:numId w:val="2"/>
        </w:numPr>
        <w:spacing w:before="40" w:after="40"/>
      </w:pPr>
      <w:r>
        <w:rPr>
          <w:rFonts w:ascii="Arial" w:cs="Arial" w:eastAsia="Arial" w:hAnsi="Arial"/>
          <w:b w:val="false"/>
          <w:bCs w:val="false"/>
          <w:color w:val="222222"/>
          <w:sz w:val="22"/>
          <w:szCs w:val="22"/>
        </w:rPr>
        <w:t xml:space="preserve">México preside el GAFI durante su propia evaluación. Eso no tiene precedente y eleva la visibilidad del resultado.</w:t>
      </w:r>
    </w:p>
    <w:p>
      <w:pPr>
        <w:pStyle w:val="ListParagraph"/>
        <w:numPr>
          <w:ilvl w:val="0"/>
          <w:numId w:val="2"/>
        </w:numPr>
        <w:spacing w:before="40" w:after="40"/>
      </w:pPr>
      <w:r>
        <w:rPr>
          <w:rFonts w:ascii="Arial" w:cs="Arial" w:eastAsia="Arial" w:hAnsi="Arial"/>
          <w:b w:val="false"/>
          <w:bCs w:val="false"/>
          <w:color w:val="222222"/>
          <w:sz w:val="22"/>
          <w:szCs w:val="22"/>
        </w:rPr>
        <w:t xml:space="preserve">La reforma del 16 de julio de 2025 ya es ley vigente. Las Reglas que la operativizan salen en julio 2026.</w:t>
      </w:r>
    </w:p>
    <w:p>
      <w:pPr>
        <w:pStyle w:val="ListParagraph"/>
        <w:numPr>
          <w:ilvl w:val="0"/>
          <w:numId w:val="2"/>
        </w:numPr>
        <w:spacing w:before="40" w:after="40"/>
      </w:pPr>
      <w:r>
        <w:rPr>
          <w:rFonts w:ascii="Arial" w:cs="Arial" w:eastAsia="Arial" w:hAnsi="Arial"/>
          <w:b w:val="false"/>
          <w:bCs w:val="false"/>
          <w:color w:val="222222"/>
          <w:sz w:val="22"/>
          <w:szCs w:val="22"/>
        </w:rPr>
        <w:t xml:space="preserve">El FMI documentó que la Lista Gris reduce los flujos de capital en promedio 7.6% del PIB. Para México eso son decenas de miles de millones de dólares.</w:t>
      </w:r>
    </w:p>
    <w:p>
      <w:pPr>
        <w:pStyle w:val="ListParagraph"/>
        <w:numPr>
          <w:ilvl w:val="0"/>
          <w:numId w:val="2"/>
        </w:numPr>
        <w:spacing w:before="40" w:after="40"/>
      </w:pPr>
      <w:r>
        <w:rPr>
          <w:rFonts w:ascii="Arial" w:cs="Arial" w:eastAsia="Arial" w:hAnsi="Arial"/>
          <w:b w:val="false"/>
          <w:bCs w:val="false"/>
          <w:color w:val="222222"/>
          <w:sz w:val="22"/>
          <w:szCs w:val="22"/>
        </w:rPr>
        <w:t xml:space="preserve">Mexico recibe aprox. USD 64,000 millones en remesas al año. Un alza del 1% en el costo de transferencia = USD 640M menos para familias mexicanas.</w:t>
      </w:r>
    </w:p>
    <w:p>
      <w:pPr>
        <w:pStyle w:val="ListParagraph"/>
        <w:numPr>
          <w:ilvl w:val="0"/>
          <w:numId w:val="2"/>
        </w:numPr>
        <w:spacing w:before="40" w:after="40"/>
      </w:pPr>
      <w:r>
        <w:rPr>
          <w:rFonts w:ascii="Arial" w:cs="Arial" w:eastAsia="Arial" w:hAnsi="Arial"/>
          <w:b w:val="false"/>
          <w:bCs w:val="false"/>
          <w:color w:val="222222"/>
          <w:sz w:val="22"/>
          <w:szCs w:val="22"/>
        </w:rPr>
        <w:t xml:space="preserve">Los sujetos obligados privados — como las empresas de este grupo — son parte del sistema que el GAFI evalúa. No son espectadores.</w:t>
      </w:r>
    </w:p>
    <w:p>
      <w:pPr>
        <w:spacing w:before="0" w:after="120"/>
      </w:pPr>
      <w:r>
        <w:t xml:space="preserve"/>
      </w:r>
    </w:p>
    <w:p>
      <w:pPr>
        <w:spacing w:before="200" w:after="80"/>
      </w:pPr>
      <w:r>
        <w:rPr>
          <w:rFonts w:ascii="Arial" w:cs="Arial" w:eastAsia="Arial" w:hAnsi="Arial"/>
          <w:b/>
          <w:bCs/>
          <w:color w:val="1C3557"/>
          <w:sz w:val="22"/>
          <w:szCs w:val="22"/>
        </w:rPr>
        <w:t xml:space="preserve">5.2  El discurso de arranque (para el facilitador)</w:t>
      </w:r>
    </w:p>
    <w:p>
      <w:pPr>
        <w:spacing w:before="60" w:after="80"/>
      </w:pPr>
      <w:r>
        <w:rPr>
          <w:rFonts w:ascii="Arial" w:cs="Arial" w:eastAsia="Arial" w:hAnsi="Arial"/>
          <w:color w:val="222222"/>
          <w:sz w:val="22"/>
          <w:szCs w:val="22"/>
        </w:rPr>
        <w:t xml:space="preserve">Pronunciar con tono directo, sin ironías, mirando a la sala:</w:t>
      </w:r>
    </w:p>
    <w:p>
      <w:pPr>
        <w:spacing w:before="0" w:after="0"/>
      </w:pPr>
      <w:r>
        <w:t xml:space="preserve"/>
      </w:r>
    </w:p>
    <w:p>
      <w:pPr>
        <w:pBdr>
          <w:left w:val="single" w:color="0D2137" w:sz="16" w:space="12"/>
        </w:pBdr>
        <w:shd w:fill="EFF6FF" w:val="clear"/>
        <w:spacing w:before="120" w:after="120"/>
        <w:ind w:left="300" w:right="300"/>
      </w:pPr>
      <w:r>
        <w:rPr>
          <w:rFonts w:ascii="Arial" w:cs="Arial" w:eastAsia="Arial" w:hAnsi="Arial"/>
          <w:i/>
          <w:iCs/>
          <w:color w:val="0D2137"/>
          <w:sz w:val="22"/>
          <w:szCs w:val="22"/>
        </w:rPr>
        <w:t xml:space="preserve">"No estamos aquí hablando de teoría. No es un curso de certificación. Estamos aquí porque el GAFI está evaluando a México ahora mismo. Hay un equipo de evaluadores internacionales trabajando en Ciudad de México esta semana, revisando si el sistema mexicano — todo el sistema, incluyendo los sujetos obligados privados como nosotros — cumple con los estándares que México se comprometió a cumplir. Y lo que hagamos en nuestras empresas importa. Cada expediente completo, cada aviso presentado a tiempo, cada operación sospechosa reportada es parte de la respuesta de México. Ese es el nivel de lo que está en juego. Empecemos."</w:t>
      </w:r>
    </w:p>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2"/>
          <w:szCs w:val="32"/>
        </w:rPr>
        <w:t xml:space="preserve">6.  CHECKLIST OPERATIVO — ANTES DE INICIAR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ELEMENTO</w:t>
            </w:r>
          </w:p>
        </w:tc>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RESPONSABLE</w:t>
            </w:r>
          </w:p>
        </w:tc>
        <w:tc>
          <w:tcPr>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LISTO</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222222"/>
                <w:sz w:val="20"/>
                <w:szCs w:val="20"/>
              </w:rPr>
              <w:t xml:space="preserve">Diapositiva de impacto: fecha de la visita GAFI en México (9-27 marzo 2026)</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222222"/>
                <w:sz w:val="20"/>
                <w:szCs w:val="20"/>
              </w:rPr>
              <w:t xml:space="preserve">Maribel V.</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222222"/>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Dato de remesas verificado: aprox. USD 64,000 millones/año (Banxico)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Maribel 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222222"/>
                <w:sz w:val="20"/>
                <w:szCs w:val="20"/>
              </w:rPr>
              <w:t xml:space="preserve">Dato IMF WP/21/153: caída promedio 7.6% del PIB en flujos de capital por Lista Gris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222222"/>
                <w:sz w:val="20"/>
                <w:szCs w:val="20"/>
              </w:rPr>
              <w:t xml:space="preserve">Maribel V.</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222222"/>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Tabla de las tres listas GAFI (Negra / Gris / Seguimiento Reforzado)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Maribel 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222222"/>
                <w:sz w:val="20"/>
                <w:szCs w:val="20"/>
              </w:rPr>
              <w:t xml:space="preserve">Extracto de la reforma del 16 de julio 2025 — máximo una cuartilla</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222222"/>
                <w:sz w:val="20"/>
                <w:szCs w:val="20"/>
              </w:rPr>
              <w:t xml:space="preserve">Maribel V.</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222222"/>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Caso de referencia: Argentina o Panamá en Lista Gris (entrada, costo, tiempo de salida)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Maribel 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222222"/>
                <w:sz w:val="20"/>
                <w:szCs w:val="20"/>
              </w:rPr>
              <w:t xml:space="preserve">Discurso de apertura preparado y memorizado (no leer)</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222222"/>
                <w:sz w:val="20"/>
                <w:szCs w:val="20"/>
              </w:rPr>
              <w:t xml:space="preserve">Maribel V.</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222222"/>
                <w:sz w:val="20"/>
                <w:szCs w:val="20"/>
              </w:rPr>
              <w:t xml:space="preserve">☐</w:t>
            </w:r>
          </w:p>
        </w:tc>
      </w:tr>
    </w:tbl>
    <w:p>
      <w:pPr>
        <w:spacing w:before="0" w:after="120"/>
      </w:pPr>
      <w:r>
        <w:t xml:space="preserve"/>
      </w:r>
    </w:p>
    <w:p>
      <w:pPr>
        <w:pBdr>
          <w:bottom w:val="single" w:color="0D2137" w:sz="6" w:space="1"/>
        </w:pBdr>
        <w:spacing w:before="0" w:after="120"/>
      </w:pPr>
    </w:p>
    <w:p>
      <w:pPr>
        <w:spacing w:before="80" w:after="0"/>
        <w:jc w:val="center"/>
      </w:pPr>
      <w:r>
        <w:rPr>
          <w:rFonts w:ascii="Arial" w:cs="Arial" w:eastAsia="Arial" w:hAnsi="Arial"/>
          <w:color w:val="888888"/>
          <w:sz w:val="18"/>
          <w:szCs w:val="18"/>
        </w:rPr>
        <w:t xml:space="preserve">TALLER LFPIORPI 2026  ·  Consorcio Peredo  ·  </w:t>
      </w:r>
      <w:r>
        <w:rPr>
          <w:rFonts w:ascii="Arial" w:cs="Arial" w:eastAsia="Arial" w:hAnsi="Arial"/>
          <w:i/>
          <w:iCs/>
          <w:color w:val="888888"/>
          <w:sz w:val="18"/>
          <w:szCs w:val="18"/>
        </w:rPr>
        <w:t xml:space="preserve">Preparado por GMC360 / 360EDUCA  ·  Maribel Vázquez Menchaca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D21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2026-03-10T21:01:29.389Z</dcterms:created>
  <dcterms:modified xsi:type="dcterms:W3CDTF">2026-03-10T21:01:29.390Z</dcterms:modified>
</cp:coreProperties>
</file>

<file path=docProps/custom.xml><?xml version="1.0" encoding="utf-8"?>
<Properties xmlns="http://schemas.openxmlformats.org/officeDocument/2006/custom-properties" xmlns:vt="http://schemas.openxmlformats.org/officeDocument/2006/docPropsVTypes"/>
</file>