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before="480" w:after="0"/>
        <w:jc w:val="center"/>
      </w:pPr>
      <w:r>
        <w:rPr>
          <w:rFonts w:ascii="Arial" w:cs="Arial" w:eastAsia="Arial" w:hAnsi="Arial"/>
          <w:b/>
          <w:bCs/>
          <w:color w:val="FFFFFF"/>
          <w:sz w:val="48"/>
          <w:szCs w:val="48"/>
        </w:rPr>
        <w:t xml:space="preserve">TALLER LFPIORPI 2026</w:t>
      </w:r>
    </w:p>
    <w:p>
      <w:pPr>
        <w:shd w:fill="0D2137" w:val="clear"/>
        <w:spacing w:before="0" w:after="0"/>
        <w:jc w:val="center"/>
      </w:pPr>
      <w:r>
        <w:rPr>
          <w:rFonts w:ascii="Arial" w:cs="Arial" w:eastAsia="Arial" w:hAnsi="Arial"/>
          <w:color w:val="A8C4E0"/>
          <w:sz w:val="32"/>
          <w:szCs w:val="32"/>
        </w:rPr>
        <w:t xml:space="preserve">Consorcio Peredo</w:t>
      </w:r>
    </w:p>
    <w:p>
      <w:pPr>
        <w:shd w:fill="0D2137" w:val="clear"/>
        <w:spacing w:before="0" w:after="0"/>
        <w:jc w:val="center"/>
      </w:pPr>
      <w:r>
        <w:rPr>
          <w:rFonts w:ascii="Arial" w:cs="Arial" w:eastAsia="Arial" w:hAnsi="Arial"/>
          <w:color w:val="FFFFFF"/>
          <w:sz w:val="24"/>
          <w:szCs w:val="24"/>
        </w:rPr>
        <w:t xml:space="preserve"> </w:t>
      </w:r>
    </w:p>
    <w:p>
      <w:pPr>
        <w:pBdr>
          <w:bottom w:val="single" w:color="0D2137" w:sz="6" w:space="1"/>
        </w:pBdr>
        <w:shd w:fill="D6E4F7" w:val="clear"/>
        <w:spacing w:before="0" w:after="0"/>
        <w:jc w:val="center"/>
      </w:pPr>
      <w:r>
        <w:rPr>
          <w:rFonts w:ascii="Arial" w:cs="Arial" w:eastAsia="Arial" w:hAnsi="Arial"/>
          <w:b/>
          <w:bCs/>
          <w:color w:val="0D2137"/>
          <w:sz w:val="28"/>
          <w:szCs w:val="28"/>
        </w:rPr>
        <w:t xml:space="preserve">BLOQUE II  ·  FRACCIONES ESPECÍFICAS DEL GRUPO</w:t>
      </w:r>
      <w:r>
        <w:rPr>
          <w:rFonts w:ascii="Arial" w:cs="Arial" w:eastAsia="Arial" w:hAnsi="Arial"/>
          <w:color w:val="666666"/>
          <w:sz w:val="22"/>
          <w:szCs w:val="22"/>
        </w:rPr>
        <w:t xml:space="preserve">     |     30 minutos     |     Oaxaca, 2026</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3600"/>
      </w:tblGrid>
      <w:tr>
        <w:trPr>
          <w:tblHeader/>
        </w:trPr>
        <w:tc>
          <w:tcPr>
            <w:tcW w:type="dxa" w:w="120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FRACC.</w:t>
            </w:r>
          </w:p>
        </w:tc>
        <w:tc>
          <w:tcPr>
            <w:tcW w:type="dxa" w:w="240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ACTIVIDAD VULNERABLE</w:t>
            </w:r>
          </w:p>
        </w:tc>
        <w:tc>
          <w:tcPr>
            <w:tcW w:type="dxa" w:w="216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EMPRESA(S)</w:t>
            </w:r>
          </w:p>
        </w:tc>
        <w:tc>
          <w:tcPr>
            <w:tcW w:type="dxa" w:w="360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TRATAMIENTO EN ESTE BLOQUE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bCs/>
                <w:color w:val="0E7490"/>
                <w:sz w:val="20"/>
                <w:szCs w:val="20"/>
              </w:rPr>
              <w:t xml:space="preserve">VIII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Vehículos nuevos y usados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bCs/>
                <w:color w:val="0D2137"/>
                <w:sz w:val="20"/>
                <w:szCs w:val="20"/>
              </w:rPr>
              <w:t xml:space="preserve">ÁBACO (autos)  ·  DINAMO (motos)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bCs/>
                <w:color w:val="166534"/>
                <w:sz w:val="20"/>
                <w:szCs w:val="20"/>
              </w:rPr>
              <w:t xml:space="preserve">COMPLETO — empresa del grupo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22222"/>
                <w:sz w:val="20"/>
                <w:szCs w:val="20"/>
              </w:rPr>
              <w:t xml:space="preserv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Construcción, desarrollo e intermediación de inmuebles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Contexto general</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V Bis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Desarrollo inmobiliario (recepción de recursos)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C0392B"/>
                <w:sz w:val="20"/>
                <w:szCs w:val="20"/>
              </w:rPr>
              <w:t xml:space="preserve">Contexto general  (NUEVA, DOF 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22222"/>
                <w:sz w:val="20"/>
                <w:szCs w:val="20"/>
              </w:rPr>
              <w:t xml:space="preserve">IV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Mutuo, garantía, crédito y préstamos (no entidades financieras)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Contexto general</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bCs/>
                <w:color w:val="222222"/>
                <w:sz w:val="20"/>
                <w:szCs w:val="20"/>
              </w:rPr>
              <w:t xml:space="preserve">II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Tarjetas de crédito/servicios, prepagadas y monederos electrónicos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Contexto general</w:t>
            </w:r>
          </w:p>
        </w:tc>
      </w:tr>
    </w:tbl>
    <w:p>
      <w:pPr>
        <w:spacing w:before="0" w:after="10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Para todas las fracciones aplican íntegramente las obligaciones del Art. 18 analizadas en el Bloque I. Este bloque desarrolla los supuestos específicos que activan esas obligaciones para cada actividad.</w:t>
      </w:r>
    </w:p>
    <w:p>
      <w:pPr>
        <w:spacing w:before="0" w:after="100"/>
      </w:pPr>
      <w:r>
        <w:t xml:space="preserve"/>
      </w:r>
    </w:p>
    <w:p>
      <w:pPr>
        <w:pStyle w:val="Heading1"/>
        <w:shd w:fill="0E7490" w:val="clear"/>
        <w:spacing w:before="360" w:after="160"/>
        <w:ind w:left="200" w:right="200"/>
      </w:pPr>
      <w:r>
        <w:rPr>
          <w:rFonts w:ascii="Arial" w:cs="Arial" w:eastAsia="Arial" w:hAnsi="Arial"/>
          <w:b/>
          <w:bCs/>
          <w:color w:val="FFFFFF"/>
          <w:sz w:val="30"/>
          <w:szCs w:val="30"/>
        </w:rPr>
        <w:t xml:space="preserve">FRACCIÓN VIII — COMERCIALIZACIÓN DE VEHÍCULOS</w:t>
      </w:r>
    </w:p>
    <w:p>
      <w:pPr>
        <w:spacing w:before="80" w:after="120"/>
      </w:pPr>
      <w:r>
        <w:rPr>
          <w:rFonts w:ascii="Arial" w:cs="Arial" w:eastAsia="Arial" w:hAnsi="Arial"/>
          <w:b/>
          <w:bCs/>
          <w:color w:val="0D2137"/>
          <w:sz w:val="22"/>
          <w:szCs w:val="22"/>
        </w:rPr>
        <w:t xml:space="preserve">Aplica a:  </w:t>
      </w:r>
      <w:r>
        <w:rPr>
          <w:rFonts w:ascii="Arial" w:cs="Arial" w:eastAsia="Arial" w:hAnsi="Arial"/>
          <w:b/>
          <w:bCs/>
          <w:color w:val="0E7490"/>
          <w:sz w:val="22"/>
          <w:szCs w:val="22"/>
        </w:rPr>
        <w:t xml:space="preserve">ÁBACO (autos)  ·  DINAMO (motos)</w:t>
      </w:r>
      <w:r>
        <w:rPr>
          <w:rFonts w:ascii="Arial" w:cs="Arial" w:eastAsia="Arial" w:hAnsi="Arial"/>
          <w:i/>
          <w:iCs/>
          <w:color w:val="666666"/>
          <w:sz w:val="20"/>
          <w:szCs w:val="20"/>
        </w:rPr>
        <w:t xml:space="preserve">      Base legal: Art. 17, Fracc. VIII LFPIORPI — DOF 16-07-2025</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 comercialización o distribución habitual o profesional de vehículos, nuevos o usados, ya sean aéreos, marítimos o terrestres con un valor igual o superior al equivalente a tres mil doscientas diez veces el valor diario de la UMA. Serán objeto de Aviso ante la Secretaría las actividades anteriores, cuando el monto del acto u operación sea igual o superior al equivalente a seis mil cuatrocientas veinte veces el valor diario de la UMA."</w:t>
      </w:r>
      <w:r>
        <w:rPr>
          <w:rFonts w:ascii="Arial" w:cs="Arial" w:eastAsia="Arial" w:hAnsi="Arial"/>
          <w:color w:val="666666"/>
          <w:sz w:val="18"/>
          <w:szCs w:val="18"/>
        </w:rPr>
        <w:t xml:space="preserve">  —  Art. 17, Fracc. VIII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Perfil de riesgo de esta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RIESGO INHERENTE</w:t>
            </w:r>
          </w:p>
          <w:p>
            <w:pPr>
              <w:jc w:val="center"/>
            </w:pPr>
            <w:r>
              <w:rPr>
                <w:rFonts w:ascii="Arial" w:cs="Arial" w:eastAsia="Arial" w:hAnsi="Arial"/>
                <w:b/>
                <w:bCs/>
                <w:color w:val="FFFFFF"/>
                <w:sz w:val="28"/>
                <w:szCs w:val="28"/>
              </w:rPr>
              <w:t xml:space="preserve">ALTO</w:t>
            </w:r>
          </w:p>
        </w:tc>
        <w:tc>
          <w:tcPr>
            <w:tcW w:type="dxa" w:w="71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1A1A"/>
                <w:sz w:val="21"/>
                <w:szCs w:val="21"/>
              </w:rPr>
              <w:t xml:space="preserve">El GAFI y el GAFILAT identifican la venta de vehículos como sector de alto riesgo de lavado. Los autos y motos son activos de valor relativamente estable, fácilmente transferibles y con un mercado de usados poco regulado que facilita la ocultación del origen de fondos.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7FA" w:val="clear"/>
            <w:tcMar>
              <w:top w:type="dxa" w:w="0"/>
              <w:left w:type="dxa" w:w="120"/>
              <w:bottom w:type="dxa" w:w="80"/>
              <w:right w:type="dxa" w:w="120"/>
            </w:tcMar>
            <w:vAlign w:val="top"/>
          </w:tcPr>
          <w:p>
            <w:pPr>
              <w:shd w:fill="1C3557" w:val="clear"/>
              <w:spacing w:before="80" w:after="80"/>
            </w:pPr>
            <w:r>
              <w:rPr>
                <w:rFonts w:ascii="Arial" w:cs="Arial" w:eastAsia="Arial" w:hAnsi="Arial"/>
                <w:b/>
                <w:bCs/>
                <w:color w:val="FFFFFF"/>
                <w:sz w:val="20"/>
                <w:szCs w:val="20"/>
              </w:rPr>
              <w:t xml:space="preserve">VULNERABILIDADES DEL NEGOCIO</w:t>
            </w:r>
          </w:p>
          <w:p>
            <w:pPr>
              <w:pStyle w:val="ListParagraph"/>
              <w:numPr>
                <w:ilvl w:val="0"/>
                <w:numId w:val="2"/>
              </w:numPr>
              <w:spacing w:before="30" w:after="30"/>
            </w:pPr>
            <w:r>
              <w:rPr>
                <w:rFonts w:ascii="Arial" w:cs="Arial" w:eastAsia="Arial" w:hAnsi="Arial"/>
                <w:color w:val="1A1A1A"/>
                <w:sz w:val="19"/>
                <w:szCs w:val="19"/>
              </w:rPr>
              <w:t xml:space="preserve">Mercado de usados difícil de rastrear: los vehículos cambian de manos múltiples veces sin trazabilidad clara.</w:t>
            </w:r>
          </w:p>
          <w:p>
            <w:pPr>
              <w:pStyle w:val="ListParagraph"/>
              <w:numPr>
                <w:ilvl w:val="0"/>
                <w:numId w:val="2"/>
              </w:numPr>
              <w:spacing w:before="30" w:after="30"/>
            </w:pPr>
            <w:r>
              <w:rPr>
                <w:rFonts w:ascii="Arial" w:cs="Arial" w:eastAsia="Arial" w:hAnsi="Arial"/>
                <w:color w:val="1A1A1A"/>
                <w:sz w:val="19"/>
                <w:szCs w:val="19"/>
              </w:rPr>
              <w:t xml:space="preserve">Pago en efectivo culturalmente aceptado en el sector, lo que normaliza transacciones de alto riesgo.</w:t>
            </w:r>
          </w:p>
          <w:p>
            <w:pPr>
              <w:pStyle w:val="ListParagraph"/>
              <w:numPr>
                <w:ilvl w:val="0"/>
                <w:numId w:val="2"/>
              </w:numPr>
              <w:spacing w:before="30" w:after="30"/>
            </w:pPr>
            <w:r>
              <w:rPr>
                <w:rFonts w:ascii="Arial" w:cs="Arial" w:eastAsia="Arial" w:hAnsi="Arial"/>
                <w:color w:val="1A1A1A"/>
                <w:sz w:val="19"/>
                <w:szCs w:val="19"/>
              </w:rPr>
              <w:t xml:space="preserve">Precio de lista vs. precio real: es común negociar descuentos que pueden encubrir el origen de recursos adicionales.</w:t>
            </w:r>
          </w:p>
          <w:p>
            <w:pPr>
              <w:pStyle w:val="ListParagraph"/>
              <w:numPr>
                <w:ilvl w:val="0"/>
                <w:numId w:val="2"/>
              </w:numPr>
              <w:spacing w:before="30" w:after="30"/>
            </w:pPr>
            <w:r>
              <w:rPr>
                <w:rFonts w:ascii="Arial" w:cs="Arial" w:eastAsia="Arial" w:hAnsi="Arial"/>
                <w:color w:val="1A1A1A"/>
                <w:sz w:val="19"/>
                <w:szCs w:val="19"/>
              </w:rPr>
              <w:t xml:space="preserve">Personal de ventas enfocado en cerrar la venta, no en detectar señales de alerta.</w:t>
            </w:r>
          </w:p>
          <w:p>
            <w:pPr>
              <w:pStyle w:val="ListParagraph"/>
              <w:numPr>
                <w:ilvl w:val="0"/>
                <w:numId w:val="2"/>
              </w:numPr>
              <w:spacing w:before="30" w:after="30"/>
            </w:pPr>
            <w:r>
              <w:rPr>
                <w:rFonts w:ascii="Arial" w:cs="Arial" w:eastAsia="Arial" w:hAnsi="Arial"/>
                <w:color w:val="1A1A1A"/>
                <w:sz w:val="19"/>
                <w:szCs w:val="19"/>
              </w:rPr>
              <w:t xml:space="preserve">Grupos empresariales con múltiples agencias dificultan la visión consolidada de acumulación por cliente.</w:t>
            </w:r>
          </w:p>
        </w:tc>
        <w:tc>
          <w:tcPr>
            <w:tcW w:type="dxa" w:w="3120"/>
            <w:tcBorders>
              <w:top w:val="single" w:color="CCCCCC" w:sz="1"/>
              <w:left w:val="single" w:color="CCCCCC" w:sz="1"/>
              <w:bottom w:val="single" w:color="CCCCCC" w:sz="1"/>
              <w:right w:val="single" w:color="CCCCCC" w:sz="1"/>
            </w:tcBorders>
            <w:shd w:fill="EFF6FF" w:val="clear"/>
            <w:tcMar>
              <w:top w:type="dxa" w:w="0"/>
              <w:left w:type="dxa" w:w="120"/>
              <w:bottom w:type="dxa" w:w="80"/>
              <w:right w:type="dxa" w:w="120"/>
            </w:tcMar>
            <w:vAlign w:val="top"/>
          </w:tcPr>
          <w:p>
            <w:pPr>
              <w:shd w:fill="2E5A8E" w:val="clear"/>
              <w:spacing w:before="80" w:after="80"/>
            </w:pPr>
            <w:r>
              <w:rPr>
                <w:rFonts w:ascii="Arial" w:cs="Arial" w:eastAsia="Arial" w:hAnsi="Arial"/>
                <w:b/>
                <w:bCs/>
                <w:color w:val="FFFFFF"/>
                <w:sz w:val="20"/>
                <w:szCs w:val="20"/>
              </w:rPr>
              <w:t xml:space="preserve">FACTORES DE RIESGO DEL CLIENTE</w:t>
            </w:r>
          </w:p>
          <w:p>
            <w:pPr>
              <w:pStyle w:val="ListParagraph"/>
              <w:numPr>
                <w:ilvl w:val="0"/>
                <w:numId w:val="2"/>
              </w:numPr>
              <w:spacing w:before="30" w:after="30"/>
            </w:pPr>
            <w:r>
              <w:rPr>
                <w:rFonts w:ascii="Arial" w:cs="Arial" w:eastAsia="Arial" w:hAnsi="Arial"/>
                <w:color w:val="1A1A1A"/>
                <w:sz w:val="19"/>
                <w:szCs w:val="19"/>
              </w:rPr>
              <w:t xml:space="preserve">Personas físicas que pagan en efectivo sin relación con actividad económica declarada.</w:t>
            </w:r>
          </w:p>
          <w:p>
            <w:pPr>
              <w:pStyle w:val="ListParagraph"/>
              <w:numPr>
                <w:ilvl w:val="0"/>
                <w:numId w:val="2"/>
              </w:numPr>
              <w:spacing w:before="30" w:after="30"/>
            </w:pPr>
            <w:r>
              <w:rPr>
                <w:rFonts w:ascii="Arial" w:cs="Arial" w:eastAsia="Arial" w:hAnsi="Arial"/>
                <w:color w:val="1A1A1A"/>
                <w:sz w:val="19"/>
                <w:szCs w:val="19"/>
              </w:rPr>
              <w:t xml:space="preserve">Empresas recién constituidas con capital mínimo que compran flotillas.</w:t>
            </w:r>
          </w:p>
          <w:p>
            <w:pPr>
              <w:pStyle w:val="ListParagraph"/>
              <w:numPr>
                <w:ilvl w:val="0"/>
                <w:numId w:val="2"/>
              </w:numPr>
              <w:spacing w:before="30" w:after="30"/>
            </w:pPr>
            <w:r>
              <w:rPr>
                <w:rFonts w:ascii="Arial" w:cs="Arial" w:eastAsia="Arial" w:hAnsi="Arial"/>
                <w:color w:val="1A1A1A"/>
                <w:sz w:val="19"/>
                <w:szCs w:val="19"/>
              </w:rPr>
              <w:t xml:space="preserve">Funcionarios públicos (PPE) y sus familiares o asociados cercanos.</w:t>
            </w:r>
          </w:p>
          <w:p>
            <w:pPr>
              <w:pStyle w:val="ListParagraph"/>
              <w:numPr>
                <w:ilvl w:val="0"/>
                <w:numId w:val="2"/>
              </w:numPr>
              <w:spacing w:before="30" w:after="30"/>
            </w:pPr>
            <w:r>
              <w:rPr>
                <w:rFonts w:ascii="Arial" w:cs="Arial" w:eastAsia="Arial" w:hAnsi="Arial"/>
                <w:color w:val="1A1A1A"/>
                <w:sz w:val="19"/>
                <w:szCs w:val="19"/>
              </w:rPr>
              <w:t xml:space="preserve">Clientes que solicitan facturar a nombre de un tercero no presente.</w:t>
            </w:r>
          </w:p>
          <w:p>
            <w:pPr>
              <w:pStyle w:val="ListParagraph"/>
              <w:numPr>
                <w:ilvl w:val="0"/>
                <w:numId w:val="2"/>
              </w:numPr>
              <w:spacing w:before="30" w:after="30"/>
            </w:pPr>
            <w:r>
              <w:rPr>
                <w:rFonts w:ascii="Arial" w:cs="Arial" w:eastAsia="Arial" w:hAnsi="Arial"/>
                <w:color w:val="1A1A1A"/>
                <w:sz w:val="19"/>
                <w:szCs w:val="19"/>
              </w:rPr>
              <w:t xml:space="preserve">Personas de países identificados como de alto riesgo por el GAFI.</w:t>
            </w:r>
          </w:p>
          <w:p>
            <w:pPr>
              <w:pStyle w:val="ListParagraph"/>
              <w:numPr>
                <w:ilvl w:val="0"/>
                <w:numId w:val="2"/>
              </w:numPr>
              <w:spacing w:before="30" w:after="30"/>
            </w:pPr>
            <w:r>
              <w:rPr>
                <w:rFonts w:ascii="Arial" w:cs="Arial" w:eastAsia="Arial" w:hAnsi="Arial"/>
                <w:color w:val="1A1A1A"/>
                <w:sz w:val="19"/>
                <w:szCs w:val="19"/>
              </w:rPr>
              <w:t xml:space="preserve">Clientes que muestran poco interés en el precio o el modelo, solo en cerrar rápido.</w:t>
            </w:r>
          </w:p>
        </w:tc>
        <w:tc>
          <w:tcPr>
            <w:tcW w:type="dxa" w:w="3120"/>
            <w:tcBorders>
              <w:top w:val="single" w:color="CCCCCC" w:sz="1"/>
              <w:left w:val="single" w:color="CCCCCC" w:sz="1"/>
              <w:bottom w:val="single" w:color="CCCCCC" w:sz="1"/>
              <w:right w:val="single" w:color="CCCCCC" w:sz="1"/>
            </w:tcBorders>
            <w:shd w:fill="FEF2F2" w:val="clear"/>
            <w:tcMar>
              <w:top w:type="dxa" w:w="0"/>
              <w:left w:type="dxa" w:w="120"/>
              <w:bottom w:type="dxa" w:w="80"/>
              <w:right w:type="dxa" w:w="120"/>
            </w:tcMar>
            <w:vAlign w:val="top"/>
          </w:tcPr>
          <w:p>
            <w:pPr>
              <w:shd w:fill="7F1D1D" w:val="clear"/>
              <w:spacing w:before="80" w:after="80"/>
            </w:pPr>
            <w:r>
              <w:rPr>
                <w:rFonts w:ascii="Arial" w:cs="Arial" w:eastAsia="Arial" w:hAnsi="Arial"/>
                <w:b/>
                <w:bCs/>
                <w:color w:val="FFFFFF"/>
                <w:sz w:val="20"/>
                <w:szCs w:val="20"/>
              </w:rPr>
              <w:t xml:space="preserve">TIPOLOGIAS DE LAVADO</w:t>
            </w:r>
          </w:p>
          <w:p>
            <w:pPr>
              <w:pStyle w:val="ListParagraph"/>
              <w:numPr>
                <w:ilvl w:val="0"/>
                <w:numId w:val="2"/>
              </w:numPr>
              <w:spacing w:before="30" w:after="30"/>
            </w:pPr>
            <w:r>
              <w:rPr>
                <w:rFonts w:ascii="Arial" w:cs="Arial" w:eastAsia="Arial" w:hAnsi="Arial"/>
                <w:color w:val="1A1A1A"/>
                <w:sz w:val="19"/>
                <w:szCs w:val="19"/>
              </w:rPr>
              <w:t xml:space="preserve">Smurfing vehicular: fraccionamiento del pago en abonos menores al umbral de identificación, con múltiples personas.</w:t>
            </w:r>
          </w:p>
          <w:p>
            <w:pPr>
              <w:pStyle w:val="ListParagraph"/>
              <w:numPr>
                <w:ilvl w:val="0"/>
                <w:numId w:val="2"/>
              </w:numPr>
              <w:spacing w:before="30" w:after="30"/>
            </w:pPr>
            <w:r>
              <w:rPr>
                <w:rFonts w:ascii="Arial" w:cs="Arial" w:eastAsia="Arial" w:hAnsi="Arial"/>
                <w:color w:val="1A1A1A"/>
                <w:sz w:val="19"/>
                <w:szCs w:val="19"/>
              </w:rPr>
              <w:t xml:space="preserve">Testaferros: el vehículo se compra a nombre de una persona de bajos recursos sin capacidad económica real.</w:t>
            </w:r>
          </w:p>
          <w:p>
            <w:pPr>
              <w:pStyle w:val="ListParagraph"/>
              <w:numPr>
                <w:ilvl w:val="0"/>
                <w:numId w:val="2"/>
              </w:numPr>
              <w:spacing w:before="30" w:after="30"/>
            </w:pPr>
            <w:r>
              <w:rPr>
                <w:rFonts w:ascii="Arial" w:cs="Arial" w:eastAsia="Arial" w:hAnsi="Arial"/>
                <w:color w:val="1A1A1A"/>
                <w:sz w:val="19"/>
                <w:szCs w:val="19"/>
              </w:rPr>
              <w:t xml:space="preserve">Flip rápido: compra y reventa inmediata del vehículo para justificar la ganancia como ingreso legítimo.</w:t>
            </w:r>
          </w:p>
          <w:p>
            <w:pPr>
              <w:pStyle w:val="ListParagraph"/>
              <w:numPr>
                <w:ilvl w:val="0"/>
                <w:numId w:val="2"/>
              </w:numPr>
              <w:spacing w:before="30" w:after="30"/>
            </w:pPr>
            <w:r>
              <w:rPr>
                <w:rFonts w:ascii="Arial" w:cs="Arial" w:eastAsia="Arial" w:hAnsi="Arial"/>
                <w:color w:val="1A1A1A"/>
                <w:sz w:val="19"/>
                <w:szCs w:val="19"/>
              </w:rPr>
              <w:t xml:space="preserve">Personas morales pantalla: empresa creada exclusivamente para comprar vehículos que luego usa el verdadero beneficiario.</w:t>
            </w:r>
          </w:p>
          <w:p>
            <w:pPr>
              <w:pStyle w:val="ListParagraph"/>
              <w:numPr>
                <w:ilvl w:val="0"/>
                <w:numId w:val="2"/>
              </w:numPr>
              <w:spacing w:before="30" w:after="30"/>
            </w:pPr>
            <w:r>
              <w:rPr>
                <w:rFonts w:ascii="Arial" w:cs="Arial" w:eastAsia="Arial" w:hAnsi="Arial"/>
                <w:color w:val="1A1A1A"/>
                <w:sz w:val="19"/>
                <w:szCs w:val="19"/>
              </w:rPr>
              <w:t xml:space="preserve">Intercambio por trueque encubierto: autos entregados como pago de deudas ilícitas, con contratos de compraventa ficticios.</w:t>
            </w:r>
          </w:p>
          <w:p>
            <w:pPr>
              <w:pStyle w:val="ListParagraph"/>
              <w:numPr>
                <w:ilvl w:val="0"/>
                <w:numId w:val="2"/>
              </w:numPr>
              <w:spacing w:before="30" w:after="30"/>
            </w:pPr>
            <w:r>
              <w:rPr>
                <w:rFonts w:ascii="Arial" w:cs="Arial" w:eastAsia="Arial" w:hAnsi="Arial"/>
                <w:color w:val="1A1A1A"/>
                <w:sz w:val="19"/>
                <w:szCs w:val="19"/>
              </w:rPr>
              <w:t xml:space="preserve">Uso de comisionistas o intermediarios que pagan en nombre del comprador real sin identificación.</w:t>
            </w:r>
          </w:p>
        </w:tc>
      </w:tr>
    </w:tbl>
    <w:p>
      <w:pPr>
        <w:spacing w:before="0" w:after="100"/>
      </w:pPr>
      <w:r>
        <w:t xml:space="preserve"/>
      </w:r>
    </w:p>
    <w:p>
      <w:pPr>
        <w:spacing w:before="200" w:after="80"/>
      </w:pPr>
      <w:r>
        <w:rPr>
          <w:rFonts w:ascii="Arial" w:cs="Arial" w:eastAsia="Arial" w:hAnsi="Arial"/>
          <w:b/>
          <w:bCs/>
          <w:color w:val="1C3557"/>
          <w:sz w:val="23"/>
          <w:szCs w:val="23"/>
        </w:rPr>
        <w:t xml:space="preserve">Umbrales verificados — Art. 17, Fracc. VIII y Art. 32 LFPIORPI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60"/>
        <w:gridCol w:w="2400"/>
      </w:tblGrid>
      <w:tr>
        <w:trPr>
          <w:tblHeader/>
        </w:trPr>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UMBRAL EN UMA</w:t>
            </w:r>
          </w:p>
        </w:tc>
        <w:tc>
          <w:tcPr>
            <w:tcW w:type="dxa" w:w="29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EQUIVALENTE EN PESOS (UMA 2026 = $117.31)</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OBSERVACIÓN</w:t>
            </w:r>
          </w:p>
        </w:tc>
      </w:tr>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D97706"/>
                <w:sz w:val="20"/>
                <w:szCs w:val="20"/>
              </w:rPr>
              <w:t xml:space="preserve">Identificación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 3,210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$376,565.10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Desde este monto, toda venta activa las obligaciones de identificación del Art. 18, Fracc. I, II y III.</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392B"/>
                <w:sz w:val="20"/>
                <w:szCs w:val="20"/>
              </w:rPr>
              <w:t xml:space="preserve">Aviso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 6,420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$753,130.20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Se presenta aviso ante la SHCP a más tardar el día 17 del mes siguiente a la operación.</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0000"/>
                <w:sz w:val="20"/>
                <w:szCs w:val="20"/>
              </w:rPr>
              <w:t xml:space="preserve">Prohibición efectivo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 3,210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$376,565.10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Art. 32, Fracc. III. Aplica a vehículos nuevos o usados, aéreos, marítimos o terrestres.</w:t>
            </w:r>
          </w:p>
        </w:tc>
      </w:tr>
      <w:tr>
        <w:tc>
          <w:tcPr>
            <w:tcW w:type="dxa" w:w="20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b/>
                <w:bCs/>
                <w:color w:val="0E7490"/>
                <w:sz w:val="20"/>
                <w:szCs w:val="20"/>
              </w:rPr>
              <w:t xml:space="preserve">Acumulación 6 meses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Suma ≥ umbral aviso</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Acumulado que supere 6,420 UMA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Art. 17 penúltimo párrafo. Operaciones menores al umbral de aviso se acumulan en 6 meses.</w:t>
            </w:r>
          </w:p>
        </w:tc>
      </w:tr>
    </w:tbl>
    <w:p>
      <w:pPr>
        <w:spacing w:before="0" w:after="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PROHIBICIÓN ABSOLUTA: ningún vehículo con valor igual o superior a $376,565.10 puede pagarse en efectivo. Si el cliente llega con billetes por ese monto, la venta DEBE rechazarse. Aceptar el pago es una infracción directa al Art. 32, independientemente de si se presenta el aviso.</w:t>
      </w:r>
    </w:p>
    <w:p>
      <w:pPr>
        <w:spacing w:before="0" w:after="100"/>
      </w:pPr>
      <w:r>
        <w:t xml:space="preserve"/>
      </w:r>
    </w:p>
    <w:p>
      <w:pPr>
        <w:pStyle w:val="Heading2"/>
        <w:pBdr>
          <w:bottom w:val="single" w:color="0E7490" w:sz="4" w:space="1"/>
        </w:pBdr>
        <w:spacing w:before="280" w:after="120"/>
      </w:pPr>
      <w:r>
        <w:rPr>
          <w:rFonts w:ascii="Arial" w:cs="Arial" w:eastAsia="Arial" w:hAnsi="Arial"/>
          <w:b/>
          <w:bCs/>
          <w:color w:val="0E7490"/>
          <w:sz w:val="26"/>
          <w:szCs w:val="26"/>
        </w:rPr>
        <w:t xml:space="preserve">Casos prácticos — ÁBACO y DINAMO</w:t>
      </w:r>
    </w:p>
    <w:p>
      <w:pPr>
        <w:spacing w:before="200" w:after="80"/>
      </w:pPr>
      <w:r>
        <w:rPr>
          <w:rFonts w:ascii="Arial" w:cs="Arial" w:eastAsia="Arial" w:hAnsi="Arial"/>
          <w:b/>
          <w:bCs/>
          <w:color w:val="1C3557"/>
          <w:sz w:val="23"/>
          <w:szCs w:val="23"/>
        </w:rPr>
        <w:t xml:space="preserve">¿Qué supuestos activan las obligaciones?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SUPUESTO</w:t>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ÁBACO (AUTOS)</w:t>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DINAMO (MOTOS)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Valor ≥ 3,210 UMA ($363,179)</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Venta de automóvil nuevo o seminuevo con precio de lista ≥ $363,180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Venta de motocicleta nueva o usada ≥ $363,180 (aplica a vehículos terrestres)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Valor ≥ 6,420 UMA ($726,359)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Venta de camioneta, SUV o auto de lujo a ese precio o superior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Venta de moto de alta gama o conjunto de motos a ese monto acumulado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Pago en efectivo prohibido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Cualquier pago en efectivo ≥ $363,180, sin importar el método de pago del resto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Igual aplica para el pago de cualquier moto o combo de motos a ese precio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Acumulación 6 meses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Cliente que compra 2 autos de $200K c/u en 4 meses: acumulado $400K → aviso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Cliente que compra motos en tres visitas: si suma supera $726K en 6 meses → aviso</w:t>
            </w:r>
          </w:p>
        </w:tc>
      </w:tr>
    </w:tbl>
    <w:p>
      <w:pPr>
        <w:spacing w:before="0" w:after="100"/>
      </w:pPr>
      <w:r>
        <w:t xml:space="preserve"/>
      </w:r>
    </w:p>
    <w:p>
      <w:pPr>
        <w:spacing w:before="200" w:after="80"/>
      </w:pPr>
      <w:r>
        <w:rPr>
          <w:rFonts w:ascii="Arial" w:cs="Arial" w:eastAsia="Arial" w:hAnsi="Arial"/>
          <w:b/>
          <w:bCs/>
          <w:color w:val="1C3557"/>
          <w:sz w:val="23"/>
          <w:szCs w:val="23"/>
        </w:rPr>
        <w:t xml:space="preserve">Protocolo de identificación — paso a paso para ÁBACO y DINAMO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80"/>
        <w:gridCol w:w="5280"/>
      </w:tblGrid>
      <w:tr>
        <w:trPr>
          <w:tblHeader/>
        </w:trPr>
        <w:tc>
          <w:tcPr>
            <w:tcW w:type="dxa" w:w="60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PASO</w:t>
            </w:r>
          </w:p>
        </w:tc>
        <w:tc>
          <w:tcPr>
            <w:tcW w:type="dxa" w:w="348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ACCIÓN</w:t>
            </w:r>
          </w:p>
        </w:tc>
        <w:tc>
          <w:tcPr>
            <w:tcW w:type="dxa" w:w="528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DOCUMENTOS / EVIDENCIA</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1</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Determinar si el precio del vehículo ≥ 3,210 UMA ($376,565.10)</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Cotización o contrato con precio de venta visible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Identificar directamente al comprador (Art. 18, Fracc. I)</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INE/IFE vigente o pasaporte + COPIA en expediente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3</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¿Es persona moral o fideicomiso?</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Si sí → Acta constitutiva, poderes, identificación del BC (Art. 18, Fracc. III)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¿Hay relación de negocios habitual?</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Si sí → solicitar RFC y giro económico (Art. 18, Fracc. II)</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5</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Identificar al BC del comprador si es persona moral (Art. 18, Fracc. III)</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Documentos que acrediten quién tiene &gt;25% del capital o control efectivo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Verificar la forma de pago: ¿hay efectivo?</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Si el precio ≥ 3,210 UMA → NO puede pagarse en efectivo. Rechazar si es el caso.</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7</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¿El precio ≥ 6,420 UMA? → preparar aviso</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Llenar formato oficial y presentar a más tardar el día 17 del mes siguiente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¿Hay sospecha aunque no se supere el umbral?</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Aviso por sospecha en 24 horas (Art. 18, Fracc. VI)</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9</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Guardar todo en expediente por 10 años (Art. 18, Fracc. IV)</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Contrato de compraventa, copias de IDs, forma de pago, análisis de riesgo</w:t>
            </w:r>
          </w:p>
        </w:tc>
      </w:tr>
    </w:tbl>
    <w:p>
      <w:pPr>
        <w:spacing w:before="0" w:after="100"/>
      </w:pPr>
      <w:r>
        <w:t xml:space="preserve"/>
      </w:r>
    </w:p>
    <w:p>
      <w:pPr>
        <w:spacing w:before="200" w:after="80"/>
      </w:pPr>
      <w:r>
        <w:rPr>
          <w:rFonts w:ascii="Arial" w:cs="Arial" w:eastAsia="Arial" w:hAnsi="Arial"/>
          <w:b/>
          <w:bCs/>
          <w:color w:val="1C3557"/>
          <w:sz w:val="23"/>
          <w:szCs w:val="23"/>
        </w:rPr>
        <w:t xml:space="preserve">Señales de alerta específicas para venta de vehículos</w:t>
      </w:r>
    </w:p>
    <w:p>
      <w:pPr>
        <w:spacing w:before="60" w:after="80"/>
      </w:pPr>
      <w:r>
        <w:rPr>
          <w:rFonts w:ascii="Arial" w:cs="Arial" w:eastAsia="Arial" w:hAnsi="Arial"/>
          <w:color w:val="222222"/>
          <w:sz w:val="22"/>
          <w:szCs w:val="22"/>
        </w:rPr>
        <w:t xml:space="preserve">Las siguientes situaciones deben activar el protocolo de aviso por sospecha (24 horas, Art. 18 Fracc. VI) aunque no se supere el umbral de aviso ordinario:</w:t>
      </w:r>
    </w:p>
    <w:p>
      <w:pPr>
        <w:pStyle w:val="ListParagraph"/>
        <w:numPr>
          <w:ilvl w:val="0"/>
          <w:numId w:val="2"/>
        </w:numPr>
        <w:spacing w:before="40" w:after="40"/>
      </w:pPr>
      <w:r>
        <w:rPr>
          <w:rFonts w:ascii="Arial" w:cs="Arial" w:eastAsia="Arial" w:hAnsi="Arial"/>
          <w:color w:val="222222"/>
          <w:sz w:val="22"/>
          <w:szCs w:val="22"/>
        </w:rPr>
        <w:t xml:space="preserve">Cliente paga en efectivo aunque el precio esté por debajo del umbral, de manera recurrente.</w:t>
      </w:r>
    </w:p>
    <w:p>
      <w:pPr>
        <w:pStyle w:val="ListParagraph"/>
        <w:numPr>
          <w:ilvl w:val="0"/>
          <w:numId w:val="2"/>
        </w:numPr>
        <w:spacing w:before="40" w:after="40"/>
      </w:pPr>
      <w:r>
        <w:rPr>
          <w:rFonts w:ascii="Arial" w:cs="Arial" w:eastAsia="Arial" w:hAnsi="Arial"/>
          <w:color w:val="222222"/>
          <w:sz w:val="22"/>
          <w:szCs w:val="22"/>
        </w:rPr>
        <w:t xml:space="preserve">Cliente solicita fraccionar el pago en varios abonos menores al umbral de identificación (smurfing o fraccionamiento).</w:t>
      </w:r>
    </w:p>
    <w:p>
      <w:pPr>
        <w:pStyle w:val="ListParagraph"/>
        <w:numPr>
          <w:ilvl w:val="0"/>
          <w:numId w:val="2"/>
        </w:numPr>
        <w:spacing w:before="40" w:after="40"/>
      </w:pPr>
      <w:r>
        <w:rPr>
          <w:rFonts w:ascii="Arial" w:cs="Arial" w:eastAsia="Arial" w:hAnsi="Arial"/>
          <w:color w:val="222222"/>
          <w:sz w:val="22"/>
          <w:szCs w:val="22"/>
        </w:rPr>
        <w:t xml:space="preserve">El comprador no puede explicar el origen de los recursos utilizados para la compra.</w:t>
      </w:r>
    </w:p>
    <w:p>
      <w:pPr>
        <w:pStyle w:val="ListParagraph"/>
        <w:numPr>
          <w:ilvl w:val="0"/>
          <w:numId w:val="2"/>
        </w:numPr>
        <w:spacing w:before="40" w:after="40"/>
      </w:pPr>
      <w:r>
        <w:rPr>
          <w:rFonts w:ascii="Arial" w:cs="Arial" w:eastAsia="Arial" w:hAnsi="Arial"/>
          <w:color w:val="222222"/>
          <w:sz w:val="22"/>
          <w:szCs w:val="22"/>
        </w:rPr>
        <w:t xml:space="preserve">El vehículo se compra a nombre de una persona moral recién constituida, con capital mínimo, que no tiene actividad económica aparente relacionada con el vehículo.</w:t>
      </w:r>
    </w:p>
    <w:p>
      <w:pPr>
        <w:pStyle w:val="ListParagraph"/>
        <w:numPr>
          <w:ilvl w:val="0"/>
          <w:numId w:val="2"/>
        </w:numPr>
        <w:spacing w:before="40" w:after="40"/>
      </w:pPr>
      <w:r>
        <w:rPr>
          <w:rFonts w:ascii="Arial" w:cs="Arial" w:eastAsia="Arial" w:hAnsi="Arial"/>
          <w:color w:val="222222"/>
          <w:sz w:val="22"/>
          <w:szCs w:val="22"/>
        </w:rPr>
        <w:t xml:space="preserve">El comprador solicita que la factura se expida a nombre de un tercero distinto al que paga.</w:t>
      </w:r>
    </w:p>
    <w:p>
      <w:pPr>
        <w:pStyle w:val="ListParagraph"/>
        <w:numPr>
          <w:ilvl w:val="0"/>
          <w:numId w:val="2"/>
        </w:numPr>
        <w:spacing w:before="40" w:after="40"/>
      </w:pPr>
      <w:r>
        <w:rPr>
          <w:rFonts w:ascii="Arial" w:cs="Arial" w:eastAsia="Arial" w:hAnsi="Arial"/>
          <w:color w:val="222222"/>
          <w:sz w:val="22"/>
          <w:szCs w:val="22"/>
        </w:rPr>
        <w:t xml:space="preserve">El comprador es una PPE o está relacionado con una PPE, y el vehículo es de gama alta.</w:t>
      </w:r>
    </w:p>
    <w:p>
      <w:pPr>
        <w:pStyle w:val="ListParagraph"/>
        <w:numPr>
          <w:ilvl w:val="0"/>
          <w:numId w:val="2"/>
        </w:numPr>
        <w:spacing w:before="40" w:after="40"/>
      </w:pPr>
      <w:r>
        <w:rPr>
          <w:rFonts w:ascii="Arial" w:cs="Arial" w:eastAsia="Arial" w:hAnsi="Arial"/>
          <w:color w:val="222222"/>
          <w:sz w:val="22"/>
          <w:szCs w:val="22"/>
        </w:rPr>
        <w:t xml:space="preserve">El vehículo se paga con múltiples transferencias de distintas cuentas o personas en el mismo día.</w:t>
      </w:r>
    </w:p>
    <w:p>
      <w:pPr>
        <w:pStyle w:val="ListParagraph"/>
        <w:numPr>
          <w:ilvl w:val="0"/>
          <w:numId w:val="2"/>
        </w:numPr>
        <w:spacing w:before="40" w:after="40"/>
      </w:pPr>
      <w:r>
        <w:rPr>
          <w:rFonts w:ascii="Arial" w:cs="Arial" w:eastAsia="Arial" w:hAnsi="Arial"/>
          <w:color w:val="222222"/>
          <w:sz w:val="22"/>
          <w:szCs w:val="22"/>
        </w:rPr>
        <w:t xml:space="preserve">El cliente muestra nerviosismo, evita identificarse o proporciona documentos con inconsistencias.</w:t>
      </w:r>
    </w:p>
    <w:p>
      <w:pPr>
        <w:pStyle w:val="ListParagraph"/>
        <w:numPr>
          <w:ilvl w:val="0"/>
          <w:numId w:val="2"/>
        </w:numPr>
        <w:spacing w:before="40" w:after="40"/>
      </w:pPr>
      <w:r>
        <w:rPr>
          <w:rFonts w:ascii="Arial" w:cs="Arial" w:eastAsia="Arial" w:hAnsi="Arial"/>
          <w:color w:val="222222"/>
          <w:sz w:val="22"/>
          <w:szCs w:val="22"/>
        </w:rPr>
        <w:t xml:space="preserve">El cliente solicita que se omita parte del precio en la factura o propone precio diferente al de lista.</w:t>
      </w:r>
    </w:p>
    <w:p>
      <w:pPr>
        <w:spacing w:before="0" w:after="100"/>
      </w:pPr>
      <w:r>
        <w:t xml:space="preserve"/>
      </w:r>
    </w:p>
    <w:p>
      <w:pPr>
        <w:spacing w:before="200" w:after="80"/>
      </w:pPr>
      <w:r>
        <w:rPr>
          <w:rFonts w:ascii="Arial" w:cs="Arial" w:eastAsia="Arial" w:hAnsi="Arial"/>
          <w:b/>
          <w:bCs/>
          <w:color w:val="1C3557"/>
          <w:sz w:val="23"/>
          <w:szCs w:val="23"/>
        </w:rPr>
        <w:t xml:space="preserve">Obligaciones Art. 18 que se detonan para ÁBACO y DINAMO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FRACC.</w:t>
            </w:r>
          </w:p>
        </w:tc>
        <w:tc>
          <w:tcPr>
            <w:tcW w:type="dxa" w:w="456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OBLIGACIÓN</w:t>
            </w:r>
          </w:p>
        </w:tc>
        <w:tc>
          <w:tcPr>
            <w:tcW w:type="dxa" w:w="360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CÓMO APLICA EN VENTA DE VEHÍCULOS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Identificación directa</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Verificar personalmente al comprador con documento oficial vigente + copia en expediente.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Actividad económica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Si el comprador es cliente habitual de la agencia, solicitar RFC y declarar giro económico.</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III</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Identificación BC</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Si compra una empresa: documentar quién es el accionista con &gt;25% o quien ejerce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Custodia 10 años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Expediente completo (contrato, IDs, forma de pago, análisis) por 10 años.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IV Bis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Padrón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ÁBACO y DINAMO deben estar dadas de alta en el Padrón de Actividades Vulnerables ante la SHCP.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Avisos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Aviso ordinario: ≥ $726,359. Aviso por sospecha: 24 hrs desde que surge la alerta.</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VII</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EBR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Evaluar el riesgo propio de la actividad de venta de autos/motos y el riesgo de cada cliente.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VIII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Manual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El Manual debe contener criterios específicos para la venta de vehículos, incluyendo PPE.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IX</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Capacitación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El personal de piso de ventas que tiene contacto directo con compradores debe ser capacitado.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Monitoreo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Sistema que detecte compras acumuladas, operaciones fuera de perfil y seguimiento a PPE.</w:t>
            </w:r>
          </w:p>
        </w:tc>
      </w:tr>
    </w:tbl>
    <w:p>
      <w:pPr>
        <w:spacing w:before="0" w:after="100"/>
      </w:pPr>
      <w:r>
        <w:t xml:space="preserve"/>
      </w:r>
    </w:p>
    <w:p>
      <w:pPr>
        <w:spacing w:before="200" w:after="80"/>
      </w:pPr>
      <w:r>
        <w:rPr>
          <w:rFonts w:ascii="Arial" w:cs="Arial" w:eastAsia="Arial" w:hAnsi="Arial"/>
          <w:b/>
          <w:bCs/>
          <w:color w:val="1C3557"/>
          <w:sz w:val="23"/>
          <w:szCs w:val="23"/>
        </w:rPr>
        <w:t xml:space="preserve">Casos ilustrativos con ÁBACO y DINAMO</w:t>
      </w:r>
    </w:p>
    <w:p>
      <w:pPr>
        <w:pBdr>
          <w:left w:val="single" w:color="0E7490" w:sz="14" w:space="8"/>
        </w:pBdr>
        <w:shd w:fill="F0FFF4" w:val="clear"/>
        <w:spacing w:before="100" w:after="100"/>
        <w:ind w:left="200" w:right="200"/>
      </w:pPr>
      <w:r>
        <w:rPr>
          <w:rFonts w:ascii="Arial" w:cs="Arial" w:eastAsia="Arial" w:hAnsi="Arial"/>
          <w:b/>
          <w:bCs/>
          <w:color w:val="0D2137"/>
          <w:sz w:val="21"/>
          <w:szCs w:val="21"/>
        </w:rPr>
        <w:t xml:space="preserve">📋  ÁBACO — Caso 1 (aviso ordinario): </w:t>
      </w:r>
      <w:r>
        <w:rPr>
          <w:rFonts w:ascii="Arial" w:cs="Arial" w:eastAsia="Arial" w:hAnsi="Arial"/>
          <w:color w:val="222222"/>
          <w:sz w:val="21"/>
          <w:szCs w:val="21"/>
        </w:rPr>
        <w:t xml:space="preserve">Un cliente persona física compra una SUV en $820,000. Paga con transferencia bancaria. El precio supera los $726,358 (6,420 UMA). ÁBACO debe: (1) identificar directamente al cliente, (2) verificar que no haya efectivo, (3) presentar aviso ante la SHCP a más tardar el día 17 del siguiente mes.</w:t>
      </w:r>
    </w:p>
    <w:p>
      <w:pPr>
        <w:spacing w:before="0" w:after="0"/>
      </w:pPr>
      <w:r>
        <w:t xml:space="preserve"/>
      </w:r>
    </w:p>
    <w:p>
      <w:pPr>
        <w:pBdr>
          <w:left w:val="single" w:color="0E7490" w:sz="14" w:space="8"/>
        </w:pBdr>
        <w:shd w:fill="F0FFF4" w:val="clear"/>
        <w:spacing w:before="100" w:after="100"/>
        <w:ind w:left="200" w:right="200"/>
      </w:pPr>
      <w:r>
        <w:rPr>
          <w:rFonts w:ascii="Arial" w:cs="Arial" w:eastAsia="Arial" w:hAnsi="Arial"/>
          <w:b/>
          <w:bCs/>
          <w:color w:val="0D2137"/>
          <w:sz w:val="21"/>
          <w:szCs w:val="21"/>
        </w:rPr>
        <w:t xml:space="preserve">📋  ÁBACO — Caso 2 (acumulación): </w:t>
      </w:r>
      <w:r>
        <w:rPr>
          <w:rFonts w:ascii="Arial" w:cs="Arial" w:eastAsia="Arial" w:hAnsi="Arial"/>
          <w:color w:val="222222"/>
          <w:sz w:val="21"/>
          <w:szCs w:val="21"/>
        </w:rPr>
        <w:t xml:space="preserve">Empresa constructora compra 3 camionetas de $250,000 cada una en 4 meses (total $750,000). Individualmente ninguna supera el umbral de aviso, pero acumuladas en 6 meses superan los $726,358. ÁBACO debe presentar aviso y documentar la acumulación en su sistema de monitoreo.</w:t>
      </w:r>
    </w:p>
    <w:p>
      <w:pPr>
        <w:spacing w:before="0" w:after="0"/>
      </w:pPr>
      <w:r>
        <w:t xml:space="preserve"/>
      </w:r>
    </w:p>
    <w:p>
      <w:pPr>
        <w:pBdr>
          <w:left w:val="single" w:color="0E7490" w:sz="14" w:space="8"/>
        </w:pBdr>
        <w:shd w:fill="FFF0F0" w:val="clear"/>
        <w:spacing w:before="100" w:after="100"/>
        <w:ind w:left="200" w:right="200"/>
      </w:pPr>
      <w:r>
        <w:rPr>
          <w:rFonts w:ascii="Arial" w:cs="Arial" w:eastAsia="Arial" w:hAnsi="Arial"/>
          <w:b/>
          <w:bCs/>
          <w:color w:val="0D2137"/>
          <w:sz w:val="21"/>
          <w:szCs w:val="21"/>
        </w:rPr>
        <w:t xml:space="preserve">📋  DINAMO — Caso 3 (sospecha + rechazo de efectivo): </w:t>
      </w:r>
      <w:r>
        <w:rPr>
          <w:rFonts w:ascii="Arial" w:cs="Arial" w:eastAsia="Arial" w:hAnsi="Arial"/>
          <w:color w:val="222222"/>
          <w:sz w:val="21"/>
          <w:szCs w:val="21"/>
        </w:rPr>
        <w:t xml:space="preserve">Un cliente llega a DINAMO y quiere comprar 4 motocicletas por $100,000 c/u ($400,000 total). Ofrece pagar en efectivo. El total supera el umbral de prohibición ($363,179). DINAMO DEBE rechazar el efectivo. Si el cliente insiste o abandona la compra, DINAMO debe presentar aviso por sospecha en 24 horas aunque la operación no se haya celebrado.</w:t>
      </w:r>
    </w:p>
    <w:p>
      <w:pPr>
        <w:spacing w:before="0" w:after="0"/>
      </w:pPr>
      <w:r>
        <w:t xml:space="preserve"/>
      </w:r>
    </w:p>
    <w:p>
      <w:pPr>
        <w:pBdr>
          <w:left w:val="single" w:color="0E7490" w:sz="14" w:space="8"/>
        </w:pBdr>
        <w:shd w:fill="FFF7ED" w:val="clear"/>
        <w:spacing w:before="100" w:after="100"/>
        <w:ind w:left="200" w:right="200"/>
      </w:pPr>
      <w:r>
        <w:rPr>
          <w:rFonts w:ascii="Arial" w:cs="Arial" w:eastAsia="Arial" w:hAnsi="Arial"/>
          <w:b/>
          <w:bCs/>
          <w:color w:val="0D2137"/>
          <w:sz w:val="21"/>
          <w:szCs w:val="21"/>
        </w:rPr>
        <w:t xml:space="preserve">📋  ÁBACO — Caso 4 (PPE): </w:t>
      </w:r>
      <w:r>
        <w:rPr>
          <w:rFonts w:ascii="Arial" w:cs="Arial" w:eastAsia="Arial" w:hAnsi="Arial"/>
          <w:color w:val="222222"/>
          <w:sz w:val="21"/>
          <w:szCs w:val="21"/>
        </w:rPr>
        <w:t xml:space="preserve">El gerente de ventas reconoce que el comprador es un funcionario público municipal. El precio del vehículo es de $450,000. Al ser PPE, ÁBACO debe aplicar seguimiento intensificado: diligencia debida reforzada, fuente del patrimonio, aprobación de la operación por el nivel directivo, y documentación ampliada en el expediente.</w:t>
      </w:r>
    </w:p>
    <w:p>
      <w:pPr>
        <w:spacing w:before="0" w:after="100"/>
      </w:pPr>
      <w:r>
        <w:t xml:space="preserve"/>
      </w:r>
    </w:p>
    <w:p>
      <w:pPr>
        <w:pStyle w:val="Heading1"/>
        <w:shd w:fill="1C3557" w:val="clear"/>
        <w:spacing w:before="360" w:after="160"/>
        <w:ind w:left="200" w:right="200"/>
      </w:pPr>
      <w:r>
        <w:rPr>
          <w:rFonts w:ascii="Arial" w:cs="Arial" w:eastAsia="Arial" w:hAnsi="Arial"/>
          <w:b/>
          <w:bCs/>
          <w:color w:val="FFFFFF"/>
          <w:sz w:val="30"/>
          <w:szCs w:val="30"/>
        </w:rPr>
        <w:t xml:space="preserve">FRACCIÓN V — CONSTRUCCIÓN, DESARROLLO E INTERMEDIACIÓN DE INMUEBLES</w:t>
      </w:r>
    </w:p>
    <w:p>
      <w:pPr>
        <w:pBdr>
          <w:left w:val="single" w:color="9CA3AF" w:sz="10" w:space="8"/>
        </w:pBdr>
        <w:shd w:fill="F3F4F6" w:val="clear"/>
        <w:spacing w:before="80" w:after="80"/>
        <w:ind w:left="200" w:right="200"/>
      </w:pPr>
      <w:r>
        <w:rPr>
          <w:rFonts w:ascii="Arial" w:cs="Arial" w:eastAsia="Arial" w:hAnsi="Arial"/>
          <w:i/>
          <w:iCs/>
          <w:color w:val="374151"/>
          <w:sz w:val="20"/>
          <w:szCs w:val="20"/>
        </w:rPr>
        <w:t xml:space="preserve">🌐  CONTEXTO GENERAL:  Esta fracción no aplica directamente a ninguna empresa del grupo Peredo. Se incluye como referencia técnica por ser una de las actividades vulnerables más comunes en el mercado y por su interacción con Frac. V Bis.</w:t>
      </w:r>
    </w:p>
    <w:p>
      <w:pPr>
        <w:spacing w:before="0" w:after="0"/>
      </w:pPr>
      <w:r>
        <w:t xml:space="preserve"/>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 realización habitual o profesional de actividades de construcción o desarrollo de bienes inmuebles, así como de intermediación en la transmisión de la propiedad o constitución de derechos sobre dichos bienes, en los que se involucren operaciones de compra o venta de los propios bienes. Serán objeto de Aviso ante la Secretaría cuando el acto u operación sea por una cantidad igual o superior al equivalente a ocho mil veinticinco veces el valor diario de la UMA."</w:t>
      </w:r>
      <w:r>
        <w:rPr>
          <w:rFonts w:ascii="Arial" w:cs="Arial" w:eastAsia="Arial" w:hAnsi="Arial"/>
          <w:color w:val="666666"/>
          <w:sz w:val="18"/>
          <w:szCs w:val="18"/>
        </w:rPr>
        <w:t xml:space="preserve">  —  Art. 17, Fracc. V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¿Quién queda obligado?</w:t>
      </w:r>
    </w:p>
    <w:p>
      <w:pPr>
        <w:pStyle w:val="ListParagraph"/>
        <w:numPr>
          <w:ilvl w:val="0"/>
          <w:numId w:val="2"/>
        </w:numPr>
        <w:spacing w:before="40" w:after="40"/>
      </w:pPr>
      <w:r>
        <w:rPr>
          <w:rFonts w:ascii="Arial" w:cs="Arial" w:eastAsia="Arial" w:hAnsi="Arial"/>
          <w:color w:val="222222"/>
          <w:sz w:val="22"/>
          <w:szCs w:val="22"/>
        </w:rPr>
        <w:t xml:space="preserve">Constructoras que venden unidades habitaciales, locales o desarrollos propios.</w:t>
      </w:r>
    </w:p>
    <w:p>
      <w:pPr>
        <w:pStyle w:val="ListParagraph"/>
        <w:numPr>
          <w:ilvl w:val="0"/>
          <w:numId w:val="2"/>
        </w:numPr>
        <w:spacing w:before="40" w:after="40"/>
      </w:pPr>
      <w:r>
        <w:rPr>
          <w:rFonts w:ascii="Arial" w:cs="Arial" w:eastAsia="Arial" w:hAnsi="Arial"/>
          <w:color w:val="222222"/>
          <w:sz w:val="22"/>
          <w:szCs w:val="22"/>
        </w:rPr>
        <w:t xml:space="preserve">Desarrolladoras que comercializan inmuebles que construyeron.</w:t>
      </w:r>
    </w:p>
    <w:p>
      <w:pPr>
        <w:pStyle w:val="ListParagraph"/>
        <w:numPr>
          <w:ilvl w:val="0"/>
          <w:numId w:val="2"/>
        </w:numPr>
        <w:spacing w:before="40" w:after="40"/>
      </w:pPr>
      <w:r>
        <w:rPr>
          <w:rFonts w:ascii="Arial" w:cs="Arial" w:eastAsia="Arial" w:hAnsi="Arial"/>
          <w:color w:val="222222"/>
          <w:sz w:val="22"/>
          <w:szCs w:val="22"/>
        </w:rPr>
        <w:t xml:space="preserve">Inmobiliarias e intermediarias (agentes, corredores) que participan en la compraventa.</w:t>
      </w:r>
    </w:p>
    <w:p>
      <w:pPr>
        <w:pStyle w:val="ListParagraph"/>
        <w:numPr>
          <w:ilvl w:val="0"/>
          <w:numId w:val="2"/>
        </w:numPr>
        <w:spacing w:before="40" w:after="40"/>
      </w:pPr>
      <w:r>
        <w:rPr>
          <w:rFonts w:ascii="Arial" w:cs="Arial" w:eastAsia="Arial" w:hAnsi="Arial"/>
          <w:color w:val="222222"/>
          <w:sz w:val="22"/>
          <w:szCs w:val="22"/>
        </w:rPr>
        <w:t xml:space="preserve">Quien actúe como intermediario en la constitución de derechos reales sobre bienes inmuebles.</w:t>
      </w:r>
    </w:p>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No se limita a la venta final. Si una constructora actúa también como intermediaria de propiedades de terceros, ambas actividades quedan cubiertas por la Fracc. V.</w:t>
      </w:r>
    </w:p>
    <w:p>
      <w:pPr>
        <w:spacing w:before="0" w:after="0"/>
      </w:pPr>
      <w:r>
        <w:t xml:space="preserve"/>
      </w:r>
    </w:p>
    <w:p>
      <w:pPr>
        <w:spacing w:before="200" w:after="80"/>
      </w:pPr>
      <w:r>
        <w:rPr>
          <w:rFonts w:ascii="Arial" w:cs="Arial" w:eastAsia="Arial" w:hAnsi="Arial"/>
          <w:b/>
          <w:bCs/>
          <w:color w:val="1C3557"/>
          <w:sz w:val="23"/>
          <w:szCs w:val="23"/>
        </w:rPr>
        <w:t xml:space="preserve">Perfil de riesgo de esta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RIESGO INHERENTE</w:t>
            </w:r>
          </w:p>
          <w:p>
            <w:pPr>
              <w:jc w:val="center"/>
            </w:pPr>
            <w:r>
              <w:rPr>
                <w:rFonts w:ascii="Arial" w:cs="Arial" w:eastAsia="Arial" w:hAnsi="Arial"/>
                <w:b/>
                <w:bCs/>
                <w:color w:val="FFFFFF"/>
                <w:sz w:val="28"/>
                <w:szCs w:val="28"/>
              </w:rPr>
              <w:t xml:space="preserve">MUY ALTO</w:t>
            </w:r>
          </w:p>
        </w:tc>
        <w:tc>
          <w:tcPr>
            <w:tcW w:type="dxa" w:w="71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1A1A"/>
                <w:sz w:val="21"/>
                <w:szCs w:val="21"/>
              </w:rPr>
              <w:t xml:space="preserve">El sector inmobiliario es considerado por el GAFI y la UIF el de mayor riesgo de lavado de dinero en México. Los bienes inmuebles son una reserva de valor estable, los valores son subjetivos (facilitan sobre/subvaluación) y las cadenas de propiedad pueden ser opacas. La ENR 2023 lo identifica como sector de riesgo crítico.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7FA" w:val="clear"/>
            <w:tcMar>
              <w:top w:type="dxa" w:w="0"/>
              <w:left w:type="dxa" w:w="120"/>
              <w:bottom w:type="dxa" w:w="80"/>
              <w:right w:type="dxa" w:w="120"/>
            </w:tcMar>
            <w:vAlign w:val="top"/>
          </w:tcPr>
          <w:p>
            <w:pPr>
              <w:shd w:fill="1C3557" w:val="clear"/>
              <w:spacing w:before="80" w:after="80"/>
            </w:pPr>
            <w:r>
              <w:rPr>
                <w:rFonts w:ascii="Arial" w:cs="Arial" w:eastAsia="Arial" w:hAnsi="Arial"/>
                <w:b/>
                <w:bCs/>
                <w:color w:val="FFFFFF"/>
                <w:sz w:val="20"/>
                <w:szCs w:val="20"/>
              </w:rPr>
              <w:t xml:space="preserve">VULNERABILIDADES DEL NEGOCIO</w:t>
            </w:r>
          </w:p>
          <w:p>
            <w:pPr>
              <w:pStyle w:val="ListParagraph"/>
              <w:numPr>
                <w:ilvl w:val="0"/>
                <w:numId w:val="2"/>
              </w:numPr>
              <w:spacing w:before="30" w:after="30"/>
            </w:pPr>
            <w:r>
              <w:rPr>
                <w:rFonts w:ascii="Arial" w:cs="Arial" w:eastAsia="Arial" w:hAnsi="Arial"/>
                <w:color w:val="1A1A1A"/>
                <w:sz w:val="19"/>
                <w:szCs w:val="19"/>
              </w:rPr>
              <w:t xml:space="preserve">Valuación subjetiva: el precio real puede inflarse o deflarse para movilizar recursos de origen ilícito.</w:t>
            </w:r>
          </w:p>
          <w:p>
            <w:pPr>
              <w:pStyle w:val="ListParagraph"/>
              <w:numPr>
                <w:ilvl w:val="0"/>
                <w:numId w:val="2"/>
              </w:numPr>
              <w:spacing w:before="30" w:after="30"/>
            </w:pPr>
            <w:r>
              <w:rPr>
                <w:rFonts w:ascii="Arial" w:cs="Arial" w:eastAsia="Arial" w:hAnsi="Arial"/>
                <w:color w:val="1A1A1A"/>
                <w:sz w:val="19"/>
                <w:szCs w:val="19"/>
              </w:rPr>
              <w:t xml:space="preserve">Cadenas de propiedad complejas: un inmueble puede pasar por múltiples dueños sin dejar rastro claro.</w:t>
            </w:r>
          </w:p>
          <w:p>
            <w:pPr>
              <w:pStyle w:val="ListParagraph"/>
              <w:numPr>
                <w:ilvl w:val="0"/>
                <w:numId w:val="2"/>
              </w:numPr>
              <w:spacing w:before="30" w:after="30"/>
            </w:pPr>
            <w:r>
              <w:rPr>
                <w:rFonts w:ascii="Arial" w:cs="Arial" w:eastAsia="Arial" w:hAnsi="Arial"/>
                <w:color w:val="1A1A1A"/>
                <w:sz w:val="19"/>
                <w:szCs w:val="19"/>
              </w:rPr>
              <w:t xml:space="preserve">Uso de fideicomisos y sociedades holding que ocultan al beneficiario final real.</w:t>
            </w:r>
          </w:p>
          <w:p>
            <w:pPr>
              <w:pStyle w:val="ListParagraph"/>
              <w:numPr>
                <w:ilvl w:val="0"/>
                <w:numId w:val="2"/>
              </w:numPr>
              <w:spacing w:before="30" w:after="30"/>
            </w:pPr>
            <w:r>
              <w:rPr>
                <w:rFonts w:ascii="Arial" w:cs="Arial" w:eastAsia="Arial" w:hAnsi="Arial"/>
                <w:color w:val="1A1A1A"/>
                <w:sz w:val="19"/>
                <w:szCs w:val="19"/>
              </w:rPr>
              <w:t xml:space="preserve">Participación de múltiples intermediarios (notarios, corredores, valuadores) que dificultan la visión completa.</w:t>
            </w:r>
          </w:p>
          <w:p>
            <w:pPr>
              <w:pStyle w:val="ListParagraph"/>
              <w:numPr>
                <w:ilvl w:val="0"/>
                <w:numId w:val="2"/>
              </w:numPr>
              <w:spacing w:before="30" w:after="30"/>
            </w:pPr>
            <w:r>
              <w:rPr>
                <w:rFonts w:ascii="Arial" w:cs="Arial" w:eastAsia="Arial" w:hAnsi="Arial"/>
                <w:color w:val="1A1A1A"/>
                <w:sz w:val="19"/>
                <w:szCs w:val="19"/>
              </w:rPr>
              <w:t xml:space="preserve">Mercado informal de arrendamiento que facilita flujos de efectivo no reportados.</w:t>
            </w:r>
          </w:p>
        </w:tc>
        <w:tc>
          <w:tcPr>
            <w:tcW w:type="dxa" w:w="3120"/>
            <w:tcBorders>
              <w:top w:val="single" w:color="CCCCCC" w:sz="1"/>
              <w:left w:val="single" w:color="CCCCCC" w:sz="1"/>
              <w:bottom w:val="single" w:color="CCCCCC" w:sz="1"/>
              <w:right w:val="single" w:color="CCCCCC" w:sz="1"/>
            </w:tcBorders>
            <w:shd w:fill="EFF6FF" w:val="clear"/>
            <w:tcMar>
              <w:top w:type="dxa" w:w="0"/>
              <w:left w:type="dxa" w:w="120"/>
              <w:bottom w:type="dxa" w:w="80"/>
              <w:right w:type="dxa" w:w="120"/>
            </w:tcMar>
            <w:vAlign w:val="top"/>
          </w:tcPr>
          <w:p>
            <w:pPr>
              <w:shd w:fill="2E5A8E" w:val="clear"/>
              <w:spacing w:before="80" w:after="80"/>
            </w:pPr>
            <w:r>
              <w:rPr>
                <w:rFonts w:ascii="Arial" w:cs="Arial" w:eastAsia="Arial" w:hAnsi="Arial"/>
                <w:b/>
                <w:bCs/>
                <w:color w:val="FFFFFF"/>
                <w:sz w:val="20"/>
                <w:szCs w:val="20"/>
              </w:rPr>
              <w:t xml:space="preserve">FACTORES DE RIESGO DEL CLIENTE</w:t>
            </w:r>
          </w:p>
          <w:p>
            <w:pPr>
              <w:pStyle w:val="ListParagraph"/>
              <w:numPr>
                <w:ilvl w:val="0"/>
                <w:numId w:val="2"/>
              </w:numPr>
              <w:spacing w:before="30" w:after="30"/>
            </w:pPr>
            <w:r>
              <w:rPr>
                <w:rFonts w:ascii="Arial" w:cs="Arial" w:eastAsia="Arial" w:hAnsi="Arial"/>
                <w:color w:val="1A1A1A"/>
                <w:sz w:val="19"/>
                <w:szCs w:val="19"/>
              </w:rPr>
              <w:t xml:space="preserve">Compradores que pagan con recursos en efectivo o cheques de múltiples libraderos.</w:t>
            </w:r>
          </w:p>
          <w:p>
            <w:pPr>
              <w:pStyle w:val="ListParagraph"/>
              <w:numPr>
                <w:ilvl w:val="0"/>
                <w:numId w:val="2"/>
              </w:numPr>
              <w:spacing w:before="30" w:after="30"/>
            </w:pPr>
            <w:r>
              <w:rPr>
                <w:rFonts w:ascii="Arial" w:cs="Arial" w:eastAsia="Arial" w:hAnsi="Arial"/>
                <w:color w:val="1A1A1A"/>
                <w:sz w:val="19"/>
                <w:szCs w:val="19"/>
              </w:rPr>
              <w:t xml:space="preserve">Personas físicas o morales cuya actividad económica no justifica el nivel de la inversión.</w:t>
            </w:r>
          </w:p>
          <w:p>
            <w:pPr>
              <w:pStyle w:val="ListParagraph"/>
              <w:numPr>
                <w:ilvl w:val="0"/>
                <w:numId w:val="2"/>
              </w:numPr>
              <w:spacing w:before="30" w:after="30"/>
            </w:pPr>
            <w:r>
              <w:rPr>
                <w:rFonts w:ascii="Arial" w:cs="Arial" w:eastAsia="Arial" w:hAnsi="Arial"/>
                <w:color w:val="1A1A1A"/>
                <w:sz w:val="19"/>
                <w:szCs w:val="19"/>
              </w:rPr>
              <w:t xml:space="preserve">Fideicomisos con estructuras de propiedad opacas o cadenas de más de dos niveles.</w:t>
            </w:r>
          </w:p>
          <w:p>
            <w:pPr>
              <w:pStyle w:val="ListParagraph"/>
              <w:numPr>
                <w:ilvl w:val="0"/>
                <w:numId w:val="2"/>
              </w:numPr>
              <w:spacing w:before="30" w:after="30"/>
            </w:pPr>
            <w:r>
              <w:rPr>
                <w:rFonts w:ascii="Arial" w:cs="Arial" w:eastAsia="Arial" w:hAnsi="Arial"/>
                <w:color w:val="1A1A1A"/>
                <w:sz w:val="19"/>
                <w:szCs w:val="19"/>
              </w:rPr>
              <w:t xml:space="preserve">PPE y sus familiares o prestanombres en operaciones de compraventa de alto valor.</w:t>
            </w:r>
          </w:p>
          <w:p>
            <w:pPr>
              <w:pStyle w:val="ListParagraph"/>
              <w:numPr>
                <w:ilvl w:val="0"/>
                <w:numId w:val="2"/>
              </w:numPr>
              <w:spacing w:before="30" w:after="30"/>
            </w:pPr>
            <w:r>
              <w:rPr>
                <w:rFonts w:ascii="Arial" w:cs="Arial" w:eastAsia="Arial" w:hAnsi="Arial"/>
                <w:color w:val="1A1A1A"/>
                <w:sz w:val="19"/>
                <w:szCs w:val="19"/>
              </w:rPr>
              <w:t xml:space="preserve">Compradores extranjeros de países de alto riesgo o jurisdicciones no cooperantes con el GAFI.</w:t>
            </w:r>
          </w:p>
          <w:p>
            <w:pPr>
              <w:pStyle w:val="ListParagraph"/>
              <w:numPr>
                <w:ilvl w:val="0"/>
                <w:numId w:val="2"/>
              </w:numPr>
              <w:spacing w:before="30" w:after="30"/>
            </w:pPr>
            <w:r>
              <w:rPr>
                <w:rFonts w:ascii="Arial" w:cs="Arial" w:eastAsia="Arial" w:hAnsi="Arial"/>
                <w:color w:val="1A1A1A"/>
                <w:sz w:val="19"/>
                <w:szCs w:val="19"/>
              </w:rPr>
              <w:t xml:space="preserve">Compradores que solicitan dividir el precio en varios instrumentos de pago para quedar bajo el umbral.</w:t>
            </w:r>
          </w:p>
        </w:tc>
        <w:tc>
          <w:tcPr>
            <w:tcW w:type="dxa" w:w="3120"/>
            <w:tcBorders>
              <w:top w:val="single" w:color="CCCCCC" w:sz="1"/>
              <w:left w:val="single" w:color="CCCCCC" w:sz="1"/>
              <w:bottom w:val="single" w:color="CCCCCC" w:sz="1"/>
              <w:right w:val="single" w:color="CCCCCC" w:sz="1"/>
            </w:tcBorders>
            <w:shd w:fill="FEF2F2" w:val="clear"/>
            <w:tcMar>
              <w:top w:type="dxa" w:w="0"/>
              <w:left w:type="dxa" w:w="120"/>
              <w:bottom w:type="dxa" w:w="80"/>
              <w:right w:type="dxa" w:w="120"/>
            </w:tcMar>
            <w:vAlign w:val="top"/>
          </w:tcPr>
          <w:p>
            <w:pPr>
              <w:shd w:fill="7F1D1D" w:val="clear"/>
              <w:spacing w:before="80" w:after="80"/>
            </w:pPr>
            <w:r>
              <w:rPr>
                <w:rFonts w:ascii="Arial" w:cs="Arial" w:eastAsia="Arial" w:hAnsi="Arial"/>
                <w:b/>
                <w:bCs/>
                <w:color w:val="FFFFFF"/>
                <w:sz w:val="20"/>
                <w:szCs w:val="20"/>
              </w:rPr>
              <w:t xml:space="preserve">TIPOLOGIAS DE LAVADO</w:t>
            </w:r>
          </w:p>
          <w:p>
            <w:pPr>
              <w:pStyle w:val="ListParagraph"/>
              <w:numPr>
                <w:ilvl w:val="0"/>
                <w:numId w:val="2"/>
              </w:numPr>
              <w:spacing w:before="30" w:after="30"/>
            </w:pPr>
            <w:r>
              <w:rPr>
                <w:rFonts w:ascii="Arial" w:cs="Arial" w:eastAsia="Arial" w:hAnsi="Arial"/>
                <w:color w:val="1A1A1A"/>
                <w:sz w:val="19"/>
                <w:szCs w:val="19"/>
              </w:rPr>
              <w:t xml:space="preserve">Pitufeo inmobiliario: el precio real se fracciona en pagos aparentemente separados para evitar el umbral de aviso.</w:t>
            </w:r>
          </w:p>
          <w:p>
            <w:pPr>
              <w:pStyle w:val="ListParagraph"/>
              <w:numPr>
                <w:ilvl w:val="0"/>
                <w:numId w:val="2"/>
              </w:numPr>
              <w:spacing w:before="30" w:after="30"/>
            </w:pPr>
            <w:r>
              <w:rPr>
                <w:rFonts w:ascii="Arial" w:cs="Arial" w:eastAsia="Arial" w:hAnsi="Arial"/>
                <w:color w:val="1A1A1A"/>
                <w:sz w:val="19"/>
                <w:szCs w:val="19"/>
              </w:rPr>
              <w:t xml:space="preserve">Sobrefacturación: el inmueble se declara a un valor mayor al real, y la diferencia regresa al comprador en efectivo.</w:t>
            </w:r>
          </w:p>
          <w:p>
            <w:pPr>
              <w:pStyle w:val="ListParagraph"/>
              <w:numPr>
                <w:ilvl w:val="0"/>
                <w:numId w:val="2"/>
              </w:numPr>
              <w:spacing w:before="30" w:after="30"/>
            </w:pPr>
            <w:r>
              <w:rPr>
                <w:rFonts w:ascii="Arial" w:cs="Arial" w:eastAsia="Arial" w:hAnsi="Arial"/>
                <w:color w:val="1A1A1A"/>
                <w:sz w:val="19"/>
                <w:szCs w:val="19"/>
              </w:rPr>
              <w:t xml:space="preserve">Subfacturación: el inmueble se escribe a precio bajo y el excedente se paga off-the-record en efectivo.</w:t>
            </w:r>
          </w:p>
          <w:p>
            <w:pPr>
              <w:pStyle w:val="ListParagraph"/>
              <w:numPr>
                <w:ilvl w:val="0"/>
                <w:numId w:val="2"/>
              </w:numPr>
              <w:spacing w:before="30" w:after="30"/>
            </w:pPr>
            <w:r>
              <w:rPr>
                <w:rFonts w:ascii="Arial" w:cs="Arial" w:eastAsia="Arial" w:hAnsi="Arial"/>
                <w:color w:val="1A1A1A"/>
                <w:sz w:val="19"/>
                <w:szCs w:val="19"/>
              </w:rPr>
              <w:t xml:space="preserve">Ventas y reventas en cadena: el mismo inmueble se compra y revende varias veces entre partes relacionadas para 'limpiar' el valor.</w:t>
            </w:r>
          </w:p>
          <w:p>
            <w:pPr>
              <w:pStyle w:val="ListParagraph"/>
              <w:numPr>
                <w:ilvl w:val="0"/>
                <w:numId w:val="2"/>
              </w:numPr>
              <w:spacing w:before="30" w:after="30"/>
            </w:pPr>
            <w:r>
              <w:rPr>
                <w:rFonts w:ascii="Arial" w:cs="Arial" w:eastAsia="Arial" w:hAnsi="Arial"/>
                <w:color w:val="1A1A1A"/>
                <w:sz w:val="19"/>
                <w:szCs w:val="19"/>
              </w:rPr>
              <w:t xml:space="preserve">Uso de empresas holding extranjeras como compradoras para romper la trazabilidad.</w:t>
            </w:r>
          </w:p>
          <w:p>
            <w:pPr>
              <w:pStyle w:val="ListParagraph"/>
              <w:numPr>
                <w:ilvl w:val="0"/>
                <w:numId w:val="2"/>
              </w:numPr>
              <w:spacing w:before="30" w:after="30"/>
            </w:pPr>
            <w:r>
              <w:rPr>
                <w:rFonts w:ascii="Arial" w:cs="Arial" w:eastAsia="Arial" w:hAnsi="Arial"/>
                <w:color w:val="1A1A1A"/>
                <w:sz w:val="19"/>
                <w:szCs w:val="19"/>
              </w:rPr>
              <w:t xml:space="preserve">Inmuebles de lujo comprados en zonas turísticas o de alto valor que actúan como reserva de valor físico.</w:t>
            </w:r>
          </w:p>
        </w:tc>
      </w:tr>
    </w:tbl>
    <w:p>
      <w:pPr>
        <w:spacing w:before="0" w:after="100"/>
      </w:pPr>
      <w:r>
        <w:t xml:space="preserve"/>
      </w:r>
    </w:p>
    <w:p>
      <w:pPr>
        <w:spacing w:before="200" w:after="80"/>
      </w:pPr>
      <w:r>
        <w:rPr>
          <w:rFonts w:ascii="Arial" w:cs="Arial" w:eastAsia="Arial" w:hAnsi="Arial"/>
          <w:b/>
          <w:bCs/>
          <w:color w:val="1C3557"/>
          <w:sz w:val="23"/>
          <w:szCs w:val="23"/>
        </w:rPr>
        <w:t xml:space="preserve">Umbrales verificados — Fracc. V y Art.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60"/>
        <w:gridCol w:w="2400"/>
      </w:tblGrid>
      <w:tr>
        <w:trPr>
          <w:tblHeader/>
        </w:trPr>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UMBRAL EN UMA</w:t>
            </w:r>
          </w:p>
        </w:tc>
        <w:tc>
          <w:tcPr>
            <w:tcW w:type="dxa" w:w="29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EQUIVALENTE EN PESOS (UMA 2026 = $117.31)</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OBSERVACIÓN</w:t>
            </w:r>
          </w:p>
        </w:tc>
      </w:tr>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D97706"/>
                <w:sz w:val="20"/>
                <w:szCs w:val="20"/>
              </w:rPr>
              <w:t xml:space="preserve">Identificación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Sin umbral separado</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Toda operación activa obligaciones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La actividad habitual o profesional activa el Art. 18 desde la primera operación.</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392B"/>
                <w:sz w:val="20"/>
                <w:szCs w:val="20"/>
              </w:rPr>
              <w:t xml:space="preserve">Aviso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 8,025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$941,862.75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Aplica al precio pactado, valor catastral o comercial, el que resulte más alto.</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0000"/>
                <w:sz w:val="20"/>
                <w:szCs w:val="20"/>
              </w:rPr>
              <w:t xml:space="preserve">Prohibición efectivo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 8,025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$941,862.75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Art. 32, Fracc. I. Aplica a constitución o transmisión de derechos reales sobre inmuebles.</w:t>
            </w:r>
          </w:p>
        </w:tc>
      </w:tr>
      <w:tr>
        <w:tc>
          <w:tcPr>
            <w:tcW w:type="dxa" w:w="20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b/>
                <w:bCs/>
                <w:color w:val="0E7490"/>
                <w:sz w:val="20"/>
                <w:szCs w:val="20"/>
              </w:rPr>
              <w:t xml:space="preserve">Acumulación 6 meses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Suma ≥ 8,025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Suma que supere $941,862.75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Art. 17 penúltimo párrafo. Operaciones menores que acumulen superando el umbral de aviso.</w:t>
            </w:r>
          </w:p>
        </w:tc>
      </w:tr>
    </w:tbl>
    <w:p>
      <w:pPr>
        <w:spacing w:before="0" w:after="0"/>
      </w:pPr>
      <w:r>
        <w:t xml:space="preserve"/>
      </w:r>
    </w:p>
    <w:p>
      <w:pPr>
        <w:spacing w:before="200" w:after="80"/>
      </w:pPr>
      <w:r>
        <w:rPr>
          <w:rFonts w:ascii="Arial" w:cs="Arial" w:eastAsia="Arial" w:hAnsi="Arial"/>
          <w:b/>
          <w:bCs/>
          <w:color w:val="1C3557"/>
          <w:sz w:val="23"/>
          <w:szCs w:val="23"/>
        </w:rPr>
        <w:t xml:space="preserve">Señales de alerta en compraventa de inmuebles</w:t>
      </w:r>
    </w:p>
    <w:p>
      <w:pPr>
        <w:pStyle w:val="ListParagraph"/>
        <w:numPr>
          <w:ilvl w:val="0"/>
          <w:numId w:val="2"/>
        </w:numPr>
        <w:spacing w:before="40" w:after="40"/>
      </w:pPr>
      <w:r>
        <w:rPr>
          <w:rFonts w:ascii="Arial" w:cs="Arial" w:eastAsia="Arial" w:hAnsi="Arial"/>
          <w:color w:val="222222"/>
          <w:sz w:val="22"/>
          <w:szCs w:val="22"/>
        </w:rPr>
        <w:t xml:space="preserve">Comprador paga en efectivo o con múltiples cheques de distintos libraderos.</w:t>
      </w:r>
    </w:p>
    <w:p>
      <w:pPr>
        <w:pStyle w:val="ListParagraph"/>
        <w:numPr>
          <w:ilvl w:val="0"/>
          <w:numId w:val="2"/>
        </w:numPr>
        <w:spacing w:before="40" w:after="40"/>
      </w:pPr>
      <w:r>
        <w:rPr>
          <w:rFonts w:ascii="Arial" w:cs="Arial" w:eastAsia="Arial" w:hAnsi="Arial"/>
          <w:color w:val="222222"/>
          <w:sz w:val="22"/>
          <w:szCs w:val="22"/>
        </w:rPr>
        <w:t xml:space="preserve">El precio de venta está notoriamente por debajo del valor de mercado.</w:t>
      </w:r>
    </w:p>
    <w:p>
      <w:pPr>
        <w:pStyle w:val="ListParagraph"/>
        <w:numPr>
          <w:ilvl w:val="0"/>
          <w:numId w:val="2"/>
        </w:numPr>
        <w:spacing w:before="40" w:after="40"/>
      </w:pPr>
      <w:r>
        <w:rPr>
          <w:rFonts w:ascii="Arial" w:cs="Arial" w:eastAsia="Arial" w:hAnsi="Arial"/>
          <w:color w:val="222222"/>
          <w:sz w:val="22"/>
          <w:szCs w:val="22"/>
        </w:rPr>
        <w:t xml:space="preserve">El comprador no tiene actividad económica que justifique la capacidad de compra.</w:t>
      </w:r>
    </w:p>
    <w:p>
      <w:pPr>
        <w:pStyle w:val="ListParagraph"/>
        <w:numPr>
          <w:ilvl w:val="0"/>
          <w:numId w:val="2"/>
        </w:numPr>
        <w:spacing w:before="40" w:after="40"/>
      </w:pPr>
      <w:r>
        <w:rPr>
          <w:rFonts w:ascii="Arial" w:cs="Arial" w:eastAsia="Arial" w:hAnsi="Arial"/>
          <w:color w:val="222222"/>
          <w:sz w:val="22"/>
          <w:szCs w:val="22"/>
        </w:rPr>
        <w:t xml:space="preserve">La propiedad cambia de manos varias veces en un corto período entre personas relacionadas.</w:t>
      </w:r>
    </w:p>
    <w:p>
      <w:pPr>
        <w:pStyle w:val="ListParagraph"/>
        <w:numPr>
          <w:ilvl w:val="0"/>
          <w:numId w:val="2"/>
        </w:numPr>
        <w:spacing w:before="40" w:after="40"/>
      </w:pPr>
      <w:r>
        <w:rPr>
          <w:rFonts w:ascii="Arial" w:cs="Arial" w:eastAsia="Arial" w:hAnsi="Arial"/>
          <w:color w:val="222222"/>
          <w:sz w:val="22"/>
          <w:szCs w:val="22"/>
        </w:rPr>
        <w:t xml:space="preserve">El comprador solicita que se ponga el inmueble a nombre de un tercero sin relación aparente.</w:t>
      </w:r>
    </w:p>
    <w:p>
      <w:pPr>
        <w:pStyle w:val="ListParagraph"/>
        <w:numPr>
          <w:ilvl w:val="0"/>
          <w:numId w:val="2"/>
        </w:numPr>
        <w:spacing w:before="40" w:after="40"/>
      </w:pPr>
      <w:r>
        <w:rPr>
          <w:rFonts w:ascii="Arial" w:cs="Arial" w:eastAsia="Arial" w:hAnsi="Arial"/>
          <w:color w:val="222222"/>
          <w:sz w:val="22"/>
          <w:szCs w:val="22"/>
        </w:rPr>
        <w:t xml:space="preserve">Estructuras de compra que involucran empresas holdings sin actividad real.</w:t>
      </w:r>
    </w:p>
    <w:p>
      <w:pPr>
        <w:spacing w:before="0" w:after="100"/>
      </w:pPr>
      <w:r>
        <w:t xml:space="preserve"/>
      </w:r>
    </w:p>
    <w:p>
      <w:pPr>
        <w:pStyle w:val="Heading1"/>
        <w:shd w:fill="C0392B" w:val="clear"/>
        <w:spacing w:before="360" w:after="160"/>
        <w:ind w:left="200" w:right="200"/>
      </w:pPr>
      <w:r>
        <w:rPr>
          <w:rFonts w:ascii="Arial" w:cs="Arial" w:eastAsia="Arial" w:hAnsi="Arial"/>
          <w:b/>
          <w:bCs/>
          <w:color w:val="FFFFFF"/>
          <w:sz w:val="30"/>
          <w:szCs w:val="30"/>
        </w:rPr>
        <w:t xml:space="preserve">FRACCIÓN V BIS — DESARROLLO INMOBILIARIO  ★ NUEVA DOF 2025</w:t>
      </w:r>
    </w:p>
    <w:p>
      <w:pPr>
        <w:pBdr>
          <w:left w:val="single" w:color="9CA3AF" w:sz="10" w:space="8"/>
        </w:pBdr>
        <w:shd w:fill="F3F4F6" w:val="clear"/>
        <w:spacing w:before="80" w:after="80"/>
        <w:ind w:left="200" w:right="200"/>
      </w:pPr>
      <w:r>
        <w:rPr>
          <w:rFonts w:ascii="Arial" w:cs="Arial" w:eastAsia="Arial" w:hAnsi="Arial"/>
          <w:i/>
          <w:iCs/>
          <w:color w:val="374151"/>
          <w:sz w:val="20"/>
          <w:szCs w:val="20"/>
        </w:rPr>
        <w:t xml:space="preserve">🌐  CONTEXTO GENERAL:  Esta fracción no aplica directamente a ninguna empresa del grupo Peredo. Se incluye por ser una de las novedades más relevantes de la reforma y por ser frecuente en mercados como Oaxaca donde hay crecimiento inmobiliario.</w:t>
      </w:r>
    </w:p>
    <w:p>
      <w:pPr>
        <w:spacing w:before="0" w:after="0"/>
      </w:pPr>
      <w:r>
        <w:t xml:space="preserve"/>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 recepción de recursos que se destinen para llevar a cabo un Desarrollo Inmobiliario cuya finalidad sea su venta o renta. Serán objeto de Aviso ante la Secretaría cuando el acto u operación sea por una cantidad igual o superior al equivalente a ocho mil veinticinco veces el valor diario de la UMA."</w:t>
      </w:r>
      <w:r>
        <w:rPr>
          <w:rFonts w:ascii="Arial" w:cs="Arial" w:eastAsia="Arial" w:hAnsi="Arial"/>
          <w:color w:val="666666"/>
          <w:sz w:val="18"/>
          <w:szCs w:val="18"/>
        </w:rPr>
        <w:t xml:space="preserve">  —  Art. 17, Fracc. V Bis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¿En qué se diferencia de la Fracción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FRACCIÓN V</w:t>
            </w:r>
          </w:p>
        </w:tc>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FRACCIÓN V BIS (NUEVA)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Quien construye, desarrolla o sirve de intermediario en la venta o compra de inmuebles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Quien RECIBE RECURSOS destinados a un proyecto de desarrollo inmobiliario (aún no hay inmueble terminado)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Captura el momento de la compraventa final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Captura el momento en que entra el dinero al proyecto, antes de que exista el inmueble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Actividad: constructoras, desarrolladoras, intermediarias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Actividad: fideicomisos de inversión inmobiliaria, preventas, preventa de condominios, clubes de inversión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Umbral aviso: ≥ 8,025 UMA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Umbral aviso: ≥ 8,025 UMA (mismo umbral)</w:t>
            </w:r>
          </w:p>
        </w:tc>
      </w:tr>
    </w:tbl>
    <w:p>
      <w:pPr>
        <w:spacing w:before="0" w:after="0"/>
      </w:pPr>
      <w:r>
        <w:t xml:space="preserve"/>
      </w:r>
    </w:p>
    <w:p>
      <w:pPr>
        <w:spacing w:before="200" w:after="80"/>
      </w:pPr>
      <w:r>
        <w:rPr>
          <w:rFonts w:ascii="Arial" w:cs="Arial" w:eastAsia="Arial" w:hAnsi="Arial"/>
          <w:b/>
          <w:bCs/>
          <w:color w:val="1C3557"/>
          <w:sz w:val="23"/>
          <w:szCs w:val="23"/>
        </w:rPr>
        <w:t xml:space="preserve">¿Quién queda obligado bajo Frac. V Bis?</w:t>
      </w:r>
    </w:p>
    <w:p>
      <w:pPr>
        <w:pStyle w:val="ListParagraph"/>
        <w:numPr>
          <w:ilvl w:val="0"/>
          <w:numId w:val="2"/>
        </w:numPr>
        <w:spacing w:before="40" w:after="40"/>
      </w:pPr>
      <w:r>
        <w:rPr>
          <w:rFonts w:ascii="Arial" w:cs="Arial" w:eastAsia="Arial" w:hAnsi="Arial"/>
          <w:color w:val="222222"/>
          <w:sz w:val="22"/>
          <w:szCs w:val="22"/>
        </w:rPr>
        <w:t xml:space="preserve">Fideicomiso de desarrollo que recibe aportaciones de inversionistas para construir.</w:t>
      </w:r>
    </w:p>
    <w:p>
      <w:pPr>
        <w:pStyle w:val="ListParagraph"/>
        <w:numPr>
          <w:ilvl w:val="0"/>
          <w:numId w:val="2"/>
        </w:numPr>
        <w:spacing w:before="40" w:after="40"/>
      </w:pPr>
      <w:r>
        <w:rPr>
          <w:rFonts w:ascii="Arial" w:cs="Arial" w:eastAsia="Arial" w:hAnsi="Arial"/>
          <w:color w:val="222222"/>
          <w:sz w:val="22"/>
          <w:szCs w:val="22"/>
        </w:rPr>
        <w:t xml:space="preserve">Empresa que recibe preventas (contratos de preventa con anticipos) para construir un condominio.</w:t>
      </w:r>
    </w:p>
    <w:p>
      <w:pPr>
        <w:pStyle w:val="ListParagraph"/>
        <w:numPr>
          <w:ilvl w:val="0"/>
          <w:numId w:val="2"/>
        </w:numPr>
        <w:spacing w:before="40" w:after="40"/>
      </w:pPr>
      <w:r>
        <w:rPr>
          <w:rFonts w:ascii="Arial" w:cs="Arial" w:eastAsia="Arial" w:hAnsi="Arial"/>
          <w:color w:val="222222"/>
          <w:sz w:val="22"/>
          <w:szCs w:val="22"/>
        </w:rPr>
        <w:t xml:space="preserve">Promotor inmobiliario que recauda recursos de socios antes de iniciar la obra.</w:t>
      </w:r>
    </w:p>
    <w:p>
      <w:pPr>
        <w:pStyle w:val="ListParagraph"/>
        <w:numPr>
          <w:ilvl w:val="0"/>
          <w:numId w:val="2"/>
        </w:numPr>
        <w:spacing w:before="40" w:after="40"/>
      </w:pPr>
      <w:r>
        <w:rPr>
          <w:rFonts w:ascii="Arial" w:cs="Arial" w:eastAsia="Arial" w:hAnsi="Arial"/>
          <w:color w:val="222222"/>
          <w:sz w:val="22"/>
          <w:szCs w:val="22"/>
        </w:rPr>
        <w:t xml:space="preserve">Club o fondo de inversión inmobiliaria que administra recursos para un desarrollo.</w:t>
      </w:r>
    </w:p>
    <w:p>
      <w:pPr>
        <w:spacing w:before="0" w:after="0"/>
      </w:pPr>
      <w:r>
        <w:t xml:space="preserve"/>
      </w:r>
    </w:p>
    <w:p>
      <w:pPr>
        <w:spacing w:before="200" w:after="80"/>
      </w:pPr>
      <w:r>
        <w:rPr>
          <w:rFonts w:ascii="Arial" w:cs="Arial" w:eastAsia="Arial" w:hAnsi="Arial"/>
          <w:b/>
          <w:bCs/>
          <w:color w:val="1C3557"/>
          <w:sz w:val="23"/>
          <w:szCs w:val="23"/>
        </w:rPr>
        <w:t xml:space="preserve">Perfil de riesgo de esta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RIESGO INHERENTE</w:t>
            </w:r>
          </w:p>
          <w:p>
            <w:pPr>
              <w:jc w:val="center"/>
            </w:pPr>
            <w:r>
              <w:rPr>
                <w:rFonts w:ascii="Arial" w:cs="Arial" w:eastAsia="Arial" w:hAnsi="Arial"/>
                <w:b/>
                <w:bCs/>
                <w:color w:val="FFFFFF"/>
                <w:sz w:val="28"/>
                <w:szCs w:val="28"/>
              </w:rPr>
              <w:t xml:space="preserve">MUY ALTO</w:t>
            </w:r>
          </w:p>
        </w:tc>
        <w:tc>
          <w:tcPr>
            <w:tcW w:type="dxa" w:w="71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1A1A"/>
                <w:sz w:val="21"/>
                <w:szCs w:val="21"/>
              </w:rPr>
              <w:t xml:space="preserve">La recepción de recursos para desarrollo inmobiliario es la fase de mayor vulnerabilidad del ciclo: el dinero entra al proyecto antes de que exista el activo, la estructura puede ser opaca (fideicomiso, fondo) y históricamente esta etapa quedaba fuera de la regulación AML. La reforma 2025 cierra esa brecha.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7FA" w:val="clear"/>
            <w:tcMar>
              <w:top w:type="dxa" w:w="0"/>
              <w:left w:type="dxa" w:w="120"/>
              <w:bottom w:type="dxa" w:w="80"/>
              <w:right w:type="dxa" w:w="120"/>
            </w:tcMar>
            <w:vAlign w:val="top"/>
          </w:tcPr>
          <w:p>
            <w:pPr>
              <w:shd w:fill="1C3557" w:val="clear"/>
              <w:spacing w:before="80" w:after="80"/>
            </w:pPr>
            <w:r>
              <w:rPr>
                <w:rFonts w:ascii="Arial" w:cs="Arial" w:eastAsia="Arial" w:hAnsi="Arial"/>
                <w:b/>
                <w:bCs/>
                <w:color w:val="FFFFFF"/>
                <w:sz w:val="20"/>
                <w:szCs w:val="20"/>
              </w:rPr>
              <w:t xml:space="preserve">VULNERABILIDADES DEL NEGOCIO</w:t>
            </w:r>
          </w:p>
          <w:p>
            <w:pPr>
              <w:pStyle w:val="ListParagraph"/>
              <w:numPr>
                <w:ilvl w:val="0"/>
                <w:numId w:val="2"/>
              </w:numPr>
              <w:spacing w:before="30" w:after="30"/>
            </w:pPr>
            <w:r>
              <w:rPr>
                <w:rFonts w:ascii="Arial" w:cs="Arial" w:eastAsia="Arial" w:hAnsi="Arial"/>
                <w:color w:val="1A1A1A"/>
                <w:sz w:val="19"/>
                <w:szCs w:val="19"/>
              </w:rPr>
              <w:t xml:space="preserve">Recursos recibidos antes de que exista el activo: no hay un bien físico verificable al momento de la transacción.</w:t>
            </w:r>
          </w:p>
          <w:p>
            <w:pPr>
              <w:pStyle w:val="ListParagraph"/>
              <w:numPr>
                <w:ilvl w:val="0"/>
                <w:numId w:val="2"/>
              </w:numPr>
              <w:spacing w:before="30" w:after="30"/>
            </w:pPr>
            <w:r>
              <w:rPr>
                <w:rFonts w:ascii="Arial" w:cs="Arial" w:eastAsia="Arial" w:hAnsi="Arial"/>
                <w:color w:val="1A1A1A"/>
                <w:sz w:val="19"/>
                <w:szCs w:val="19"/>
              </w:rPr>
              <w:t xml:space="preserve">Estructuras de inversión complejas (fideicomisos, fondos, SPV) que dificultan identificar al BC.</w:t>
            </w:r>
          </w:p>
          <w:p>
            <w:pPr>
              <w:pStyle w:val="ListParagraph"/>
              <w:numPr>
                <w:ilvl w:val="0"/>
                <w:numId w:val="2"/>
              </w:numPr>
              <w:spacing w:before="30" w:after="30"/>
            </w:pPr>
            <w:r>
              <w:rPr>
                <w:rFonts w:ascii="Arial" w:cs="Arial" w:eastAsia="Arial" w:hAnsi="Arial"/>
                <w:color w:val="1A1A1A"/>
                <w:sz w:val="19"/>
                <w:szCs w:val="19"/>
              </w:rPr>
              <w:t xml:space="preserve">Múltiples aportantes pequeños cuyo origen de fondos es difícil de verificar individualmente.</w:t>
            </w:r>
          </w:p>
          <w:p>
            <w:pPr>
              <w:pStyle w:val="ListParagraph"/>
              <w:numPr>
                <w:ilvl w:val="0"/>
                <w:numId w:val="2"/>
              </w:numPr>
              <w:spacing w:before="30" w:after="30"/>
            </w:pPr>
            <w:r>
              <w:rPr>
                <w:rFonts w:ascii="Arial" w:cs="Arial" w:eastAsia="Arial" w:hAnsi="Arial"/>
                <w:color w:val="1A1A1A"/>
                <w:sz w:val="19"/>
                <w:szCs w:val="19"/>
              </w:rPr>
              <w:t xml:space="preserve">Fase de preventa con instrumentos informales (contratos privados, promesas de compra) sin intervención notarial.</w:t>
            </w:r>
          </w:p>
          <w:p>
            <w:pPr>
              <w:pStyle w:val="ListParagraph"/>
              <w:numPr>
                <w:ilvl w:val="0"/>
                <w:numId w:val="2"/>
              </w:numPr>
              <w:spacing w:before="30" w:after="30"/>
            </w:pPr>
            <w:r>
              <w:rPr>
                <w:rFonts w:ascii="Arial" w:cs="Arial" w:eastAsia="Arial" w:hAnsi="Arial"/>
                <w:color w:val="1A1A1A"/>
                <w:sz w:val="19"/>
                <w:szCs w:val="19"/>
              </w:rPr>
              <w:t xml:space="preserve">Proyectos en zonas turísticas o de alto crecimiento con alta demanda que facilitan mezclar recursos lícitos e ilícitos.</w:t>
            </w:r>
          </w:p>
        </w:tc>
        <w:tc>
          <w:tcPr>
            <w:tcW w:type="dxa" w:w="3120"/>
            <w:tcBorders>
              <w:top w:val="single" w:color="CCCCCC" w:sz="1"/>
              <w:left w:val="single" w:color="CCCCCC" w:sz="1"/>
              <w:bottom w:val="single" w:color="CCCCCC" w:sz="1"/>
              <w:right w:val="single" w:color="CCCCCC" w:sz="1"/>
            </w:tcBorders>
            <w:shd w:fill="EFF6FF" w:val="clear"/>
            <w:tcMar>
              <w:top w:type="dxa" w:w="0"/>
              <w:left w:type="dxa" w:w="120"/>
              <w:bottom w:type="dxa" w:w="80"/>
              <w:right w:type="dxa" w:w="120"/>
            </w:tcMar>
            <w:vAlign w:val="top"/>
          </w:tcPr>
          <w:p>
            <w:pPr>
              <w:shd w:fill="2E5A8E" w:val="clear"/>
              <w:spacing w:before="80" w:after="80"/>
            </w:pPr>
            <w:r>
              <w:rPr>
                <w:rFonts w:ascii="Arial" w:cs="Arial" w:eastAsia="Arial" w:hAnsi="Arial"/>
                <w:b/>
                <w:bCs/>
                <w:color w:val="FFFFFF"/>
                <w:sz w:val="20"/>
                <w:szCs w:val="20"/>
              </w:rPr>
              <w:t xml:space="preserve">FACTORES DE RIESGO DEL CLIENTE</w:t>
            </w:r>
          </w:p>
          <w:p>
            <w:pPr>
              <w:pStyle w:val="ListParagraph"/>
              <w:numPr>
                <w:ilvl w:val="0"/>
                <w:numId w:val="2"/>
              </w:numPr>
              <w:spacing w:before="30" w:after="30"/>
            </w:pPr>
            <w:r>
              <w:rPr>
                <w:rFonts w:ascii="Arial" w:cs="Arial" w:eastAsia="Arial" w:hAnsi="Arial"/>
                <w:color w:val="1A1A1A"/>
                <w:sz w:val="19"/>
                <w:szCs w:val="19"/>
              </w:rPr>
              <w:t xml:space="preserve">Inversionistas que aportan en efectivo o con recursos no trazables al fideicomiso.</w:t>
            </w:r>
          </w:p>
          <w:p>
            <w:pPr>
              <w:pStyle w:val="ListParagraph"/>
              <w:numPr>
                <w:ilvl w:val="0"/>
                <w:numId w:val="2"/>
              </w:numPr>
              <w:spacing w:before="30" w:after="30"/>
            </w:pPr>
            <w:r>
              <w:rPr>
                <w:rFonts w:ascii="Arial" w:cs="Arial" w:eastAsia="Arial" w:hAnsi="Arial"/>
                <w:color w:val="1A1A1A"/>
                <w:sz w:val="19"/>
                <w:szCs w:val="19"/>
              </w:rPr>
              <w:t xml:space="preserve">Personas físicas o morales cuya actividad económica no justifica el monto de la aportación.</w:t>
            </w:r>
          </w:p>
          <w:p>
            <w:pPr>
              <w:pStyle w:val="ListParagraph"/>
              <w:numPr>
                <w:ilvl w:val="0"/>
                <w:numId w:val="2"/>
              </w:numPr>
              <w:spacing w:before="30" w:after="30"/>
            </w:pPr>
            <w:r>
              <w:rPr>
                <w:rFonts w:ascii="Arial" w:cs="Arial" w:eastAsia="Arial" w:hAnsi="Arial"/>
                <w:color w:val="1A1A1A"/>
                <w:sz w:val="19"/>
                <w:szCs w:val="19"/>
              </w:rPr>
              <w:t xml:space="preserve">Fideicomisos o SPV con cadenas de propiedad que llegan a más de dos niveles sin BC identificable.</w:t>
            </w:r>
          </w:p>
          <w:p>
            <w:pPr>
              <w:pStyle w:val="ListParagraph"/>
              <w:numPr>
                <w:ilvl w:val="0"/>
                <w:numId w:val="2"/>
              </w:numPr>
              <w:spacing w:before="30" w:after="30"/>
            </w:pPr>
            <w:r>
              <w:rPr>
                <w:rFonts w:ascii="Arial" w:cs="Arial" w:eastAsia="Arial" w:hAnsi="Arial"/>
                <w:color w:val="1A1A1A"/>
                <w:sz w:val="19"/>
                <w:szCs w:val="19"/>
              </w:rPr>
              <w:t xml:space="preserve">PPE que invierten en desarrollos inmobiliarios como forma de colocar recursos.</w:t>
            </w:r>
          </w:p>
          <w:p>
            <w:pPr>
              <w:pStyle w:val="ListParagraph"/>
              <w:numPr>
                <w:ilvl w:val="0"/>
                <w:numId w:val="2"/>
              </w:numPr>
              <w:spacing w:before="30" w:after="30"/>
            </w:pPr>
            <w:r>
              <w:rPr>
                <w:rFonts w:ascii="Arial" w:cs="Arial" w:eastAsia="Arial" w:hAnsi="Arial"/>
                <w:color w:val="1A1A1A"/>
                <w:sz w:val="19"/>
                <w:szCs w:val="19"/>
              </w:rPr>
              <w:t xml:space="preserve">Aportantes extranjeros de jurisdicciones con secreto bancario o baja cooperación internacional.</w:t>
            </w:r>
          </w:p>
        </w:tc>
        <w:tc>
          <w:tcPr>
            <w:tcW w:type="dxa" w:w="3120"/>
            <w:tcBorders>
              <w:top w:val="single" w:color="CCCCCC" w:sz="1"/>
              <w:left w:val="single" w:color="CCCCCC" w:sz="1"/>
              <w:bottom w:val="single" w:color="CCCCCC" w:sz="1"/>
              <w:right w:val="single" w:color="CCCCCC" w:sz="1"/>
            </w:tcBorders>
            <w:shd w:fill="FEF2F2" w:val="clear"/>
            <w:tcMar>
              <w:top w:type="dxa" w:w="0"/>
              <w:left w:type="dxa" w:w="120"/>
              <w:bottom w:type="dxa" w:w="80"/>
              <w:right w:type="dxa" w:w="120"/>
            </w:tcMar>
            <w:vAlign w:val="top"/>
          </w:tcPr>
          <w:p>
            <w:pPr>
              <w:shd w:fill="7F1D1D" w:val="clear"/>
              <w:spacing w:before="80" w:after="80"/>
            </w:pPr>
            <w:r>
              <w:rPr>
                <w:rFonts w:ascii="Arial" w:cs="Arial" w:eastAsia="Arial" w:hAnsi="Arial"/>
                <w:b/>
                <w:bCs/>
                <w:color w:val="FFFFFF"/>
                <w:sz w:val="20"/>
                <w:szCs w:val="20"/>
              </w:rPr>
              <w:t xml:space="preserve">TIPOLOGIAS DE LAVADO</w:t>
            </w:r>
          </w:p>
          <w:p>
            <w:pPr>
              <w:pStyle w:val="ListParagraph"/>
              <w:numPr>
                <w:ilvl w:val="0"/>
                <w:numId w:val="2"/>
              </w:numPr>
              <w:spacing w:before="30" w:after="30"/>
            </w:pPr>
            <w:r>
              <w:rPr>
                <w:rFonts w:ascii="Arial" w:cs="Arial" w:eastAsia="Arial" w:hAnsi="Arial"/>
                <w:color w:val="1A1A1A"/>
                <w:sz w:val="19"/>
                <w:szCs w:val="19"/>
              </w:rPr>
              <w:t xml:space="preserve">Mezcla de recursos (commingling): recursos ilícitos se mezclan con inversión legítima en el fideicomiso del desarrollo.</w:t>
            </w:r>
          </w:p>
          <w:p>
            <w:pPr>
              <w:pStyle w:val="ListParagraph"/>
              <w:numPr>
                <w:ilvl w:val="0"/>
                <w:numId w:val="2"/>
              </w:numPr>
              <w:spacing w:before="30" w:after="30"/>
            </w:pPr>
            <w:r>
              <w:rPr>
                <w:rFonts w:ascii="Arial" w:cs="Arial" w:eastAsia="Arial" w:hAnsi="Arial"/>
                <w:color w:val="1A1A1A"/>
                <w:sz w:val="19"/>
                <w:szCs w:val="19"/>
              </w:rPr>
              <w:t xml:space="preserve">Preventas a precio artificialmente bajo: el desarrollador recibe diferencia fuera de los registros.</w:t>
            </w:r>
          </w:p>
          <w:p>
            <w:pPr>
              <w:pStyle w:val="ListParagraph"/>
              <w:numPr>
                <w:ilvl w:val="0"/>
                <w:numId w:val="2"/>
              </w:numPr>
              <w:spacing w:before="30" w:after="30"/>
            </w:pPr>
            <w:r>
              <w:rPr>
                <w:rFonts w:ascii="Arial" w:cs="Arial" w:eastAsia="Arial" w:hAnsi="Arial"/>
                <w:color w:val="1A1A1A"/>
                <w:sz w:val="19"/>
                <w:szCs w:val="19"/>
              </w:rPr>
              <w:t xml:space="preserve">Aportaciones a nombre de prestanombres: múltiples personas vinculadas aportan en nombre del verdadero BC.</w:t>
            </w:r>
          </w:p>
          <w:p>
            <w:pPr>
              <w:pStyle w:val="ListParagraph"/>
              <w:numPr>
                <w:ilvl w:val="0"/>
                <w:numId w:val="2"/>
              </w:numPr>
              <w:spacing w:before="30" w:after="30"/>
            </w:pPr>
            <w:r>
              <w:rPr>
                <w:rFonts w:ascii="Arial" w:cs="Arial" w:eastAsia="Arial" w:hAnsi="Arial"/>
                <w:color w:val="1A1A1A"/>
                <w:sz w:val="19"/>
                <w:szCs w:val="19"/>
              </w:rPr>
              <w:t xml:space="preserve">Uso de fideicomisos de inversión opaca: el fideicomiso recibe recursos de diversas fuentes sin identificar a los beneficiarios reales.</w:t>
            </w:r>
          </w:p>
          <w:p>
            <w:pPr>
              <w:pStyle w:val="ListParagraph"/>
              <w:numPr>
                <w:ilvl w:val="0"/>
                <w:numId w:val="2"/>
              </w:numPr>
              <w:spacing w:before="30" w:after="30"/>
            </w:pPr>
            <w:r>
              <w:rPr>
                <w:rFonts w:ascii="Arial" w:cs="Arial" w:eastAsia="Arial" w:hAnsi="Arial"/>
                <w:color w:val="1A1A1A"/>
                <w:sz w:val="19"/>
                <w:szCs w:val="19"/>
              </w:rPr>
              <w:t xml:space="preserve">Sobre-aportación y reembolso: se aporta más de lo necesario al proyecto y el excedente se reembolsa como 'devolución legítima'.</w:t>
            </w:r>
          </w:p>
        </w:tc>
      </w:tr>
    </w:tbl>
    <w:p>
      <w:pPr>
        <w:spacing w:before="0" w:after="100"/>
      </w:pPr>
      <w:r>
        <w:t xml:space="preserve"/>
      </w:r>
    </w:p>
    <w:p>
      <w:pPr>
        <w:spacing w:before="200" w:after="80"/>
      </w:pPr>
      <w:r>
        <w:rPr>
          <w:rFonts w:ascii="Arial" w:cs="Arial" w:eastAsia="Arial" w:hAnsi="Arial"/>
          <w:b/>
          <w:bCs/>
          <w:color w:val="1C3557"/>
          <w:sz w:val="23"/>
          <w:szCs w:val="23"/>
        </w:rPr>
        <w:t xml:space="preserve">Umbrales verificados — Fracc. V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60"/>
        <w:gridCol w:w="2400"/>
      </w:tblGrid>
      <w:tr>
        <w:trPr>
          <w:tblHeader/>
        </w:trPr>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UMBRAL EN UMA</w:t>
            </w:r>
          </w:p>
        </w:tc>
        <w:tc>
          <w:tcPr>
            <w:tcW w:type="dxa" w:w="29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EQUIVALENTE EN PESOS (UMA 2026 = $117.31)</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OBSERVACIÓN</w:t>
            </w:r>
          </w:p>
        </w:tc>
      </w:tr>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D97706"/>
                <w:sz w:val="20"/>
                <w:szCs w:val="20"/>
              </w:rPr>
              <w:t xml:space="preserve">Identificación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Sin umbral separado</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Toda recepción de recursos activa obligaciones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Quien recibe recursos habitualmente para desarrollo queda obligado desde la primera operación.</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392B"/>
                <w:sz w:val="20"/>
                <w:szCs w:val="20"/>
              </w:rPr>
              <w:t xml:space="preserve">Aviso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 8,025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$941,862.75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Por cada recepción de recursos que supere este monto.</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0000"/>
                <w:sz w:val="20"/>
                <w:szCs w:val="20"/>
              </w:rPr>
              <w:t xml:space="preserve">Prohibición efectivo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 8,025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$941,862.75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Art. 32. Las aportaciones en efectivo por este monto están prohibidas.</w:t>
            </w:r>
          </w:p>
        </w:tc>
      </w:tr>
    </w:tbl>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La relevancia estratégica de esta fracción: el lavado de dinero en inmuebles clásicamente ocurría al inicio del proyecto (inyección de recursos) y no se capturaba hasta la escrituración final. La Fracc. V Bis cierra esa ventana.</w:t>
      </w:r>
    </w:p>
    <w:p>
      <w:pPr>
        <w:spacing w:before="0" w:after="100"/>
      </w:pPr>
      <w:r>
        <w:t xml:space="preserve"/>
      </w:r>
    </w:p>
    <w:p>
      <w:pPr>
        <w:pStyle w:val="Heading1"/>
        <w:shd w:fill="1C3557" w:val="clear"/>
        <w:spacing w:before="360" w:after="160"/>
        <w:ind w:left="200" w:right="200"/>
      </w:pPr>
      <w:r>
        <w:rPr>
          <w:rFonts w:ascii="Arial" w:cs="Arial" w:eastAsia="Arial" w:hAnsi="Arial"/>
          <w:b/>
          <w:bCs/>
          <w:color w:val="FFFFFF"/>
          <w:sz w:val="30"/>
          <w:szCs w:val="30"/>
        </w:rPr>
        <w:t xml:space="preserve">FRACCIÓN IV — MUTUO, GARANTÍA, CRÉDITO Y PRÉSTAMOS (NO ENTIDADES FINANCIERAS)</w:t>
      </w:r>
    </w:p>
    <w:p>
      <w:pPr>
        <w:pBdr>
          <w:left w:val="single" w:color="9CA3AF" w:sz="10" w:space="8"/>
        </w:pBdr>
        <w:shd w:fill="F3F4F6" w:val="clear"/>
        <w:spacing w:before="80" w:after="80"/>
        <w:ind w:left="200" w:right="200"/>
      </w:pPr>
      <w:r>
        <w:rPr>
          <w:rFonts w:ascii="Arial" w:cs="Arial" w:eastAsia="Arial" w:hAnsi="Arial"/>
          <w:i/>
          <w:iCs/>
          <w:color w:val="374151"/>
          <w:sz w:val="20"/>
          <w:szCs w:val="20"/>
        </w:rPr>
        <w:t xml:space="preserve">🌐  CONTEXTO GENERAL:  REFACIL/ETESA son SOFOM (Sociedad Financiera de Objeto Múltiple), que son Entidades Financieras reguladas por la CNBV. Las SOFOM están excluidas del Art. 17 y se rigen por su propia normativa sectorial (Art. 13-16). Esta fracción se incluye como contexto general para el grupo.</w:t>
      </w:r>
    </w:p>
    <w:p>
      <w:pPr>
        <w:spacing w:before="0" w:after="0"/>
      </w:pPr>
      <w:r>
        <w:t xml:space="preserve"/>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"El ofrecimiento habitual o profesional de operaciones de mutuo o de garantía o de otorgamiento de préstamos o créditos, con o sin garantía, por parte de sujetos distintos a las Entidades Financieras. Serán objeto de Aviso ante la Secretaría cuando el acto u operación sea por una cantidad igual o superior al equivalente a mil seiscientas cinco veces el valor diario de la UMA."</w:t>
      </w:r>
      <w:r>
        <w:rPr>
          <w:rFonts w:ascii="Arial" w:cs="Arial" w:eastAsia="Arial" w:hAnsi="Arial"/>
          <w:color w:val="666666"/>
          <w:sz w:val="18"/>
          <w:szCs w:val="18"/>
        </w:rPr>
        <w:t xml:space="preserve">  —  Art. 17, Fracc. IV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¿Quién queda obligado?</w:t>
      </w:r>
    </w:p>
    <w:p>
      <w:pPr>
        <w:pStyle w:val="ListParagraph"/>
        <w:numPr>
          <w:ilvl w:val="0"/>
          <w:numId w:val="2"/>
        </w:numPr>
        <w:spacing w:before="40" w:after="40"/>
      </w:pPr>
      <w:r>
        <w:rPr>
          <w:rFonts w:ascii="Arial" w:cs="Arial" w:eastAsia="Arial" w:hAnsi="Arial"/>
          <w:color w:val="222222"/>
          <w:sz w:val="22"/>
          <w:szCs w:val="22"/>
        </w:rPr>
        <w:t xml:space="preserve">Personas físicas o morales que de manera habitual o profesional otorgan crédito o préstamos fuera del sistema financiero formal.</w:t>
      </w:r>
    </w:p>
    <w:p>
      <w:pPr>
        <w:pStyle w:val="ListParagraph"/>
        <w:numPr>
          <w:ilvl w:val="0"/>
          <w:numId w:val="2"/>
        </w:numPr>
        <w:spacing w:before="40" w:after="40"/>
      </w:pPr>
      <w:r>
        <w:rPr>
          <w:rFonts w:ascii="Arial" w:cs="Arial" w:eastAsia="Arial" w:hAnsi="Arial"/>
          <w:color w:val="222222"/>
          <w:sz w:val="22"/>
          <w:szCs w:val="22"/>
        </w:rPr>
        <w:t xml:space="preserve">Empresas comerciales que ofrecen crédito directo a sus clientes (no como SOFOM, sino como política comercial propia).</w:t>
      </w:r>
    </w:p>
    <w:p>
      <w:pPr>
        <w:pStyle w:val="ListParagraph"/>
        <w:numPr>
          <w:ilvl w:val="0"/>
          <w:numId w:val="2"/>
        </w:numPr>
        <w:spacing w:before="40" w:after="40"/>
      </w:pPr>
      <w:r>
        <w:rPr>
          <w:rFonts w:ascii="Arial" w:cs="Arial" w:eastAsia="Arial" w:hAnsi="Arial"/>
          <w:color w:val="222222"/>
          <w:sz w:val="22"/>
          <w:szCs w:val="22"/>
        </w:rPr>
        <w:t xml:space="preserve">Grupos de ahorro y préstamo que no son cooperativas reguladas.</w:t>
      </w:r>
    </w:p>
    <w:p>
      <w:pPr>
        <w:pStyle w:val="ListParagraph"/>
        <w:numPr>
          <w:ilvl w:val="0"/>
          <w:numId w:val="2"/>
        </w:numPr>
        <w:spacing w:before="40" w:after="40"/>
      </w:pPr>
      <w:r>
        <w:rPr>
          <w:rFonts w:ascii="Arial" w:cs="Arial" w:eastAsia="Arial" w:hAnsi="Arial"/>
          <w:color w:val="222222"/>
          <w:sz w:val="22"/>
          <w:szCs w:val="22"/>
        </w:rPr>
        <w:t xml:space="preserve">Prestamistas privados con cartera de clientes recurrente.</w:t>
      </w:r>
    </w:p>
    <w:p>
      <w:pPr>
        <w:spacing w:before="0" w:after="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SOFOM y otras Entidades Financieras (bancos, uniones de crédito, cooperativas) NO quedan bajo Frac. IV. Están reguladas por el Art. 15 de la LFPIORPI y por sus propias leyes sectoriales bajo la supervisión de la CNBV.</w:t>
      </w:r>
    </w:p>
    <w:p>
      <w:pPr>
        <w:spacing w:before="0" w:after="0"/>
      </w:pPr>
      <w:r>
        <w:t xml:space="preserve"/>
      </w:r>
    </w:p>
    <w:p>
      <w:pPr>
        <w:spacing w:before="200" w:after="80"/>
      </w:pPr>
      <w:r>
        <w:rPr>
          <w:rFonts w:ascii="Arial" w:cs="Arial" w:eastAsia="Arial" w:hAnsi="Arial"/>
          <w:b/>
          <w:bCs/>
          <w:color w:val="1C3557"/>
          <w:sz w:val="23"/>
          <w:szCs w:val="23"/>
        </w:rPr>
        <w:t xml:space="preserve">Perfil de riesgo de esta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RIESGO INHERENTE</w:t>
            </w:r>
          </w:p>
          <w:p>
            <w:pPr>
              <w:jc w:val="center"/>
            </w:pPr>
            <w:r>
              <w:rPr>
                <w:rFonts w:ascii="Arial" w:cs="Arial" w:eastAsia="Arial" w:hAnsi="Arial"/>
                <w:b/>
                <w:bCs/>
                <w:color w:val="FFFFFF"/>
                <w:sz w:val="28"/>
                <w:szCs w:val="28"/>
              </w:rPr>
              <w:t xml:space="preserve">MEDIO-ALTO</w:t>
            </w:r>
          </w:p>
        </w:tc>
        <w:tc>
          <w:tcPr>
            <w:tcW w:type="dxa" w:w="7160"/>
            <w:tcBorders>
              <w:top w:val="single" w:color="CCCCCC" w:sz="1"/>
              <w:left w:val="single" w:color="CCCCCC" w:sz="1"/>
              <w:bottom w:val="single" w:color="CCCCCC" w:sz="1"/>
              <w:right w:val="single" w:color="CCCCCC" w:sz="1"/>
            </w:tcBorders>
            <w:shd w:fill="FEF9C3" w:val="clear"/>
            <w:tcMar>
              <w:top w:type="dxa" w:w="100"/>
              <w:left w:type="dxa" w:w="160"/>
              <w:bottom w:type="dxa" w:w="100"/>
              <w:right w:type="dxa" w:w="160"/>
            </w:tcMar>
          </w:tcPr>
          <w:p>
            <w:r>
              <w:rPr>
                <w:rFonts w:ascii="Arial" w:cs="Arial" w:eastAsia="Arial" w:hAnsi="Arial"/>
                <w:color w:val="1A1A1A"/>
                <w:sz w:val="21"/>
                <w:szCs w:val="21"/>
              </w:rPr>
              <w:t xml:space="preserve">El crédito y préstamo fuera del sistema financiero formal es un canal clásico de legitimación de recursos. La ausencia de supervisión prudencial, la facilidad para establecer tasas artificiales y la relación personal entre prestamista y prestatario crean condiciones propicias para el lavado. El GAFI lo señala como vector frecuente en economías con alto componente informal.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7FA" w:val="clear"/>
            <w:tcMar>
              <w:top w:type="dxa" w:w="0"/>
              <w:left w:type="dxa" w:w="120"/>
              <w:bottom w:type="dxa" w:w="80"/>
              <w:right w:type="dxa" w:w="120"/>
            </w:tcMar>
            <w:vAlign w:val="top"/>
          </w:tcPr>
          <w:p>
            <w:pPr>
              <w:shd w:fill="1C3557" w:val="clear"/>
              <w:spacing w:before="80" w:after="80"/>
            </w:pPr>
            <w:r>
              <w:rPr>
                <w:rFonts w:ascii="Arial" w:cs="Arial" w:eastAsia="Arial" w:hAnsi="Arial"/>
                <w:b/>
                <w:bCs/>
                <w:color w:val="FFFFFF"/>
                <w:sz w:val="20"/>
                <w:szCs w:val="20"/>
              </w:rPr>
              <w:t xml:space="preserve">VULNERABILIDADES DEL NEGOCIO</w:t>
            </w:r>
          </w:p>
          <w:p>
            <w:pPr>
              <w:pStyle w:val="ListParagraph"/>
              <w:numPr>
                <w:ilvl w:val="0"/>
                <w:numId w:val="2"/>
              </w:numPr>
              <w:spacing w:before="30" w:after="30"/>
            </w:pPr>
            <w:r>
              <w:rPr>
                <w:rFonts w:ascii="Arial" w:cs="Arial" w:eastAsia="Arial" w:hAnsi="Arial"/>
                <w:color w:val="1A1A1A"/>
                <w:sz w:val="19"/>
                <w:szCs w:val="19"/>
              </w:rPr>
              <w:t xml:space="preserve">Ausencia de supervisión prudencial: sin la CNBV supervisando, los controles internos dependen solo del sujeto obligado.</w:t>
            </w:r>
          </w:p>
          <w:p>
            <w:pPr>
              <w:pStyle w:val="ListParagraph"/>
              <w:numPr>
                <w:ilvl w:val="0"/>
                <w:numId w:val="2"/>
              </w:numPr>
              <w:spacing w:before="30" w:after="30"/>
            </w:pPr>
            <w:r>
              <w:rPr>
                <w:rFonts w:ascii="Arial" w:cs="Arial" w:eastAsia="Arial" w:hAnsi="Arial"/>
                <w:color w:val="1A1A1A"/>
                <w:sz w:val="19"/>
                <w:szCs w:val="19"/>
              </w:rPr>
              <w:t xml:space="preserve">Tasas artificiales: un préstamo sin interés o a tasas muy bajas puede encubrir una transferencia de recursos sin justificación.</w:t>
            </w:r>
          </w:p>
          <w:p>
            <w:pPr>
              <w:pStyle w:val="ListParagraph"/>
              <w:numPr>
                <w:ilvl w:val="0"/>
                <w:numId w:val="2"/>
              </w:numPr>
              <w:spacing w:before="30" w:after="30"/>
            </w:pPr>
            <w:r>
              <w:rPr>
                <w:rFonts w:ascii="Arial" w:cs="Arial" w:eastAsia="Arial" w:hAnsi="Arial"/>
                <w:color w:val="1A1A1A"/>
                <w:sz w:val="19"/>
                <w:szCs w:val="19"/>
              </w:rPr>
              <w:t xml:space="preserve">Informalidad de los contratos: contratos privados sin intervención notarial dificultan la reconstrucción de operaciones.</w:t>
            </w:r>
          </w:p>
          <w:p>
            <w:pPr>
              <w:pStyle w:val="ListParagraph"/>
              <w:numPr>
                <w:ilvl w:val="0"/>
                <w:numId w:val="2"/>
              </w:numPr>
              <w:spacing w:before="30" w:after="30"/>
            </w:pPr>
            <w:r>
              <w:rPr>
                <w:rFonts w:ascii="Arial" w:cs="Arial" w:eastAsia="Arial" w:hAnsi="Arial"/>
                <w:color w:val="1A1A1A"/>
                <w:sz w:val="19"/>
                <w:szCs w:val="19"/>
              </w:rPr>
              <w:t xml:space="preserve">Difícil distinción entre préstamo real y 'préstamo ficticio' creado para justificar origen de fondos.</w:t>
            </w:r>
          </w:p>
          <w:p>
            <w:pPr>
              <w:pStyle w:val="ListParagraph"/>
              <w:numPr>
                <w:ilvl w:val="0"/>
                <w:numId w:val="2"/>
              </w:numPr>
              <w:spacing w:before="30" w:after="30"/>
            </w:pPr>
            <w:r>
              <w:rPr>
                <w:rFonts w:ascii="Arial" w:cs="Arial" w:eastAsia="Arial" w:hAnsi="Arial"/>
                <w:color w:val="1A1A1A"/>
                <w:sz w:val="19"/>
                <w:szCs w:val="19"/>
              </w:rPr>
              <w:t xml:space="preserve">Falta de garantías reales que dificulta evaluar si el prestatario puede pagar con ingresos legítimos.</w:t>
            </w:r>
          </w:p>
        </w:tc>
        <w:tc>
          <w:tcPr>
            <w:tcW w:type="dxa" w:w="3120"/>
            <w:tcBorders>
              <w:top w:val="single" w:color="CCCCCC" w:sz="1"/>
              <w:left w:val="single" w:color="CCCCCC" w:sz="1"/>
              <w:bottom w:val="single" w:color="CCCCCC" w:sz="1"/>
              <w:right w:val="single" w:color="CCCCCC" w:sz="1"/>
            </w:tcBorders>
            <w:shd w:fill="EFF6FF" w:val="clear"/>
            <w:tcMar>
              <w:top w:type="dxa" w:w="0"/>
              <w:left w:type="dxa" w:w="120"/>
              <w:bottom w:type="dxa" w:w="80"/>
              <w:right w:type="dxa" w:w="120"/>
            </w:tcMar>
            <w:vAlign w:val="top"/>
          </w:tcPr>
          <w:p>
            <w:pPr>
              <w:shd w:fill="2E5A8E" w:val="clear"/>
              <w:spacing w:before="80" w:after="80"/>
            </w:pPr>
            <w:r>
              <w:rPr>
                <w:rFonts w:ascii="Arial" w:cs="Arial" w:eastAsia="Arial" w:hAnsi="Arial"/>
                <w:b/>
                <w:bCs/>
                <w:color w:val="FFFFFF"/>
                <w:sz w:val="20"/>
                <w:szCs w:val="20"/>
              </w:rPr>
              <w:t xml:space="preserve">FACTORES DE RIESGO DEL CLIENTE</w:t>
            </w:r>
          </w:p>
          <w:p>
            <w:pPr>
              <w:pStyle w:val="ListParagraph"/>
              <w:numPr>
                <w:ilvl w:val="0"/>
                <w:numId w:val="2"/>
              </w:numPr>
              <w:spacing w:before="30" w:after="30"/>
            </w:pPr>
            <w:r>
              <w:rPr>
                <w:rFonts w:ascii="Arial" w:cs="Arial" w:eastAsia="Arial" w:hAnsi="Arial"/>
                <w:color w:val="1A1A1A"/>
                <w:sz w:val="19"/>
                <w:szCs w:val="19"/>
              </w:rPr>
              <w:t xml:space="preserve">Prestatarios cuya actividad económica no justifica la capacidad de pago del crédito.</w:t>
            </w:r>
          </w:p>
          <w:p>
            <w:pPr>
              <w:pStyle w:val="ListParagraph"/>
              <w:numPr>
                <w:ilvl w:val="0"/>
                <w:numId w:val="2"/>
              </w:numPr>
              <w:spacing w:before="30" w:after="30"/>
            </w:pPr>
            <w:r>
              <w:rPr>
                <w:rFonts w:ascii="Arial" w:cs="Arial" w:eastAsia="Arial" w:hAnsi="Arial"/>
                <w:color w:val="1A1A1A"/>
                <w:sz w:val="19"/>
                <w:szCs w:val="19"/>
              </w:rPr>
              <w:t xml:space="preserve">Grupos de personas vinculadas que solicitan créditos similares al mismo tiempo (posible fraccionamiento).</w:t>
            </w:r>
          </w:p>
          <w:p>
            <w:pPr>
              <w:pStyle w:val="ListParagraph"/>
              <w:numPr>
                <w:ilvl w:val="0"/>
                <w:numId w:val="2"/>
              </w:numPr>
              <w:spacing w:before="30" w:after="30"/>
            </w:pPr>
            <w:r>
              <w:rPr>
                <w:rFonts w:ascii="Arial" w:cs="Arial" w:eastAsia="Arial" w:hAnsi="Arial"/>
                <w:color w:val="1A1A1A"/>
                <w:sz w:val="19"/>
                <w:szCs w:val="19"/>
              </w:rPr>
              <w:t xml:space="preserve">Empresas con poco tiempo de operación y sin historial crediticio que solicitan montos elevados.</w:t>
            </w:r>
          </w:p>
          <w:p>
            <w:pPr>
              <w:pStyle w:val="ListParagraph"/>
              <w:numPr>
                <w:ilvl w:val="0"/>
                <w:numId w:val="2"/>
              </w:numPr>
              <w:spacing w:before="30" w:after="30"/>
            </w:pPr>
            <w:r>
              <w:rPr>
                <w:rFonts w:ascii="Arial" w:cs="Arial" w:eastAsia="Arial" w:hAnsi="Arial"/>
                <w:color w:val="1A1A1A"/>
                <w:sz w:val="19"/>
                <w:szCs w:val="19"/>
              </w:rPr>
              <w:t xml:space="preserve">PPE que solicitan créditos privados para financiar bienes de lujo o inversiones.</w:t>
            </w:r>
          </w:p>
          <w:p>
            <w:pPr>
              <w:pStyle w:val="ListParagraph"/>
              <w:numPr>
                <w:ilvl w:val="0"/>
                <w:numId w:val="2"/>
              </w:numPr>
              <w:spacing w:before="30" w:after="30"/>
            </w:pPr>
            <w:r>
              <w:rPr>
                <w:rFonts w:ascii="Arial" w:cs="Arial" w:eastAsia="Arial" w:hAnsi="Arial"/>
                <w:color w:val="1A1A1A"/>
                <w:sz w:val="19"/>
                <w:szCs w:val="19"/>
              </w:rPr>
              <w:t xml:space="preserve">Prestatarios que pagan anticipadamente y en efectivo sin justificación económica.</w:t>
            </w:r>
          </w:p>
        </w:tc>
        <w:tc>
          <w:tcPr>
            <w:tcW w:type="dxa" w:w="3120"/>
            <w:tcBorders>
              <w:top w:val="single" w:color="CCCCCC" w:sz="1"/>
              <w:left w:val="single" w:color="CCCCCC" w:sz="1"/>
              <w:bottom w:val="single" w:color="CCCCCC" w:sz="1"/>
              <w:right w:val="single" w:color="CCCCCC" w:sz="1"/>
            </w:tcBorders>
            <w:shd w:fill="FEF2F2" w:val="clear"/>
            <w:tcMar>
              <w:top w:type="dxa" w:w="0"/>
              <w:left w:type="dxa" w:w="120"/>
              <w:bottom w:type="dxa" w:w="80"/>
              <w:right w:type="dxa" w:w="120"/>
            </w:tcMar>
            <w:vAlign w:val="top"/>
          </w:tcPr>
          <w:p>
            <w:pPr>
              <w:shd w:fill="7F1D1D" w:val="clear"/>
              <w:spacing w:before="80" w:after="80"/>
            </w:pPr>
            <w:r>
              <w:rPr>
                <w:rFonts w:ascii="Arial" w:cs="Arial" w:eastAsia="Arial" w:hAnsi="Arial"/>
                <w:b/>
                <w:bCs/>
                <w:color w:val="FFFFFF"/>
                <w:sz w:val="20"/>
                <w:szCs w:val="20"/>
              </w:rPr>
              <w:t xml:space="preserve">TIPOLOGIAS DE LAVADO</w:t>
            </w:r>
          </w:p>
          <w:p>
            <w:pPr>
              <w:pStyle w:val="ListParagraph"/>
              <w:numPr>
                <w:ilvl w:val="0"/>
                <w:numId w:val="2"/>
              </w:numPr>
              <w:spacing w:before="30" w:after="30"/>
            </w:pPr>
            <w:r>
              <w:rPr>
                <w:rFonts w:ascii="Arial" w:cs="Arial" w:eastAsia="Arial" w:hAnsi="Arial"/>
                <w:color w:val="1A1A1A"/>
                <w:sz w:val="19"/>
                <w:szCs w:val="19"/>
              </w:rPr>
              <w:t xml:space="preserve">Préstamos ficticios: se firma un contrato de mutuo pero nunca hubo entrega real de recursos; sirve para 'justificar' ingresos futuros del prestatario.</w:t>
            </w:r>
          </w:p>
          <w:p>
            <w:pPr>
              <w:pStyle w:val="ListParagraph"/>
              <w:numPr>
                <w:ilvl w:val="0"/>
                <w:numId w:val="2"/>
              </w:numPr>
              <w:spacing w:before="30" w:after="30"/>
            </w:pPr>
            <w:r>
              <w:rPr>
                <w:rFonts w:ascii="Arial" w:cs="Arial" w:eastAsia="Arial" w:hAnsi="Arial"/>
                <w:color w:val="1A1A1A"/>
                <w:sz w:val="19"/>
                <w:szCs w:val="19"/>
              </w:rPr>
              <w:t xml:space="preserve">Intereses como disfraz: los pagos de intereses artificialmente altos son el mecanismo para transferir recursos del prestamista al prestatario bajo apariencia de rendimiento.</w:t>
            </w:r>
          </w:p>
          <w:p>
            <w:pPr>
              <w:pStyle w:val="ListParagraph"/>
              <w:numPr>
                <w:ilvl w:val="0"/>
                <w:numId w:val="2"/>
              </w:numPr>
              <w:spacing w:before="30" w:after="30"/>
            </w:pPr>
            <w:r>
              <w:rPr>
                <w:rFonts w:ascii="Arial" w:cs="Arial" w:eastAsia="Arial" w:hAnsi="Arial"/>
                <w:color w:val="1A1A1A"/>
                <w:sz w:val="19"/>
                <w:szCs w:val="19"/>
              </w:rPr>
              <w:t xml:space="preserve">Ciclo circular: el prestatario 'devuelve' el préstamo con recursos ilícitos, que ahora aparecen como pago legítimo de una deuda documentada.</w:t>
            </w:r>
          </w:p>
          <w:p>
            <w:pPr>
              <w:pStyle w:val="ListParagraph"/>
              <w:numPr>
                <w:ilvl w:val="0"/>
                <w:numId w:val="2"/>
              </w:numPr>
              <w:spacing w:before="30" w:after="30"/>
            </w:pPr>
            <w:r>
              <w:rPr>
                <w:rFonts w:ascii="Arial" w:cs="Arial" w:eastAsia="Arial" w:hAnsi="Arial"/>
                <w:color w:val="1A1A1A"/>
                <w:sz w:val="19"/>
                <w:szCs w:val="19"/>
              </w:rPr>
              <w:t xml:space="preserve">Préstamos a prestanombres: el crédito se otorga a una persona de paja que usa los recursos para beneficio del verdadero BC.</w:t>
            </w:r>
          </w:p>
        </w:tc>
      </w:tr>
    </w:tbl>
    <w:p>
      <w:pPr>
        <w:spacing w:before="0" w:after="100"/>
      </w:pPr>
      <w:r>
        <w:t xml:space="preserve"/>
      </w:r>
    </w:p>
    <w:p>
      <w:pPr>
        <w:spacing w:before="200" w:after="80"/>
      </w:pPr>
      <w:r>
        <w:rPr>
          <w:rFonts w:ascii="Arial" w:cs="Arial" w:eastAsia="Arial" w:hAnsi="Arial"/>
          <w:b/>
          <w:bCs/>
          <w:color w:val="1C3557"/>
          <w:sz w:val="23"/>
          <w:szCs w:val="23"/>
        </w:rPr>
        <w:t xml:space="preserve">Umbrales verificados — Fracc.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60"/>
        <w:gridCol w:w="2400"/>
      </w:tblGrid>
      <w:tr>
        <w:trPr>
          <w:tblHeader/>
        </w:trPr>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UMBRAL EN UMA</w:t>
            </w:r>
          </w:p>
        </w:tc>
        <w:tc>
          <w:tcPr>
            <w:tcW w:type="dxa" w:w="29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EQUIVALENTE EN PESOS (UMA 2026 = $117.31)</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OBSERVACIÓN</w:t>
            </w:r>
          </w:p>
        </w:tc>
      </w:tr>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D97706"/>
                <w:sz w:val="20"/>
                <w:szCs w:val="20"/>
              </w:rPr>
              <w:t xml:space="preserve">Identificación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Sin umbral separado</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Toda operación habitual activa obligaciones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El ofrecimiento habitual o profesional activa el Art. 18 completo desde la primera operación.</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392B"/>
                <w:sz w:val="20"/>
                <w:szCs w:val="20"/>
              </w:rPr>
              <w:t xml:space="preserve">Aviso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 1,605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$188,282.55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Por cada acto u operación de mutuo, garantía, préstamo o crédito que supere este monto.</w:t>
            </w:r>
          </w:p>
        </w:tc>
      </w:tr>
      <w:tr>
        <w:tc>
          <w:tcPr>
            <w:tcW w:type="dxa" w:w="20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b/>
                <w:bCs/>
                <w:color w:val="0E7490"/>
                <w:sz w:val="20"/>
                <w:szCs w:val="20"/>
              </w:rPr>
              <w:t xml:space="preserve">Acumulación 6 meses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D2137"/>
                <w:sz w:val="20"/>
                <w:szCs w:val="20"/>
              </w:rPr>
              <w:t xml:space="preserve">Suma ≥ 1,605 UMA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Suma que supere $188,282.55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9"/>
                <w:szCs w:val="19"/>
              </w:rPr>
              <w:t xml:space="preserve">Créditos menores al umbral que acumulados en 6 meses lo superan.</w:t>
            </w:r>
          </w:p>
        </w:tc>
      </w:tr>
    </w:tbl>
    <w:p>
      <w:pPr>
        <w:spacing w:before="0" w:after="0"/>
      </w:pPr>
      <w:r>
        <w:t xml:space="preserve"/>
      </w:r>
    </w:p>
    <w:p>
      <w:pPr>
        <w:spacing w:before="200" w:after="80"/>
      </w:pPr>
      <w:r>
        <w:rPr>
          <w:rFonts w:ascii="Arial" w:cs="Arial" w:eastAsia="Arial" w:hAnsi="Arial"/>
          <w:b/>
          <w:bCs/>
          <w:color w:val="1C3557"/>
          <w:sz w:val="23"/>
          <w:szCs w:val="23"/>
        </w:rPr>
        <w:t xml:space="preserve">Señales de alerta en crédito y préstamos informales</w:t>
      </w:r>
    </w:p>
    <w:p>
      <w:pPr>
        <w:pStyle w:val="ListParagraph"/>
        <w:numPr>
          <w:ilvl w:val="0"/>
          <w:numId w:val="2"/>
        </w:numPr>
        <w:spacing w:before="40" w:after="40"/>
      </w:pPr>
      <w:r>
        <w:rPr>
          <w:rFonts w:ascii="Arial" w:cs="Arial" w:eastAsia="Arial" w:hAnsi="Arial"/>
          <w:color w:val="222222"/>
          <w:sz w:val="22"/>
          <w:szCs w:val="22"/>
        </w:rPr>
        <w:t xml:space="preserve">Prestatario que paga en efectivo montos elevados sin justificar el origen.</w:t>
      </w:r>
    </w:p>
    <w:p>
      <w:pPr>
        <w:pStyle w:val="ListParagraph"/>
        <w:numPr>
          <w:ilvl w:val="0"/>
          <w:numId w:val="2"/>
        </w:numPr>
        <w:spacing w:before="40" w:after="40"/>
      </w:pPr>
      <w:r>
        <w:rPr>
          <w:rFonts w:ascii="Arial" w:cs="Arial" w:eastAsia="Arial" w:hAnsi="Arial"/>
          <w:color w:val="222222"/>
          <w:sz w:val="22"/>
          <w:szCs w:val="22"/>
        </w:rPr>
        <w:t xml:space="preserve">Préstamos a tasas inusualmente bajas o incluso sin intereses (puede ser disfraz de transferencia de recursos).</w:t>
      </w:r>
    </w:p>
    <w:p>
      <w:pPr>
        <w:pStyle w:val="ListParagraph"/>
        <w:numPr>
          <w:ilvl w:val="0"/>
          <w:numId w:val="2"/>
        </w:numPr>
        <w:spacing w:before="40" w:after="40"/>
      </w:pPr>
      <w:r>
        <w:rPr>
          <w:rFonts w:ascii="Arial" w:cs="Arial" w:eastAsia="Arial" w:hAnsi="Arial"/>
          <w:color w:val="222222"/>
          <w:sz w:val="22"/>
          <w:szCs w:val="22"/>
        </w:rPr>
        <w:t xml:space="preserve">Prestatario con actividad económica inconsistente con el monto del crédito solicitado.</w:t>
      </w:r>
    </w:p>
    <w:p>
      <w:pPr>
        <w:pStyle w:val="ListParagraph"/>
        <w:numPr>
          <w:ilvl w:val="0"/>
          <w:numId w:val="2"/>
        </w:numPr>
        <w:spacing w:before="40" w:after="40"/>
      </w:pPr>
      <w:r>
        <w:rPr>
          <w:rFonts w:ascii="Arial" w:cs="Arial" w:eastAsia="Arial" w:hAnsi="Arial"/>
          <w:color w:val="222222"/>
          <w:sz w:val="22"/>
          <w:szCs w:val="22"/>
        </w:rPr>
        <w:t xml:space="preserve">Múltiples personas del mismo círculo solicitan créditos similares en el mismo período.</w:t>
      </w:r>
    </w:p>
    <w:p>
      <w:pPr>
        <w:pStyle w:val="ListParagraph"/>
        <w:numPr>
          <w:ilvl w:val="0"/>
          <w:numId w:val="2"/>
        </w:numPr>
        <w:spacing w:before="40" w:after="40"/>
      </w:pPr>
      <w:r>
        <w:rPr>
          <w:rFonts w:ascii="Arial" w:cs="Arial" w:eastAsia="Arial" w:hAnsi="Arial"/>
          <w:color w:val="222222"/>
          <w:sz w:val="22"/>
          <w:szCs w:val="22"/>
        </w:rPr>
        <w:t xml:space="preserve">Garantías que parecen sobrevaloradas o de procedencia poco clara.</w:t>
      </w:r>
    </w:p>
    <w:p>
      <w:pPr>
        <w:spacing w:before="0" w:after="100"/>
      </w:pPr>
      <w:r>
        <w:t xml:space="preserve"/>
      </w:r>
    </w:p>
    <w:p>
      <w:pPr>
        <w:pStyle w:val="Heading1"/>
        <w:shd w:fill="1C3557" w:val="clear"/>
        <w:spacing w:before="360" w:after="160"/>
        <w:ind w:left="200" w:right="200"/>
      </w:pPr>
      <w:r>
        <w:rPr>
          <w:rFonts w:ascii="Arial" w:cs="Arial" w:eastAsia="Arial" w:hAnsi="Arial"/>
          <w:b/>
          <w:bCs/>
          <w:color w:val="FFFFFF"/>
          <w:sz w:val="30"/>
          <w:szCs w:val="30"/>
        </w:rPr>
        <w:t xml:space="preserve">FRACCIÓN II — TARJETAS, PREPAGADAS Y MONEDEROS ELECTRÓNICOS</w:t>
      </w:r>
    </w:p>
    <w:p>
      <w:pPr>
        <w:pBdr>
          <w:left w:val="single" w:color="9CA3AF" w:sz="10" w:space="8"/>
        </w:pBdr>
        <w:shd w:fill="F3F4F6" w:val="clear"/>
        <w:spacing w:before="80" w:after="80"/>
        <w:ind w:left="200" w:right="200"/>
      </w:pPr>
      <w:r>
        <w:rPr>
          <w:rFonts w:ascii="Arial" w:cs="Arial" w:eastAsia="Arial" w:hAnsi="Arial"/>
          <w:i/>
          <w:iCs/>
          <w:color w:val="374151"/>
          <w:sz w:val="20"/>
          <w:szCs w:val="20"/>
        </w:rPr>
        <w:t xml:space="preserve">🌐  CONTEXTO GENERAL:  Esta fracción no aplica directamente a ninguna empresa del grupo Peredo. Se incluye como contexto general por ser una actividad vulnerable de creciente relevancia en el mercado mexicano y por la confusión frecuente con los productos financieros cotidianos.</w:t>
      </w:r>
    </w:p>
    <w:p>
      <w:pPr>
        <w:spacing w:before="0" w:after="0"/>
      </w:pPr>
      <w:r>
        <w:t xml:space="preserve"/>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 emisión o comercialización, habitual o profesional, distinta a la realizada por las Entidades Financieras de: a) Tarjetas de servicios o de crédito cuando el gasto mensual acumulado en la cuenta de la tarjeta sea igual o superior al equivalente a ochocientas cinco veces el valor diario de la UMA; b) Tarjetas prepagadas, cuando su comercialización o abono de recursos se realice por una cantidad igual o superior al equivalente a seiscientas cuarenta y cinco veces el valor diario de la UMA, por operación; y c) Instrumentos de almacenamiento de valor monetario cuando su emisión, comercialización o abono de recursos sea por una cantidad igual o superior al equivalente a seiscientas cuarenta y cinco veces el valor diario de la UMA, por operación."</w:t>
      </w:r>
      <w:r>
        <w:rPr>
          <w:rFonts w:ascii="Arial" w:cs="Arial" w:eastAsia="Arial" w:hAnsi="Arial"/>
          <w:color w:val="666666"/>
          <w:sz w:val="18"/>
          <w:szCs w:val="18"/>
        </w:rPr>
        <w:t xml:space="preserve">  —  Art. 17, Fracc. II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Perfil de riesgo de esta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RIESGO INHERENTE</w:t>
            </w:r>
          </w:p>
          <w:p>
            <w:pPr>
              <w:jc w:val="center"/>
            </w:pPr>
            <w:r>
              <w:rPr>
                <w:rFonts w:ascii="Arial" w:cs="Arial" w:eastAsia="Arial" w:hAnsi="Arial"/>
                <w:b/>
                <w:bCs/>
                <w:color w:val="FFFFFF"/>
                <w:sz w:val="28"/>
                <w:szCs w:val="28"/>
              </w:rPr>
              <w:t xml:space="preserve">ALTO</w:t>
            </w:r>
          </w:p>
        </w:tc>
        <w:tc>
          <w:tcPr>
            <w:tcW w:type="dxa" w:w="71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A1A1A"/>
                <w:sz w:val="21"/>
                <w:szCs w:val="21"/>
              </w:rPr>
              <w:t xml:space="preserve">Las tarjetas prepagadas y los monederos electrónicos son identificados por el GAFI como uno de los vectores de mayor crecimiento en lavado y financiamiento al terrorismo. La posibilidad de operarlos de forma anónima, transferir valor internacionalmente y fraccionar montos los hace especialmente atractivos para organizaciones criminales.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7FA" w:val="clear"/>
            <w:tcMar>
              <w:top w:type="dxa" w:w="0"/>
              <w:left w:type="dxa" w:w="120"/>
              <w:bottom w:type="dxa" w:w="80"/>
              <w:right w:type="dxa" w:w="120"/>
            </w:tcMar>
            <w:vAlign w:val="top"/>
          </w:tcPr>
          <w:p>
            <w:pPr>
              <w:shd w:fill="1C3557" w:val="clear"/>
              <w:spacing w:before="80" w:after="80"/>
            </w:pPr>
            <w:r>
              <w:rPr>
                <w:rFonts w:ascii="Arial" w:cs="Arial" w:eastAsia="Arial" w:hAnsi="Arial"/>
                <w:b/>
                <w:bCs/>
                <w:color w:val="FFFFFF"/>
                <w:sz w:val="20"/>
                <w:szCs w:val="20"/>
              </w:rPr>
              <w:t xml:space="preserve">VULNERABILIDADES DEL NEGOCIO</w:t>
            </w:r>
          </w:p>
          <w:p>
            <w:pPr>
              <w:pStyle w:val="ListParagraph"/>
              <w:numPr>
                <w:ilvl w:val="0"/>
                <w:numId w:val="2"/>
              </w:numPr>
              <w:spacing w:before="30" w:after="30"/>
            </w:pPr>
            <w:r>
              <w:rPr>
                <w:rFonts w:ascii="Arial" w:cs="Arial" w:eastAsia="Arial" w:hAnsi="Arial"/>
                <w:color w:val="1A1A1A"/>
                <w:sz w:val="19"/>
                <w:szCs w:val="19"/>
              </w:rPr>
              <w:t xml:space="preserve">Anonimato funcional: las tarjetas prepagadas pueden comprarse y usarse sin identificación en umbrales bajos.</w:t>
            </w:r>
          </w:p>
          <w:p>
            <w:pPr>
              <w:pStyle w:val="ListParagraph"/>
              <w:numPr>
                <w:ilvl w:val="0"/>
                <w:numId w:val="2"/>
              </w:numPr>
              <w:spacing w:before="30" w:after="30"/>
            </w:pPr>
            <w:r>
              <w:rPr>
                <w:rFonts w:ascii="Arial" w:cs="Arial" w:eastAsia="Arial" w:hAnsi="Arial"/>
                <w:color w:val="1A1A1A"/>
                <w:sz w:val="19"/>
                <w:szCs w:val="19"/>
              </w:rPr>
              <w:t xml:space="preserve">Facilidad de transferencia internacional: el valor almacenado cruza fronteras sin los controles del sistema bancario.</w:t>
            </w:r>
          </w:p>
          <w:p>
            <w:pPr>
              <w:pStyle w:val="ListParagraph"/>
              <w:numPr>
                <w:ilvl w:val="0"/>
                <w:numId w:val="2"/>
              </w:numPr>
              <w:spacing w:before="30" w:after="30"/>
            </w:pPr>
            <w:r>
              <w:rPr>
                <w:rFonts w:ascii="Arial" w:cs="Arial" w:eastAsia="Arial" w:hAnsi="Arial"/>
                <w:color w:val="1A1A1A"/>
                <w:sz w:val="19"/>
                <w:szCs w:val="19"/>
              </w:rPr>
              <w:t xml:space="preserve">Fraccionamiento natural: múltiples tarjetas de bajo valor individual son difíciles de monitorear de forma agregada.</w:t>
            </w:r>
          </w:p>
          <w:p>
            <w:pPr>
              <w:pStyle w:val="ListParagraph"/>
              <w:numPr>
                <w:ilvl w:val="0"/>
                <w:numId w:val="2"/>
              </w:numPr>
              <w:spacing w:before="30" w:after="30"/>
            </w:pPr>
            <w:r>
              <w:rPr>
                <w:rFonts w:ascii="Arial" w:cs="Arial" w:eastAsia="Arial" w:hAnsi="Arial"/>
                <w:color w:val="1A1A1A"/>
                <w:sz w:val="19"/>
                <w:szCs w:val="19"/>
              </w:rPr>
              <w:t xml:space="preserve">Canales de distribución amplios: se venden en tiendas de conveniencia, gasolineras y plataformas en línea con poca supervisión.</w:t>
            </w:r>
          </w:p>
          <w:p>
            <w:pPr>
              <w:pStyle w:val="ListParagraph"/>
              <w:numPr>
                <w:ilvl w:val="0"/>
                <w:numId w:val="2"/>
              </w:numPr>
              <w:spacing w:before="30" w:after="30"/>
            </w:pPr>
            <w:r>
              <w:rPr>
                <w:rFonts w:ascii="Arial" w:cs="Arial" w:eastAsia="Arial" w:hAnsi="Arial"/>
                <w:color w:val="1A1A1A"/>
                <w:sz w:val="19"/>
                <w:szCs w:val="19"/>
              </w:rPr>
              <w:t xml:space="preserve">Volatilidad del producto: las tarjetas pueden activarse, usarse y desactivarse rápidamente dejando poco rastro.</w:t>
            </w:r>
          </w:p>
        </w:tc>
        <w:tc>
          <w:tcPr>
            <w:tcW w:type="dxa" w:w="3120"/>
            <w:tcBorders>
              <w:top w:val="single" w:color="CCCCCC" w:sz="1"/>
              <w:left w:val="single" w:color="CCCCCC" w:sz="1"/>
              <w:bottom w:val="single" w:color="CCCCCC" w:sz="1"/>
              <w:right w:val="single" w:color="CCCCCC" w:sz="1"/>
            </w:tcBorders>
            <w:shd w:fill="EFF6FF" w:val="clear"/>
            <w:tcMar>
              <w:top w:type="dxa" w:w="0"/>
              <w:left w:type="dxa" w:w="120"/>
              <w:bottom w:type="dxa" w:w="80"/>
              <w:right w:type="dxa" w:w="120"/>
            </w:tcMar>
            <w:vAlign w:val="top"/>
          </w:tcPr>
          <w:p>
            <w:pPr>
              <w:shd w:fill="2E5A8E" w:val="clear"/>
              <w:spacing w:before="80" w:after="80"/>
            </w:pPr>
            <w:r>
              <w:rPr>
                <w:rFonts w:ascii="Arial" w:cs="Arial" w:eastAsia="Arial" w:hAnsi="Arial"/>
                <w:b/>
                <w:bCs/>
                <w:color w:val="FFFFFF"/>
                <w:sz w:val="20"/>
                <w:szCs w:val="20"/>
              </w:rPr>
              <w:t xml:space="preserve">FACTORES DE RIESGO DEL CLIENTE</w:t>
            </w:r>
          </w:p>
          <w:p>
            <w:pPr>
              <w:pStyle w:val="ListParagraph"/>
              <w:numPr>
                <w:ilvl w:val="0"/>
                <w:numId w:val="2"/>
              </w:numPr>
              <w:spacing w:before="30" w:after="30"/>
            </w:pPr>
            <w:r>
              <w:rPr>
                <w:rFonts w:ascii="Arial" w:cs="Arial" w:eastAsia="Arial" w:hAnsi="Arial"/>
                <w:color w:val="1A1A1A"/>
                <w:sz w:val="19"/>
                <w:szCs w:val="19"/>
              </w:rPr>
              <w:t xml:space="preserve">Personas que compran múltiples tarjetas en el mismo punto de venta o en el mismo día.</w:t>
            </w:r>
          </w:p>
          <w:p>
            <w:pPr>
              <w:pStyle w:val="ListParagraph"/>
              <w:numPr>
                <w:ilvl w:val="0"/>
                <w:numId w:val="2"/>
              </w:numPr>
              <w:spacing w:before="30" w:after="30"/>
            </w:pPr>
            <w:r>
              <w:rPr>
                <w:rFonts w:ascii="Arial" w:cs="Arial" w:eastAsia="Arial" w:hAnsi="Arial"/>
                <w:color w:val="1A1A1A"/>
                <w:sz w:val="19"/>
                <w:szCs w:val="19"/>
              </w:rPr>
              <w:t xml:space="preserve">Compradores en efectivo que evitan proporcionar datos de identificación.</w:t>
            </w:r>
          </w:p>
          <w:p>
            <w:pPr>
              <w:pStyle w:val="ListParagraph"/>
              <w:numPr>
                <w:ilvl w:val="0"/>
                <w:numId w:val="2"/>
              </w:numPr>
              <w:spacing w:before="30" w:after="30"/>
            </w:pPr>
            <w:r>
              <w:rPr>
                <w:rFonts w:ascii="Arial" w:cs="Arial" w:eastAsia="Arial" w:hAnsi="Arial"/>
                <w:color w:val="1A1A1A"/>
                <w:sz w:val="19"/>
                <w:szCs w:val="19"/>
              </w:rPr>
              <w:t xml:space="preserve">Personas físicas o morales con actividad económica inconsistente con el volumen de recargas.</w:t>
            </w:r>
          </w:p>
          <w:p>
            <w:pPr>
              <w:pStyle w:val="ListParagraph"/>
              <w:numPr>
                <w:ilvl w:val="0"/>
                <w:numId w:val="2"/>
              </w:numPr>
              <w:spacing w:before="30" w:after="30"/>
            </w:pPr>
            <w:r>
              <w:rPr>
                <w:rFonts w:ascii="Arial" w:cs="Arial" w:eastAsia="Arial" w:hAnsi="Arial"/>
                <w:color w:val="1A1A1A"/>
                <w:sz w:val="19"/>
                <w:szCs w:val="19"/>
              </w:rPr>
              <w:t xml:space="preserve">Clientes de países identificados por el GAFI como de alto riesgo.</w:t>
            </w:r>
          </w:p>
          <w:p>
            <w:pPr>
              <w:pStyle w:val="ListParagraph"/>
              <w:numPr>
                <w:ilvl w:val="0"/>
                <w:numId w:val="2"/>
              </w:numPr>
              <w:spacing w:before="30" w:after="30"/>
            </w:pPr>
            <w:r>
              <w:rPr>
                <w:rFonts w:ascii="Arial" w:cs="Arial" w:eastAsia="Arial" w:hAnsi="Arial"/>
                <w:color w:val="1A1A1A"/>
                <w:sz w:val="19"/>
                <w:szCs w:val="19"/>
              </w:rPr>
              <w:t xml:space="preserve">Personas que transfieren saldos a tarjetas en el extranjero inmediatamente después de la recarga.</w:t>
            </w:r>
          </w:p>
        </w:tc>
        <w:tc>
          <w:tcPr>
            <w:tcW w:type="dxa" w:w="3120"/>
            <w:tcBorders>
              <w:top w:val="single" w:color="CCCCCC" w:sz="1"/>
              <w:left w:val="single" w:color="CCCCCC" w:sz="1"/>
              <w:bottom w:val="single" w:color="CCCCCC" w:sz="1"/>
              <w:right w:val="single" w:color="CCCCCC" w:sz="1"/>
            </w:tcBorders>
            <w:shd w:fill="FEF2F2" w:val="clear"/>
            <w:tcMar>
              <w:top w:type="dxa" w:w="0"/>
              <w:left w:type="dxa" w:w="120"/>
              <w:bottom w:type="dxa" w:w="80"/>
              <w:right w:type="dxa" w:w="120"/>
            </w:tcMar>
            <w:vAlign w:val="top"/>
          </w:tcPr>
          <w:p>
            <w:pPr>
              <w:shd w:fill="7F1D1D" w:val="clear"/>
              <w:spacing w:before="80" w:after="80"/>
            </w:pPr>
            <w:r>
              <w:rPr>
                <w:rFonts w:ascii="Arial" w:cs="Arial" w:eastAsia="Arial" w:hAnsi="Arial"/>
                <w:b/>
                <w:bCs/>
                <w:color w:val="FFFFFF"/>
                <w:sz w:val="20"/>
                <w:szCs w:val="20"/>
              </w:rPr>
              <w:t xml:space="preserve">TIPOLOGIAS DE LAVADO</w:t>
            </w:r>
          </w:p>
          <w:p>
            <w:pPr>
              <w:pStyle w:val="ListParagraph"/>
              <w:numPr>
                <w:ilvl w:val="0"/>
                <w:numId w:val="2"/>
              </w:numPr>
              <w:spacing w:before="30" w:after="30"/>
            </w:pPr>
            <w:r>
              <w:rPr>
                <w:rFonts w:ascii="Arial" w:cs="Arial" w:eastAsia="Arial" w:hAnsi="Arial"/>
                <w:color w:val="1A1A1A"/>
                <w:sz w:val="19"/>
                <w:szCs w:val="19"/>
              </w:rPr>
              <w:t xml:space="preserve">Estructuración de recargas (smurfing): muchas personas recargan tarjetas por montos individuales bajos para acumular valor sin superar el umbral de identificación.</w:t>
            </w:r>
          </w:p>
          <w:p>
            <w:pPr>
              <w:pStyle w:val="ListParagraph"/>
              <w:numPr>
                <w:ilvl w:val="0"/>
                <w:numId w:val="2"/>
              </w:numPr>
              <w:spacing w:before="30" w:after="30"/>
            </w:pPr>
            <w:r>
              <w:rPr>
                <w:rFonts w:ascii="Arial" w:cs="Arial" w:eastAsia="Arial" w:hAnsi="Arial"/>
                <w:color w:val="1A1A1A"/>
                <w:sz w:val="19"/>
                <w:szCs w:val="19"/>
              </w:rPr>
              <w:t xml:space="preserve">Mulas de tarjetas: se reclutan personas vulnerables para comprar y activar tarjetas a nombre propio, que luego se entregan al organizador.</w:t>
            </w:r>
          </w:p>
          <w:p>
            <w:pPr>
              <w:pStyle w:val="ListParagraph"/>
              <w:numPr>
                <w:ilvl w:val="0"/>
                <w:numId w:val="2"/>
              </w:numPr>
              <w:spacing w:before="30" w:after="30"/>
            </w:pPr>
            <w:r>
              <w:rPr>
                <w:rFonts w:ascii="Arial" w:cs="Arial" w:eastAsia="Arial" w:hAnsi="Arial"/>
                <w:color w:val="1A1A1A"/>
                <w:sz w:val="19"/>
                <w:szCs w:val="19"/>
              </w:rPr>
              <w:t xml:space="preserve">Cadenas de transferencia: el valor se mueve de tarjeta en tarjeta en distintas jurisdicciones para romper la trazabilidad.</w:t>
            </w:r>
          </w:p>
          <w:p>
            <w:pPr>
              <w:pStyle w:val="ListParagraph"/>
              <w:numPr>
                <w:ilvl w:val="0"/>
                <w:numId w:val="2"/>
              </w:numPr>
              <w:spacing w:before="30" w:after="30"/>
            </w:pPr>
            <w:r>
              <w:rPr>
                <w:rFonts w:ascii="Arial" w:cs="Arial" w:eastAsia="Arial" w:hAnsi="Arial"/>
                <w:color w:val="1A1A1A"/>
                <w:sz w:val="19"/>
                <w:szCs w:val="19"/>
              </w:rPr>
              <w:t xml:space="preserve">Gift cards como moneda criminal: tarjetas de regalo de alto valor se usan como medio de pago en transacciones ilícitas (ransomware, extorsión).</w:t>
            </w:r>
          </w:p>
          <w:p>
            <w:pPr>
              <w:pStyle w:val="ListParagraph"/>
              <w:numPr>
                <w:ilvl w:val="0"/>
                <w:numId w:val="2"/>
              </w:numPr>
              <w:spacing w:before="30" w:after="30"/>
            </w:pPr>
            <w:r>
              <w:rPr>
                <w:rFonts w:ascii="Arial" w:cs="Arial" w:eastAsia="Arial" w:hAnsi="Arial"/>
                <w:color w:val="1A1A1A"/>
                <w:sz w:val="19"/>
                <w:szCs w:val="19"/>
              </w:rPr>
              <w:t xml:space="preserve">Financiamiento al terrorismo: las tarjetas prepagadas permiten enviar valor a personas o grupos sin activar filtros del sistema bancario.</w:t>
            </w:r>
          </w:p>
        </w:tc>
      </w:tr>
    </w:tbl>
    <w:p>
      <w:pPr>
        <w:spacing w:before="0" w:after="100"/>
      </w:pPr>
      <w:r>
        <w:t xml:space="preserve"/>
      </w:r>
    </w:p>
    <w:p>
      <w:pPr>
        <w:spacing w:before="200" w:after="80"/>
      </w:pPr>
      <w:r>
        <w:rPr>
          <w:rFonts w:ascii="Arial" w:cs="Arial" w:eastAsia="Arial" w:hAnsi="Arial"/>
          <w:b/>
          <w:bCs/>
          <w:color w:val="1C3557"/>
          <w:sz w:val="23"/>
          <w:szCs w:val="23"/>
        </w:rPr>
        <w:t xml:space="preserve">Los tres tipos de producto cubiertos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PRODUCTO</w:t>
            </w:r>
          </w:p>
        </w:tc>
        <w:tc>
          <w:tcPr>
            <w:tcW w:type="dxa" w:w="34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UMBRAL DE IDENTIFICACIÓN</w:t>
            </w:r>
          </w:p>
        </w:tc>
        <w:tc>
          <w:tcPr>
            <w:tcW w:type="dxa" w:w="34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UMBRAL DE AVISO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Tarjetas de servicios o de crédito</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Gasto mensual acumulado ≥ 805 UMA ($94,434.55)</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Gasto mensual acumulado ≥ 1,285 UMA ($150,743.35)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Tarjetas prepagadas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Comercialización o abono ≥ 645 UMA/op ($75,664.95)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Comercialización o abono ≥ 645 UMA/op ($75,664.95)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Monederos electrónicos (instrumentos de almacenamiento de valor)</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Emisión, comercialización o abono ≥ 645 UMA/op ($75,664.95)</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Emisión, comercialización o abono ≥ 645 UMA/op ($75,664.95)</w:t>
            </w:r>
          </w:p>
        </w:tc>
      </w:tr>
    </w:tbl>
    <w:p>
      <w:pPr>
        <w:spacing w:before="0" w:after="0"/>
      </w:pPr>
      <w:r>
        <w:t xml:space="preserve"/>
      </w:r>
    </w:p>
    <w:p>
      <w:pPr>
        <w:spacing w:before="200" w:after="80"/>
      </w:pPr>
      <w:r>
        <w:rPr>
          <w:rFonts w:ascii="Arial" w:cs="Arial" w:eastAsia="Arial" w:hAnsi="Arial"/>
          <w:b/>
          <w:bCs/>
          <w:color w:val="1C3557"/>
          <w:sz w:val="23"/>
          <w:szCs w:val="23"/>
        </w:rPr>
        <w:t xml:space="preserve">¿Quién queda obligado?</w:t>
      </w:r>
    </w:p>
    <w:p>
      <w:pPr>
        <w:pStyle w:val="ListParagraph"/>
        <w:numPr>
          <w:ilvl w:val="0"/>
          <w:numId w:val="2"/>
        </w:numPr>
        <w:spacing w:before="40" w:after="40"/>
      </w:pPr>
      <w:r>
        <w:rPr>
          <w:rFonts w:ascii="Arial" w:cs="Arial" w:eastAsia="Arial" w:hAnsi="Arial"/>
          <w:color w:val="222222"/>
          <w:sz w:val="22"/>
          <w:szCs w:val="22"/>
        </w:rPr>
        <w:t xml:space="preserve">Empresas NO financieras que emiten o comercializan tarjetas de servicios propias (gift cards, tarjetas de lealtad con valor monetario).</w:t>
      </w:r>
    </w:p>
    <w:p>
      <w:pPr>
        <w:pStyle w:val="ListParagraph"/>
        <w:numPr>
          <w:ilvl w:val="0"/>
          <w:numId w:val="2"/>
        </w:numPr>
        <w:spacing w:before="40" w:after="40"/>
      </w:pPr>
      <w:r>
        <w:rPr>
          <w:rFonts w:ascii="Arial" w:cs="Arial" w:eastAsia="Arial" w:hAnsi="Arial"/>
          <w:color w:val="222222"/>
          <w:sz w:val="22"/>
          <w:szCs w:val="22"/>
        </w:rPr>
        <w:t xml:space="preserve">Distribuidores de tarjetas prepagadas para recargas telefónicas si el monto supera el umbral.</w:t>
      </w:r>
    </w:p>
    <w:p>
      <w:pPr>
        <w:pStyle w:val="ListParagraph"/>
        <w:numPr>
          <w:ilvl w:val="0"/>
          <w:numId w:val="2"/>
        </w:numPr>
        <w:spacing w:before="40" w:after="40"/>
      </w:pPr>
      <w:r>
        <w:rPr>
          <w:rFonts w:ascii="Arial" w:cs="Arial" w:eastAsia="Arial" w:hAnsi="Arial"/>
          <w:color w:val="222222"/>
          <w:sz w:val="22"/>
          <w:szCs w:val="22"/>
        </w:rPr>
        <w:t xml:space="preserve">Empresas de tecnología financiera (fintech) que no son entidades financieras reguladas y operan monederos electrónicos.</w:t>
      </w:r>
    </w:p>
    <w:p>
      <w:pPr>
        <w:pStyle w:val="ListParagraph"/>
        <w:numPr>
          <w:ilvl w:val="0"/>
          <w:numId w:val="2"/>
        </w:numPr>
        <w:spacing w:before="40" w:after="40"/>
      </w:pPr>
      <w:r>
        <w:rPr>
          <w:rFonts w:ascii="Arial" w:cs="Arial" w:eastAsia="Arial" w:hAnsi="Arial"/>
          <w:color w:val="222222"/>
          <w:sz w:val="22"/>
          <w:szCs w:val="22"/>
        </w:rPr>
        <w:t xml:space="preserve">Tiendas departamentales que emiten tarjetas de crédito propias fuera del sistema bancario.</w:t>
      </w:r>
    </w:p>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Las tarjetas de crédito y débito emitidas por bancos (Visa, Mastercard de banco) NO están aquí. Esas son Entidades Financieras bajo el Art. 15. La Fracc. II captura a quienes hacen esto fuera del sistema financiero formal.</w:t>
      </w:r>
    </w:p>
    <w:p>
      <w:pPr>
        <w:spacing w:before="0" w:after="0"/>
      </w:pPr>
      <w:r>
        <w:t xml:space="preserve"/>
      </w:r>
    </w:p>
    <w:p>
      <w:pPr>
        <w:spacing w:before="200" w:after="80"/>
      </w:pPr>
      <w:r>
        <w:rPr>
          <w:rFonts w:ascii="Arial" w:cs="Arial" w:eastAsia="Arial" w:hAnsi="Arial"/>
          <w:b/>
          <w:bCs/>
          <w:color w:val="1C3557"/>
          <w:sz w:val="23"/>
          <w:szCs w:val="23"/>
        </w:rPr>
        <w:t xml:space="preserve">Señales de alerta en tarjetas y monederos</w:t>
      </w:r>
    </w:p>
    <w:p>
      <w:pPr>
        <w:pStyle w:val="ListParagraph"/>
        <w:numPr>
          <w:ilvl w:val="0"/>
          <w:numId w:val="2"/>
        </w:numPr>
        <w:spacing w:before="40" w:after="40"/>
      </w:pPr>
      <w:r>
        <w:rPr>
          <w:rFonts w:ascii="Arial" w:cs="Arial" w:eastAsia="Arial" w:hAnsi="Arial"/>
          <w:color w:val="222222"/>
          <w:sz w:val="22"/>
          <w:szCs w:val="22"/>
        </w:rPr>
        <w:t xml:space="preserve">Compra masiva de tarjetas prepagadas en efectivo por parte de una sola persona o grupo.</w:t>
      </w:r>
    </w:p>
    <w:p>
      <w:pPr>
        <w:pStyle w:val="ListParagraph"/>
        <w:numPr>
          <w:ilvl w:val="0"/>
          <w:numId w:val="2"/>
        </w:numPr>
        <w:spacing w:before="40" w:after="40"/>
      </w:pPr>
      <w:r>
        <w:rPr>
          <w:rFonts w:ascii="Arial" w:cs="Arial" w:eastAsia="Arial" w:hAnsi="Arial"/>
          <w:color w:val="222222"/>
          <w:sz w:val="22"/>
          <w:szCs w:val="22"/>
        </w:rPr>
        <w:t xml:space="preserve">Abonos recurrentes de montos justo por debajo del umbral (fraccionamiento deliberado).</w:t>
      </w:r>
    </w:p>
    <w:p>
      <w:pPr>
        <w:pStyle w:val="ListParagraph"/>
        <w:numPr>
          <w:ilvl w:val="0"/>
          <w:numId w:val="2"/>
        </w:numPr>
        <w:spacing w:before="40" w:after="40"/>
      </w:pPr>
      <w:r>
        <w:rPr>
          <w:rFonts w:ascii="Arial" w:cs="Arial" w:eastAsia="Arial" w:hAnsi="Arial"/>
          <w:color w:val="222222"/>
          <w:sz w:val="22"/>
          <w:szCs w:val="22"/>
        </w:rPr>
        <w:t xml:space="preserve">Uso de tarjetas prepagadas anónimas para pagos sin trazabilidad.</w:t>
      </w:r>
    </w:p>
    <w:p>
      <w:pPr>
        <w:pStyle w:val="ListParagraph"/>
        <w:numPr>
          <w:ilvl w:val="0"/>
          <w:numId w:val="2"/>
        </w:numPr>
        <w:spacing w:before="40" w:after="40"/>
      </w:pPr>
      <w:r>
        <w:rPr>
          <w:rFonts w:ascii="Arial" w:cs="Arial" w:eastAsia="Arial" w:hAnsi="Arial"/>
          <w:color w:val="222222"/>
          <w:sz w:val="22"/>
          <w:szCs w:val="22"/>
        </w:rPr>
        <w:t xml:space="preserve">Activación simultánea de múltiples tarjetas por el mismo usuario o personas relacionadas.</w:t>
      </w:r>
    </w:p>
    <w:p>
      <w:pPr>
        <w:pStyle w:val="ListParagraph"/>
        <w:numPr>
          <w:ilvl w:val="0"/>
          <w:numId w:val="2"/>
        </w:numPr>
        <w:spacing w:before="40" w:after="40"/>
      </w:pPr>
      <w:r>
        <w:rPr>
          <w:rFonts w:ascii="Arial" w:cs="Arial" w:eastAsia="Arial" w:hAnsi="Arial"/>
          <w:color w:val="222222"/>
          <w:sz w:val="22"/>
          <w:szCs w:val="22"/>
        </w:rPr>
        <w:t xml:space="preserve">Transferencia del saldo de tarjetas prepagadas a cuentas en el extranjero.</w:t>
      </w:r>
    </w:p>
    <w:p>
      <w:pPr>
        <w:spacing w:before="0" w:after="10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CUADRO COMPARATIVO — TODAS LAS FRACCIONES DEL BLOQUE II</w:t>
      </w:r>
    </w:p>
    <w:p>
      <w:pPr>
        <w:spacing w:before="60" w:after="80"/>
      </w:pPr>
      <w:r>
        <w:rPr>
          <w:rFonts w:ascii="Arial" w:cs="Arial" w:eastAsia="Arial" w:hAnsi="Arial"/>
          <w:color w:val="222222"/>
          <w:sz w:val="22"/>
          <w:szCs w:val="22"/>
        </w:rPr>
        <w:t xml:space="preserve">Resumen de umbrales verificados en la ley para referencia rápida. UMA 2026 = $117.31 diarios.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100"/>
        <w:gridCol w:w="2100"/>
        <w:gridCol w:w="2100"/>
      </w:tblGrid>
      <w:tr>
        <w:trPr>
          <w:tblHeader/>
        </w:trPr>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FRACC.</w:t>
            </w:r>
          </w:p>
        </w:tc>
        <w:tc>
          <w:tcPr>
            <w:tcW w:type="dxa" w:w="2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ACTIVIDAD</w:t>
            </w:r>
          </w:p>
        </w:tc>
        <w:tc>
          <w:tcPr>
            <w:tcW w:type="dxa" w:w="21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IDENTIFICACIÓN</w:t>
            </w:r>
          </w:p>
        </w:tc>
        <w:tc>
          <w:tcPr>
            <w:tcW w:type="dxa" w:w="21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AVISO</w:t>
            </w:r>
          </w:p>
        </w:tc>
        <w:tc>
          <w:tcPr>
            <w:tcW w:type="dxa" w:w="21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PROHIB. EFECTIVO</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bCs/>
                <w:color w:val="0E7490"/>
                <w:sz w:val="20"/>
                <w:szCs w:val="20"/>
              </w:rPr>
              <w:t xml:space="preserve">VIII</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Vehículos (ÁBACO · DINAMO)</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3,210 UMA
($363,179)</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6,420 UMA
($726,359)</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3,210 UMA
($363,179)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22222"/>
                <w:sz w:val="20"/>
                <w:szCs w:val="20"/>
              </w:rPr>
              <w:t xml:space="preserve">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Inmuebles compraventa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Desde 1ª operación habitual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8,025 UMA
($908,199)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8,025 UMA
($908,199)</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V Bis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Desarrollo inmobiliario ★ NUEVA</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Desde 1ª recepción de recursos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8,025 UMA
($908,199)</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8,025 UMA
($908,199)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22222"/>
                <w:sz w:val="20"/>
                <w:szCs w:val="20"/>
              </w:rPr>
              <w:t xml:space="preserve">IV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Crédito y préstamos (no EF)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Desde 1ª operación habitual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1,605 UMA
($181,540)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No aplica específicamente</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bCs/>
                <w:color w:val="222222"/>
                <w:sz w:val="20"/>
                <w:szCs w:val="20"/>
              </w:rPr>
              <w:t xml:space="preserve">II</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Tarjetas, prepagadas, monederos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645-805 UMA/op o mes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 645-1,285 UMA</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No aplica específicamente</w:t>
            </w:r>
          </w:p>
        </w:tc>
      </w:tr>
    </w:tbl>
    <w:p>
      <w:pPr>
        <w:spacing w:before="0" w:after="10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RECORDATORIO CLAVE: Los umbrales de identificación y aviso son los que activan las obligaciones de reporte. Pero el Enfoque Basado en Riesgos (Art. 18, Fracc. VII) obliga a monitorear TODA la cartera de clientes, no solo las operaciones que superan los umbrales. Una operación por debajo del umbral puede requerir aviso por sospecha si hay indicios de lavado.</w:t>
      </w:r>
    </w:p>
    <w:p>
      <w:pPr>
        <w:spacing w:before="0" w:after="100"/>
      </w:pPr>
      <w:r>
        <w:t xml:space="preserve"/>
      </w:r>
    </w:p>
    <w:p>
      <w:pPr>
        <w:spacing w:before="200" w:after="80"/>
      </w:pPr>
      <w:r>
        <w:rPr>
          <w:rFonts w:ascii="Arial" w:cs="Arial" w:eastAsia="Arial" w:hAnsi="Arial"/>
          <w:b/>
          <w:bCs/>
          <w:color w:val="1C3557"/>
          <w:sz w:val="23"/>
          <w:szCs w:val="23"/>
        </w:rPr>
        <w:t xml:space="preserve">El elemento transversal: el Beneficiario Controlador</w:t>
      </w:r>
    </w:p>
    <w:p>
      <w:pPr>
        <w:spacing w:before="60" w:after="80"/>
      </w:pPr>
      <w:r>
        <w:rPr>
          <w:rFonts w:ascii="Arial" w:cs="Arial" w:eastAsia="Arial" w:hAnsi="Arial"/>
          <w:color w:val="222222"/>
          <w:sz w:val="22"/>
          <w:szCs w:val="22"/>
        </w:rPr>
        <w:t xml:space="preserve">En TODAS las fracciones del Bloque II, la identificación del Beneficiario Controlador es obligatoria cuando el cliente es persona moral, fideicomiso o cualquier figura jurídica (Art. 18, Fracc. III). Este es el hilo conductor del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 EL CLIENTE ES...</w:t>
            </w:r>
          </w:p>
        </w:tc>
        <w:tc>
          <w:tcPr>
            <w:tcW w:type="dxa" w:w="468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DEBO...</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Persona física comprando un auto (ÁBACO)</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Pedir declaración escrita sobre si existe un BC y documentarlo.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Empresa comprando flotilla de motos (DINAMO)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Documentar quién tiene &gt;25% o ejerce control: ese es el BC.</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Fideicomiso comprando un inmueble (Frac. V)</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Identificar al fideicomiso COMO CLIENTE y a su BC por separado.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Fondo de inversión aportando a un desarrollo (Frac. V Bis)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Documentar la cadena completa: fondo → administrador → BC final.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Empresa que recibe crédito (Frac. IV)</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pPr>
              <w:jc w:val="left"/>
            </w:pPr>
            <w:r>
              <w:rPr>
                <w:rFonts w:ascii="Arial" w:cs="Arial" w:eastAsia="Arial" w:hAnsi="Arial"/>
                <w:b w:val="false"/>
                <w:bCs w:val="false"/>
                <w:color w:val="222222"/>
                <w:sz w:val="20"/>
                <w:szCs w:val="20"/>
              </w:rPr>
              <w:t xml:space="preserve">Identificar estructura de control: quién es el BC del prestatario.</w:t>
            </w:r>
          </w:p>
        </w:tc>
      </w:tr>
    </w:tbl>
    <w:p>
      <w:pPr>
        <w:spacing w:before="0" w:after="100"/>
      </w:pPr>
      <w:r>
        <w:t xml:space="preserve"/>
      </w:r>
    </w:p>
    <w:p>
      <w:pPr>
        <w:pBdr>
          <w:bottom w:val="single" w:color="0D2137" w:sz="6" w:space="1"/>
        </w:pBdr>
        <w:spacing w:before="0" w:after="120"/>
      </w:pPr>
    </w:p>
    <w:p>
      <w:pPr>
        <w:spacing w:before="80" w:after="0"/>
        <w:jc w:val="center"/>
      </w:pPr>
      <w:r>
        <w:rPr>
          <w:rFonts w:ascii="Arial" w:cs="Arial" w:eastAsia="Arial" w:hAnsi="Arial"/>
          <w:color w:val="888888"/>
          <w:sz w:val="18"/>
          <w:szCs w:val="18"/>
        </w:rPr>
        <w:t xml:space="preserve">TALLER LFPIORPI 2026  ·  Consorcio Peredo  ·  </w:t>
      </w:r>
      <w:r>
        <w:rPr>
          <w:rFonts w:ascii="Arial" w:cs="Arial" w:eastAsia="Arial" w:hAnsi="Arial"/>
          <w:i/>
          <w:iCs/>
          <w:color w:val="888888"/>
          <w:sz w:val="18"/>
          <w:szCs w:val="18"/>
        </w:rPr>
        <w:t xml:space="preserve">Preparado por GMC360 / 360EDUCA  ·  Maribel Vázquez Menchaca  ·  Fuente: LFPIORPI DOF 16-07-2025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0D21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2026-03-11T16:47:15.838Z</dcterms:created>
  <dcterms:modified xsi:type="dcterms:W3CDTF">2026-03-11T16:47:15.839Z</dcterms:modified>
</cp:coreProperties>
</file>

<file path=docProps/custom.xml><?xml version="1.0" encoding="utf-8"?>
<Properties xmlns="http://schemas.openxmlformats.org/officeDocument/2006/custom-properties" xmlns:vt="http://schemas.openxmlformats.org/officeDocument/2006/docPropsVTypes"/>
</file>