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7F1D1D" w:val="clear"/>
        <w:spacing w:before="480" w:after="0"/>
        <w:jc w:val="center"/>
      </w:pPr>
      <w:r>
        <w:rPr>
          <w:rFonts w:ascii="Arial" w:cs="Arial" w:eastAsia="Arial" w:hAnsi="Arial"/>
          <w:b/>
          <w:bCs/>
          <w:color w:val="FFFFFF"/>
          <w:sz w:val="48"/>
          <w:szCs w:val="48"/>
        </w:rPr>
        <w:t xml:space="preserve">TALLER LFPIORPI 2026</w:t>
      </w:r>
    </w:p>
    <w:p>
      <w:pPr>
        <w:shd w:fill="7F1D1D" w:val="clear"/>
        <w:spacing w:before="0" w:after="0"/>
        <w:jc w:val="center"/>
      </w:pPr>
      <w:r>
        <w:rPr>
          <w:rFonts w:ascii="Arial" w:cs="Arial" w:eastAsia="Arial" w:hAnsi="Arial"/>
          <w:color w:val="F9AFAF"/>
          <w:sz w:val="32"/>
          <w:szCs w:val="32"/>
        </w:rPr>
        <w:t xml:space="preserve">Consorcio Peredo</w:t>
      </w:r>
    </w:p>
    <w:p>
      <w:pPr>
        <w:shd w:fill="7F1D1D" w:val="clear"/>
        <w:spacing w:before="0" w:after="0"/>
        <w:jc w:val="center"/>
      </w:pPr>
      <w:r>
        <w:rPr>
          <w:rFonts w:ascii="Arial" w:cs="Arial" w:eastAsia="Arial" w:hAnsi="Arial"/>
          <w:color w:val="FFFFFF"/>
          <w:sz w:val="24"/>
          <w:szCs w:val="24"/>
        </w:rPr>
        <w:t xml:space="preserve"> </w:t>
      </w:r>
    </w:p>
    <w:p>
      <w:pPr>
        <w:pBdr>
          <w:bottom w:val="single" w:color="7F1D1D" w:sz="6" w:space="1"/>
        </w:pBdr>
        <w:shd w:fill="FEE2E2" w:val="clear"/>
        <w:spacing w:before="0" w:after="0"/>
        <w:jc w:val="center"/>
      </w:pPr>
      <w:r>
        <w:rPr>
          <w:rFonts w:ascii="Arial" w:cs="Arial" w:eastAsia="Arial" w:hAnsi="Arial"/>
          <w:b/>
          <w:bCs/>
          <w:color w:val="7F1D1D"/>
          <w:sz w:val="28"/>
          <w:szCs w:val="28"/>
        </w:rPr>
        <w:t xml:space="preserve">BLOQUE III  ·  RÉGIMEN DE SANCIONES</w:t>
      </w:r>
      <w:r>
        <w:rPr>
          <w:rFonts w:ascii="Arial" w:cs="Arial" w:eastAsia="Arial" w:hAnsi="Arial"/>
          <w:color w:val="666666"/>
          <w:sz w:val="22"/>
          <w:szCs w:val="22"/>
        </w:rPr>
        <w:t xml:space="preserve">     |     Arts. 52–62 LFPIORPI     |     UMA 2026 = $117.31/día</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60"/>
        <w:gridCol w:w="2960"/>
        <w:gridCol w:w="2040"/>
      </w:tblGrid>
      <w:tr>
        <w:trPr>
          <w:tblHeader/>
        </w:trPr>
        <w:tc>
          <w:tcPr>
            <w:tcW w:type="dxa" w:w="1400"/>
            <w:tcBorders>
              <w:top w:val="single" w:color="CCCCCC" w:sz="1"/>
              <w:left w:val="single" w:color="CCCCCC" w:sz="1"/>
              <w:bottom w:val="single" w:color="CCCCCC" w:sz="1"/>
              <w:right w:val="single" w:color="CCCCCC" w:sz="1"/>
            </w:tcBorders>
            <w:shd w:fill="7F1D1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NIVEL</w:t>
            </w:r>
          </w:p>
        </w:tc>
        <w:tc>
          <w:tcPr>
            <w:tcW w:type="dxa" w:w="2960"/>
            <w:tcBorders>
              <w:top w:val="single" w:color="CCCCCC" w:sz="1"/>
              <w:left w:val="single" w:color="CCCCCC" w:sz="1"/>
              <w:bottom w:val="single" w:color="CCCCCC" w:sz="1"/>
              <w:right w:val="single" w:color="CCCCCC" w:sz="1"/>
            </w:tcBorders>
            <w:shd w:fill="7F1D1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INFRACCIONES (Art. 53)</w:t>
            </w:r>
          </w:p>
        </w:tc>
        <w:tc>
          <w:tcPr>
            <w:tcW w:type="dxa" w:w="2960"/>
            <w:tcBorders>
              <w:top w:val="single" w:color="CCCCCC" w:sz="1"/>
              <w:left w:val="single" w:color="CCCCCC" w:sz="1"/>
              <w:bottom w:val="single" w:color="CCCCCC" w:sz="1"/>
              <w:right w:val="single" w:color="CCCCCC" w:sz="1"/>
            </w:tcBorders>
            <w:shd w:fill="7F1D1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RANGO DE MULTA</w:t>
            </w:r>
          </w:p>
        </w:tc>
        <w:tc>
          <w:tcPr>
            <w:tcW w:type="dxa" w:w="2040"/>
            <w:tcBorders>
              <w:top w:val="single" w:color="CCCCCC" w:sz="1"/>
              <w:left w:val="single" w:color="CCCCCC" w:sz="1"/>
              <w:bottom w:val="single" w:color="CCCCCC" w:sz="1"/>
              <w:right w:val="single" w:color="CCCCCC" w:sz="1"/>
            </w:tcBorders>
            <w:shd w:fill="7F1D1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 PESOS 2026</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D97706"/>
                <w:sz w:val="20"/>
                <w:szCs w:val="20"/>
              </w:rPr>
              <w:t xml:space="preserve">Nivel 1</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Retrasos (&lt;30 días), errores de forma, incumplimientos menores (Fracc. I, II, III, IV)</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D97706"/>
                <w:sz w:val="20"/>
                <w:szCs w:val="20"/>
              </w:rPr>
              <w:t xml:space="preserve">200 — 2,000 UMA</w:t>
            </w:r>
          </w:p>
        </w:tc>
        <w:tc>
          <w:tcPr>
            <w:tcW w:type="dxa" w:w="2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D97706"/>
                <w:sz w:val="20"/>
                <w:szCs w:val="20"/>
              </w:rPr>
              <w:t xml:space="preserve">$23,462.00 — $234,620.00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0392B"/>
                <w:sz w:val="20"/>
                <w:szCs w:val="20"/>
              </w:rPr>
              <w:t xml:space="preserve">Nivel 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Incumplimiento en identificación y registro del Beneficiario Controlador (Fracc. V)</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0392B"/>
                <w:sz w:val="20"/>
                <w:szCs w:val="20"/>
              </w:rPr>
              <w:t xml:space="preserve">2,000 — 10,000 UMA</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0392B"/>
                <w:sz w:val="20"/>
                <w:szCs w:val="20"/>
              </w:rPr>
              <w:t xml:space="preserve">$234,620.00 — $1,173,100.00</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7F1D1D"/>
                <w:sz w:val="20"/>
                <w:szCs w:val="20"/>
              </w:rPr>
              <w:t xml:space="preserve">Nivel 3</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Omisión total de avisos o &gt;30 días · Operaciones prohibidas con efectivo (Fracc. VI, VII)</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7F1D1D"/>
                <w:sz w:val="20"/>
                <w:szCs w:val="20"/>
              </w:rPr>
              <w:t xml:space="preserve">10,000 — 65,000 UMA</w:t>
            </w:r>
          </w:p>
          <w:p>
            <w:r>
              <w:rPr>
                <w:rFonts w:ascii="Arial" w:cs="Arial" w:eastAsia="Arial" w:hAnsi="Arial"/>
                <w:b/>
                <w:bCs/>
                <w:color w:val="7F1D1D"/>
                <w:sz w:val="20"/>
                <w:szCs w:val="20"/>
              </w:rPr>
              <w:t xml:space="preserve">O 10%–100% del valor de la operación</w:t>
            </w:r>
          </w:p>
          <w:p>
            <w:r>
              <w:rPr>
                <w:rFonts w:ascii="Arial" w:cs="Arial" w:eastAsia="Arial" w:hAnsi="Arial"/>
                <w:b/>
                <w:bCs/>
                <w:color w:val="7F1D1D"/>
                <w:sz w:val="20"/>
                <w:szCs w:val="20"/>
              </w:rPr>
              <w:t xml:space="preserve">(la que resulte MAYOR)</w:t>
            </w:r>
          </w:p>
        </w:tc>
        <w:tc>
          <w:tcPr>
            <w:tcW w:type="dxa" w:w="2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7F1D1D"/>
                <w:sz w:val="20"/>
                <w:szCs w:val="20"/>
              </w:rPr>
              <w:t xml:space="preserve">$1,173,100.00 — $7,625,150.00</w:t>
            </w:r>
          </w:p>
          <w:p>
            <w:r>
              <w:rPr>
                <w:rFonts w:ascii="Arial" w:cs="Arial" w:eastAsia="Arial" w:hAnsi="Arial"/>
                <w:b/>
                <w:bCs/>
                <w:color w:val="7F1D1D"/>
                <w:sz w:val="20"/>
                <w:szCs w:val="20"/>
              </w:rPr>
              <w:t xml:space="preserve">(o hasta 100% del valor de la op.)</w:t>
            </w:r>
          </w:p>
        </w:tc>
      </w:tr>
    </w:tbl>
    <w:p>
      <w:pPr>
        <w:spacing w:before="0" w:after="0"/>
      </w:pPr>
      <w:r>
        <w:t xml:space="preserve"/>
      </w:r>
    </w:p>
    <w:p>
      <w:pPr>
        <w:pBdr>
          <w:left w:val="single" w:color="D97706" w:sz="12" w:space="8"/>
        </w:pBdr>
        <w:shd w:fill="FFF8DC" w:val="clear"/>
        <w:spacing w:before="80" w:after="80"/>
        <w:ind w:left="200" w:right="200"/>
      </w:pPr>
      <w:r>
        <w:rPr>
          <w:rFonts w:ascii="Arial" w:cs="Arial" w:eastAsia="Arial" w:hAnsi="Arial"/>
          <w:i/>
          <w:iCs/>
          <w:color w:val="5B4800"/>
          <w:sz w:val="20"/>
          <w:szCs w:val="20"/>
        </w:rPr>
        <w:t xml:space="preserve">📌  Cada infracción se cuenta de forma independiente. Un error de formato en 10 avisos distintos no es una multa, son 10 multas que pueden acumularse. Fuente: Art. 54 LFPIORPI DOF 16-07-2025.</w:t>
      </w:r>
    </w:p>
    <w:p>
      <w:pPr>
        <w:spacing w:before="0" w:after="100"/>
      </w:pPr>
      <w:r>
        <w:t xml:space="preserve"/>
      </w:r>
    </w:p>
    <w:p>
      <w:pPr>
        <w:pStyle w:val="Heading1"/>
        <w:shd w:fill="0D2137" w:val="clear"/>
        <w:spacing w:before="360" w:after="160"/>
        <w:ind w:left="200" w:right="200"/>
      </w:pPr>
      <w:r>
        <w:rPr>
          <w:rFonts w:ascii="Arial" w:cs="Arial" w:eastAsia="Arial" w:hAnsi="Arial"/>
          <w:b/>
          <w:bCs/>
          <w:color w:val="FFFFFF"/>
          <w:sz w:val="30"/>
          <w:szCs w:val="30"/>
        </w:rPr>
        <w:t xml:space="preserve">1. ARQUITECTURA DEL RÉGIMEN SANCIONADOR (Art. 52)</w:t>
      </w:r>
    </w:p>
    <w:p>
      <w:pPr>
        <w:pBdr>
          <w:left w:val="single" w:color="2E5A8E" w:sz="10" w:space="10"/>
        </w:pBdr>
        <w:shd w:fill="EFF6FF" w:val="clear"/>
        <w:spacing w:before="80" w:after="80"/>
        <w:ind w:left="360" w:right="200"/>
      </w:pPr>
      <w:r>
        <w:rPr>
          <w:rFonts w:ascii="Arial" w:cs="Arial" w:eastAsia="Arial" w:hAnsi="Arial"/>
          <w:i/>
          <w:iCs/>
          <w:color w:val="1C3557"/>
          <w:sz w:val="20"/>
          <w:szCs w:val="20"/>
        </w:rPr>
        <w:t xml:space="preserve">"Las infracciones a lo dispuesto en esta Ley serán sancionadas por la Secretaría. Las infracciones cometidas por las Entidades Financieras serán sancionadas por la Comisión Nacional Bancaria y de Valores, la Comisión Nacional de Seguros y Fianzas o la Comisión Nacional del Sistema de Ahorro para el Retiro, según corresponda, conforme a las leyes que las rigen."</w:t>
      </w:r>
      <w:r>
        <w:rPr>
          <w:rFonts w:ascii="Arial" w:cs="Arial" w:eastAsia="Arial" w:hAnsi="Arial"/>
          <w:color w:val="666666"/>
          <w:sz w:val="18"/>
          <w:szCs w:val="18"/>
        </w:rPr>
        <w:t xml:space="preserve">  —  Art. 52 LFPIORPI — DOF 16-07-2025</w:t>
      </w:r>
    </w:p>
    <w:p>
      <w:pPr>
        <w:spacing w:before="0" w:after="0"/>
      </w:pPr>
      <w:r>
        <w:t xml:space="preserve"/>
      </w:r>
    </w:p>
    <w:p>
      <w:pPr>
        <w:spacing w:before="200" w:after="80"/>
      </w:pPr>
      <w:r>
        <w:rPr>
          <w:rFonts w:ascii="Arial" w:cs="Arial" w:eastAsia="Arial" w:hAnsi="Arial"/>
          <w:b/>
          <w:bCs/>
          <w:color w:val="1C3557"/>
          <w:sz w:val="23"/>
          <w:szCs w:val="23"/>
        </w:rPr>
        <w:t xml:space="preserve">¿Quién sanciona a quién?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C35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SUJETO OBLIGADO</w:t>
            </w:r>
          </w:p>
        </w:tc>
        <w:tc>
          <w:tcPr>
            <w:tcW w:type="dxa" w:w="3120"/>
            <w:tcBorders>
              <w:top w:val="single" w:color="CCCCCC" w:sz="1"/>
              <w:left w:val="single" w:color="CCCCCC" w:sz="1"/>
              <w:bottom w:val="single" w:color="CCCCCC" w:sz="1"/>
              <w:right w:val="single" w:color="CCCCCC" w:sz="1"/>
            </w:tcBorders>
            <w:shd w:fill="1C35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AUTORIDAD SANCIONADORA</w:t>
            </w:r>
          </w:p>
        </w:tc>
        <w:tc>
          <w:tcPr>
            <w:tcW w:type="dxa" w:w="3120"/>
            <w:tcBorders>
              <w:top w:val="single" w:color="CCCCCC" w:sz="1"/>
              <w:left w:val="single" w:color="CCCCCC" w:sz="1"/>
              <w:bottom w:val="single" w:color="CCCCCC" w:sz="1"/>
              <w:right w:val="single" w:color="CCCCCC" w:sz="1"/>
            </w:tcBorders>
            <w:shd w:fill="1C35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MARCO LEGAL APLICABLE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Actividades Vulnerables (empresas, notarios, agentes aduanales, etc.)</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0D2137"/>
                <w:sz w:val="20"/>
                <w:szCs w:val="20"/>
              </w:rPr>
              <w:t xml:space="preserve">SHCP — Secretaría de Hacienda y Crédito Público</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LFPIORPI Arts. 52-62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Entidades Financieras (bancos, SOFOM reguladas, seguros, afores)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5A8E"/>
                <w:sz w:val="20"/>
                <w:szCs w:val="20"/>
              </w:rPr>
              <w:t xml:space="preserve">CNBV · CNSF · CONSAR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Leyes sectoriales propias (Art. 15 LFPIORPI)</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Consorcio Peredo (ÁBACO, DINAMO y demás empresas del grupo)</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7F1D1D"/>
                <w:sz w:val="20"/>
                <w:szCs w:val="20"/>
              </w:rPr>
              <w:t xml:space="preserve">SHCP — como Actividades Vulnerables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LFPIORPI Arts. 52-62 directamente</w:t>
            </w:r>
          </w:p>
        </w:tc>
      </w:tr>
    </w:tbl>
    <w:p>
      <w:pPr>
        <w:spacing w:before="0" w:after="0"/>
      </w:pPr>
      <w:r>
        <w:t xml:space="preserve"/>
      </w:r>
    </w:p>
    <w:p>
      <w:pPr>
        <w:pBdr>
          <w:left w:val="single" w:color="D97706" w:sz="12" w:space="8"/>
        </w:pBdr>
        <w:shd w:fill="FFF8DC" w:val="clear"/>
        <w:spacing w:before="80" w:after="80"/>
        <w:ind w:left="200" w:right="200"/>
      </w:pPr>
      <w:r>
        <w:rPr>
          <w:rFonts w:ascii="Arial" w:cs="Arial" w:eastAsia="Arial" w:hAnsi="Arial"/>
          <w:i/>
          <w:iCs/>
          <w:color w:val="5B4800"/>
          <w:sz w:val="20"/>
          <w:szCs w:val="20"/>
        </w:rPr>
        <w:t xml:space="preserve">📌  REFACIL/ETESA son SOFOM: las supervisa la CNBV bajo sus propias reglas. El resto del grupo Peredo (vehículos, otras AV) responde directamente ante la SHCP.</w:t>
      </w:r>
    </w:p>
    <w:p>
      <w:pPr>
        <w:spacing w:before="0" w:after="100"/>
      </w:pPr>
      <w:r>
        <w:t xml:space="preserve"/>
      </w:r>
    </w:p>
    <w:p>
      <w:pPr>
        <w:pStyle w:val="Heading1"/>
        <w:shd w:fill="0D2137" w:val="clear"/>
        <w:spacing w:before="360" w:after="160"/>
        <w:ind w:left="200" w:right="200"/>
      </w:pPr>
      <w:r>
        <w:rPr>
          <w:rFonts w:ascii="Arial" w:cs="Arial" w:eastAsia="Arial" w:hAnsi="Arial"/>
          <w:b/>
          <w:bCs/>
          <w:color w:val="FFFFFF"/>
          <w:sz w:val="30"/>
          <w:szCs w:val="30"/>
        </w:rPr>
        <w:t xml:space="preserve">2. TIPOLOGÍA DE INFRACCIONES (Art. 53)</w:t>
      </w:r>
    </w:p>
    <w:p>
      <w:pPr>
        <w:pBdr>
          <w:left w:val="single" w:color="2E5A8E" w:sz="10" w:space="10"/>
        </w:pBdr>
        <w:shd w:fill="EFF6FF" w:val="clear"/>
        <w:spacing w:before="80" w:after="80"/>
        <w:ind w:left="360" w:right="200"/>
      </w:pPr>
      <w:r>
        <w:rPr>
          <w:rFonts w:ascii="Arial" w:cs="Arial" w:eastAsia="Arial" w:hAnsi="Arial"/>
          <w:i/>
          <w:iCs/>
          <w:color w:val="1C3557"/>
          <w:sz w:val="20"/>
          <w:szCs w:val="20"/>
        </w:rPr>
        <w:t xml:space="preserve">"Son infracciones a esta Ley: I. La negativa a cumplir los requerimientos que formule la Secretaría en términos de la presente Ley; II. El incumplimiento de las obligaciones previstas en el artículo 18 de esta Ley; III. La presentación extemporánea de los Avisos, siempre que ésta no exceda de treinta días contados a partir de la fecha en que debieron presentarse; IV. La presentación de Avisos sin cumplir los requisitos de forma que establezcan las disposiciones aplicables; V. El incumplimiento de las obligaciones previstas en los artículos 33, 33 Bis y 33 Ter de esta Ley; VI. La no presentación de los Avisos a que se refiere esta Ley, o la presentación extemporánea de los mismos cuando ésta exceda de treinta días contados a partir de la fecha en que debieron presentarse, y VII. La realización de los actos u operaciones prohibidos a que se refiere el artículo 32 de esta Ley."</w:t>
      </w:r>
      <w:r>
        <w:rPr>
          <w:rFonts w:ascii="Arial" w:cs="Arial" w:eastAsia="Arial" w:hAnsi="Arial"/>
          <w:color w:val="666666"/>
          <w:sz w:val="18"/>
          <w:szCs w:val="18"/>
        </w:rPr>
        <w:t xml:space="preserve">  —  Art. 53 LFPIORPI — DOF 16-07-2025</w:t>
      </w:r>
    </w:p>
    <w:p>
      <w:pPr>
        <w:spacing w:before="0" w:after="0"/>
      </w:pPr>
      <w:r>
        <w:t xml:space="preserve"/>
      </w:r>
    </w:p>
    <w:p>
      <w:pPr>
        <w:spacing w:before="200" w:after="80"/>
      </w:pPr>
      <w:r>
        <w:rPr>
          <w:rFonts w:ascii="Arial" w:cs="Arial" w:eastAsia="Arial" w:hAnsi="Arial"/>
          <w:b/>
          <w:bCs/>
          <w:color w:val="1C3557"/>
          <w:sz w:val="23"/>
          <w:szCs w:val="23"/>
        </w:rPr>
        <w:t xml:space="preserve">Las 7 fracciones del Art. 53 — desglosadas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560"/>
        <w:gridCol w:w="3600"/>
      </w:tblGrid>
      <w:tr>
        <w:trPr>
          <w:tblHeader/>
        </w:trPr>
        <w:tc>
          <w:tcPr>
            <w:tcW w:type="dxa" w:w="6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FRACC.</w:t>
            </w:r>
          </w:p>
        </w:tc>
        <w:tc>
          <w:tcPr>
            <w:tcW w:type="dxa" w:w="16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NIVEL</w:t>
            </w:r>
          </w:p>
        </w:tc>
        <w:tc>
          <w:tcPr>
            <w:tcW w:type="dxa" w:w="35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INFRACCIÓN</w:t>
            </w:r>
          </w:p>
        </w:tc>
        <w:tc>
          <w:tcPr>
            <w:tcW w:type="dxa" w:w="36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EJEMPLO CONCRETO EN CONSORCIO PEREDO</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222222"/>
                <w:sz w:val="20"/>
                <w:szCs w:val="20"/>
              </w:rPr>
              <w:t xml:space="preserve">I</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D97706"/>
                <w:sz w:val="20"/>
                <w:szCs w:val="20"/>
              </w:rPr>
              <w:t xml:space="preserve">Nivel 1</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Negativa a cumplir requerimientos de la SHCP</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ÁBACO recibe una solicitud de información de la UIF sobre un cliente y no responde en el plazo indicado.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II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D97706"/>
                <w:sz w:val="20"/>
                <w:szCs w:val="20"/>
              </w:rPr>
              <w:t xml:space="preserve">Nivel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Incumplimiento de las obligaciones del Art. 18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DINAMO vende una moto de $400K sin solicitar identificación oficial al comprador ni abrir expediente.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222222"/>
                <w:sz w:val="20"/>
                <w:szCs w:val="20"/>
              </w:rPr>
              <w:t xml:space="preserve">III</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D97706"/>
                <w:sz w:val="20"/>
                <w:szCs w:val="20"/>
              </w:rPr>
              <w:t xml:space="preserve">Nivel 1</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Aviso extemporáneo (1 a 30 días de retraso)</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ÁBACO vende auto en enero, debía reportar el 17 de febrero y lo presenta el 5 de marzo (16 días tarde).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IV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D97706"/>
                <w:sz w:val="20"/>
                <w:szCs w:val="20"/>
              </w:rPr>
              <w:t xml:space="preserve">Nivel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Aviso con errores de forma o sin requisitos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El aviso de DINAMO se presenta sin el RFC del cliente o con el monto incorrecto.</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222222"/>
                <w:sz w:val="20"/>
                <w:szCs w:val="20"/>
              </w:rPr>
              <w:t xml:space="preserve">V</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C0392B"/>
                <w:sz w:val="20"/>
                <w:szCs w:val="20"/>
              </w:rPr>
              <w:t xml:space="preserve">Nivel 2</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Incumplimiento en identificación y registro del Beneficiario Controlador (Arts. 33, 33 Bis, 33 Ter)</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Empresa cliente de ÁBACO compra flotilla y no se documenta quién es el BC (accionista &gt;25%). La SHCP lo detecta en auditoría.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VI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7F1D1D"/>
                <w:sz w:val="20"/>
                <w:szCs w:val="20"/>
              </w:rPr>
              <w:t xml:space="preserve">Nivel 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Omisión total de aviso o retraso mayor a 30 días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ÁBACO vende camioneta de $900K en enero y nunca presenta aviso, o lo presenta en mayo (más de 30 días tarde).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222222"/>
                <w:sz w:val="20"/>
                <w:szCs w:val="20"/>
              </w:rPr>
              <w:t xml:space="preserve">VII</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7F1D1D"/>
                <w:sz w:val="20"/>
                <w:szCs w:val="20"/>
              </w:rPr>
              <w:t xml:space="preserve">Nivel 3</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Operaciones prohibidas con efectivo o metales (Art. 32)</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DINAMO acepta pago en efectivo de $400,000 por una moto. Esto viola Art. 32 Fracc. III directamente.</w:t>
            </w:r>
          </w:p>
        </w:tc>
      </w:tr>
    </w:tbl>
    <w:p>
      <w:pPr>
        <w:spacing w:before="0" w:after="100"/>
      </w:pPr>
      <w:r>
        <w:t xml:space="preserve"/>
      </w:r>
    </w:p>
    <w:p>
      <w:pPr>
        <w:pBdr>
          <w:left w:val="single" w:color="C0392B" w:sz="12" w:space="8"/>
        </w:pBdr>
        <w:shd w:fill="FFF0F0" w:val="clear"/>
        <w:spacing w:before="80" w:after="80"/>
        <w:ind w:left="200" w:right="200"/>
      </w:pPr>
      <w:r>
        <w:rPr>
          <w:rFonts w:ascii="Arial" w:cs="Arial" w:eastAsia="Arial" w:hAnsi="Arial"/>
          <w:b/>
          <w:bCs/>
          <w:color w:val="8B0000"/>
          <w:sz w:val="20"/>
          <w:szCs w:val="20"/>
        </w:rPr>
        <w:t xml:space="preserve">⚠️  Las fracciones VI y VII son las más graves. Una sola operación no reportada o un pago en efectivo prohibido puede generar una multa de hasta $7,625,150 o del 100% del valor de la operación, lo que resulte mayor.</w:t>
      </w:r>
    </w:p>
    <w:p>
      <w:pPr>
        <w:spacing w:before="0" w:after="100"/>
      </w:pPr>
      <w:r>
        <w:t xml:space="preserve"/>
      </w:r>
    </w:p>
    <w:p>
      <w:pPr>
        <w:pStyle w:val="Heading1"/>
        <w:shd w:fill="7F1D1D" w:val="clear"/>
        <w:spacing w:before="360" w:after="160"/>
        <w:ind w:left="200" w:right="200"/>
      </w:pPr>
      <w:r>
        <w:rPr>
          <w:rFonts w:ascii="Arial" w:cs="Arial" w:eastAsia="Arial" w:hAnsi="Arial"/>
          <w:b/>
          <w:bCs/>
          <w:color w:val="FFFFFF"/>
          <w:sz w:val="30"/>
          <w:szCs w:val="30"/>
        </w:rPr>
        <w:t xml:space="preserve">3. MONTOS DE LAS MULTAS (Art. 54)</w:t>
      </w:r>
    </w:p>
    <w:p>
      <w:pPr>
        <w:pBdr>
          <w:left w:val="single" w:color="2E5A8E" w:sz="10" w:space="10"/>
        </w:pBdr>
        <w:shd w:fill="EFF6FF" w:val="clear"/>
        <w:spacing w:before="80" w:after="80"/>
        <w:ind w:left="360" w:right="200"/>
      </w:pPr>
      <w:r>
        <w:rPr>
          <w:rFonts w:ascii="Arial" w:cs="Arial" w:eastAsia="Arial" w:hAnsi="Arial"/>
          <w:i/>
          <w:iCs/>
          <w:color w:val="1C3557"/>
          <w:sz w:val="20"/>
          <w:szCs w:val="20"/>
        </w:rPr>
        <w:t xml:space="preserve">"Las infracciones a que se refiere el artículo 53 de esta Ley se sancionarán de la siguiente manera: I. Se aplicará multa equivalente a doscientos y hasta dos mil veces el valor diario de la UMA en el caso de las fracciones I, II, III y IV; II. Se aplicará multa equivalente a dos mil y hasta diez mil veces el valor diario de la UMA en el caso de la fracción V, y III. Se aplicará multa equivalente a diez mil y hasta sesenta y cinco mil veces el valor diario de la UMA, o del diez al cien por ciento del valor del acto u operación, cuando sean cuantificables en dinero, la que resulte mayor en el caso de las fracciones VI y VII."</w:t>
      </w:r>
      <w:r>
        <w:rPr>
          <w:rFonts w:ascii="Arial" w:cs="Arial" w:eastAsia="Arial" w:hAnsi="Arial"/>
          <w:color w:val="666666"/>
          <w:sz w:val="18"/>
          <w:szCs w:val="18"/>
        </w:rPr>
        <w:t xml:space="preserve">  —  Art. 54 LFPIORPI — DOF 16-07-2025</w:t>
      </w:r>
    </w:p>
    <w:p>
      <w:pPr>
        <w:spacing w:before="0" w:after="0"/>
      </w:pPr>
      <w:r>
        <w:t xml:space="preserve"/>
      </w:r>
    </w:p>
    <w:p>
      <w:pPr>
        <w:spacing w:before="200" w:after="80"/>
      </w:pPr>
      <w:r>
        <w:rPr>
          <w:rFonts w:ascii="Arial" w:cs="Arial" w:eastAsia="Arial" w:hAnsi="Arial"/>
          <w:b/>
          <w:bCs/>
          <w:color w:val="1C3557"/>
          <w:sz w:val="23"/>
          <w:szCs w:val="23"/>
        </w:rPr>
        <w:t xml:space="preserve">Tabla de exposición financiera — UMA 2026 = $117.31/día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60"/>
        <w:gridCol w:w="1560"/>
        <w:gridCol w:w="2400"/>
        <w:gridCol w:w="2440"/>
      </w:tblGrid>
      <w:tr>
        <w:trPr>
          <w:tblHeader/>
        </w:trPr>
        <w:tc>
          <w:tcPr>
            <w:tcW w:type="dxa" w:w="1400"/>
            <w:tcBorders>
              <w:top w:val="single" w:color="CCCCCC" w:sz="1"/>
              <w:left w:val="single" w:color="CCCCCC" w:sz="1"/>
              <w:bottom w:val="single" w:color="CCCCCC" w:sz="1"/>
              <w:right w:val="single" w:color="CCCCCC" w:sz="1"/>
            </w:tcBorders>
            <w:shd w:fill="7F1D1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NIVEL</w:t>
            </w:r>
          </w:p>
        </w:tc>
        <w:tc>
          <w:tcPr>
            <w:tcW w:type="dxa" w:w="1560"/>
            <w:tcBorders>
              <w:top w:val="single" w:color="CCCCCC" w:sz="1"/>
              <w:left w:val="single" w:color="CCCCCC" w:sz="1"/>
              <w:bottom w:val="single" w:color="CCCCCC" w:sz="1"/>
              <w:right w:val="single" w:color="CCCCCC" w:sz="1"/>
            </w:tcBorders>
            <w:shd w:fill="7F1D1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MÍNIMO (UMA)</w:t>
            </w:r>
          </w:p>
        </w:tc>
        <w:tc>
          <w:tcPr>
            <w:tcW w:type="dxa" w:w="1560"/>
            <w:tcBorders>
              <w:top w:val="single" w:color="CCCCCC" w:sz="1"/>
              <w:left w:val="single" w:color="CCCCCC" w:sz="1"/>
              <w:bottom w:val="single" w:color="CCCCCC" w:sz="1"/>
              <w:right w:val="single" w:color="CCCCCC" w:sz="1"/>
            </w:tcBorders>
            <w:shd w:fill="7F1D1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MÁXIMO (UMA)</w:t>
            </w:r>
          </w:p>
        </w:tc>
        <w:tc>
          <w:tcPr>
            <w:tcW w:type="dxa" w:w="2400"/>
            <w:tcBorders>
              <w:top w:val="single" w:color="CCCCCC" w:sz="1"/>
              <w:left w:val="single" w:color="CCCCCC" w:sz="1"/>
              <w:bottom w:val="single" w:color="CCCCCC" w:sz="1"/>
              <w:right w:val="single" w:color="CCCCCC" w:sz="1"/>
            </w:tcBorders>
            <w:shd w:fill="7F1D1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MÍNIMO EN PESOS</w:t>
            </w:r>
          </w:p>
        </w:tc>
        <w:tc>
          <w:tcPr>
            <w:tcW w:type="dxa" w:w="2440"/>
            <w:tcBorders>
              <w:top w:val="single" w:color="CCCCCC" w:sz="1"/>
              <w:left w:val="single" w:color="CCCCCC" w:sz="1"/>
              <w:bottom w:val="single" w:color="CCCCCC" w:sz="1"/>
              <w:right w:val="single" w:color="CCCCCC" w:sz="1"/>
            </w:tcBorders>
            <w:shd w:fill="7F1D1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MÁXIMO EN PESOS</w:t>
            </w:r>
          </w:p>
        </w:tc>
      </w:tr>
      <w:tr>
        <w:tc>
          <w:tcPr>
            <w:tcW w:type="dxa" w:w="14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r>
              <w:rPr>
                <w:rFonts w:ascii="Arial" w:cs="Arial" w:eastAsia="Arial" w:hAnsi="Arial"/>
                <w:b/>
                <w:bCs/>
                <w:color w:val="D97706"/>
                <w:sz w:val="20"/>
                <w:szCs w:val="20"/>
              </w:rPr>
              <w:t xml:space="preserve">Nivel 1</w:t>
            </w:r>
          </w:p>
        </w:tc>
        <w:tc>
          <w:tcPr>
            <w:tcW w:type="dxa" w:w="15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r>
              <w:rPr>
                <w:rFonts w:ascii="Arial" w:cs="Arial" w:eastAsia="Arial" w:hAnsi="Arial"/>
                <w:b/>
                <w:bCs/>
                <w:color w:val="222222"/>
                <w:sz w:val="20"/>
                <w:szCs w:val="20"/>
              </w:rPr>
              <w:t xml:space="preserve">200 UMA</w:t>
            </w:r>
          </w:p>
        </w:tc>
        <w:tc>
          <w:tcPr>
            <w:tcW w:type="dxa" w:w="15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r>
              <w:rPr>
                <w:rFonts w:ascii="Arial" w:cs="Arial" w:eastAsia="Arial" w:hAnsi="Arial"/>
                <w:b/>
                <w:bCs/>
                <w:color w:val="222222"/>
                <w:sz w:val="20"/>
                <w:szCs w:val="20"/>
              </w:rPr>
              <w:t xml:space="preserve">2,000 UMA</w:t>
            </w:r>
          </w:p>
        </w:tc>
        <w:tc>
          <w:tcPr>
            <w:tcW w:type="dxa" w:w="24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r>
              <w:rPr>
                <w:rFonts w:ascii="Arial" w:cs="Arial" w:eastAsia="Arial" w:hAnsi="Arial"/>
                <w:b/>
                <w:bCs/>
                <w:color w:val="D97706"/>
                <w:sz w:val="20"/>
                <w:szCs w:val="20"/>
              </w:rPr>
              <w:t xml:space="preserve">$23,462.00</w:t>
            </w:r>
          </w:p>
        </w:tc>
        <w:tc>
          <w:tcPr>
            <w:tcW w:type="dxa" w:w="244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top"/>
          </w:tcPr>
          <w:p>
            <w:r>
              <w:rPr>
                <w:rFonts w:ascii="Arial" w:cs="Arial" w:eastAsia="Arial" w:hAnsi="Arial"/>
                <w:b/>
                <w:bCs/>
                <w:color w:val="D97706"/>
                <w:sz w:val="20"/>
                <w:szCs w:val="20"/>
              </w:rPr>
              <w:t xml:space="preserve">$234,620.00</w:t>
            </w:r>
          </w:p>
        </w:tc>
      </w:tr>
      <w:tr>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r>
              <w:rPr>
                <w:rFonts w:ascii="Arial" w:cs="Arial" w:eastAsia="Arial" w:hAnsi="Arial"/>
                <w:b/>
                <w:bCs/>
                <w:color w:val="C0392B"/>
                <w:sz w:val="20"/>
                <w:szCs w:val="20"/>
              </w:rPr>
              <w:t xml:space="preserve">Nivel 2</w:t>
            </w:r>
          </w:p>
        </w:tc>
        <w:tc>
          <w:tcPr>
            <w:tcW w:type="dxa" w:w="15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r>
              <w:rPr>
                <w:rFonts w:ascii="Arial" w:cs="Arial" w:eastAsia="Arial" w:hAnsi="Arial"/>
                <w:b/>
                <w:bCs/>
                <w:color w:val="222222"/>
                <w:sz w:val="20"/>
                <w:szCs w:val="20"/>
              </w:rPr>
              <w:t xml:space="preserve">2,000 UMA</w:t>
            </w:r>
          </w:p>
        </w:tc>
        <w:tc>
          <w:tcPr>
            <w:tcW w:type="dxa" w:w="15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r>
              <w:rPr>
                <w:rFonts w:ascii="Arial" w:cs="Arial" w:eastAsia="Arial" w:hAnsi="Arial"/>
                <w:b/>
                <w:bCs/>
                <w:color w:val="222222"/>
                <w:sz w:val="20"/>
                <w:szCs w:val="20"/>
              </w:rPr>
              <w:t xml:space="preserve">10,000 UMA</w:t>
            </w:r>
          </w:p>
        </w:tc>
        <w:tc>
          <w:tcPr>
            <w:tcW w:type="dxa" w:w="2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r>
              <w:rPr>
                <w:rFonts w:ascii="Arial" w:cs="Arial" w:eastAsia="Arial" w:hAnsi="Arial"/>
                <w:b/>
                <w:bCs/>
                <w:color w:val="C0392B"/>
                <w:sz w:val="20"/>
                <w:szCs w:val="20"/>
              </w:rPr>
              <w:t xml:space="preserve">$234,620.00</w:t>
            </w:r>
          </w:p>
        </w:tc>
        <w:tc>
          <w:tcPr>
            <w:tcW w:type="dxa" w:w="24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r>
              <w:rPr>
                <w:rFonts w:ascii="Arial" w:cs="Arial" w:eastAsia="Arial" w:hAnsi="Arial"/>
                <w:b/>
                <w:bCs/>
                <w:color w:val="C0392B"/>
                <w:sz w:val="20"/>
                <w:szCs w:val="20"/>
              </w:rPr>
              <w:t xml:space="preserve">$1,173,100.00</w:t>
            </w:r>
          </w:p>
        </w:tc>
      </w:tr>
      <w:tr>
        <w:tc>
          <w:tcPr>
            <w:tcW w:type="dxa" w:w="140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vAlign w:val="top"/>
          </w:tcPr>
          <w:p>
            <w:r>
              <w:rPr>
                <w:rFonts w:ascii="Arial" w:cs="Arial" w:eastAsia="Arial" w:hAnsi="Arial"/>
                <w:b/>
                <w:bCs/>
                <w:color w:val="7F1D1D"/>
                <w:sz w:val="20"/>
                <w:szCs w:val="20"/>
              </w:rPr>
              <w:t xml:space="preserve">Nivel 3</w:t>
            </w:r>
          </w:p>
        </w:tc>
        <w:tc>
          <w:tcPr>
            <w:tcW w:type="dxa" w:w="156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vAlign w:val="top"/>
          </w:tcPr>
          <w:p>
            <w:r>
              <w:rPr>
                <w:rFonts w:ascii="Arial" w:cs="Arial" w:eastAsia="Arial" w:hAnsi="Arial"/>
                <w:b/>
                <w:bCs/>
                <w:color w:val="222222"/>
                <w:sz w:val="20"/>
                <w:szCs w:val="20"/>
              </w:rPr>
              <w:t xml:space="preserve">10,000 UMA</w:t>
            </w:r>
          </w:p>
        </w:tc>
        <w:tc>
          <w:tcPr>
            <w:tcW w:type="dxa" w:w="156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vAlign w:val="top"/>
          </w:tcPr>
          <w:p>
            <w:r>
              <w:rPr>
                <w:rFonts w:ascii="Arial" w:cs="Arial" w:eastAsia="Arial" w:hAnsi="Arial"/>
                <w:b/>
                <w:bCs/>
                <w:color w:val="222222"/>
                <w:sz w:val="20"/>
                <w:szCs w:val="20"/>
              </w:rPr>
              <w:t xml:space="preserve">65,000 UMA</w:t>
            </w:r>
          </w:p>
        </w:tc>
        <w:tc>
          <w:tcPr>
            <w:tcW w:type="dxa" w:w="240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vAlign w:val="top"/>
          </w:tcPr>
          <w:p>
            <w:r>
              <w:rPr>
                <w:rFonts w:ascii="Arial" w:cs="Arial" w:eastAsia="Arial" w:hAnsi="Arial"/>
                <w:b/>
                <w:bCs/>
                <w:color w:val="7F1D1D"/>
                <w:sz w:val="20"/>
                <w:szCs w:val="20"/>
              </w:rPr>
              <w:t xml:space="preserve">$1,173,100.00</w:t>
            </w:r>
          </w:p>
        </w:tc>
        <w:tc>
          <w:tcPr>
            <w:tcW w:type="dxa" w:w="244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vAlign w:val="top"/>
          </w:tcPr>
          <w:p>
            <w:r>
              <w:rPr>
                <w:rFonts w:ascii="Arial" w:cs="Arial" w:eastAsia="Arial" w:hAnsi="Arial"/>
                <w:b/>
                <w:bCs/>
                <w:color w:val="7F1D1D"/>
                <w:sz w:val="20"/>
                <w:szCs w:val="20"/>
              </w:rPr>
              <w:t xml:space="preserve">$7,625,150.00  ★</w:t>
            </w:r>
          </w:p>
        </w:tc>
      </w:tr>
    </w:tbl>
    <w:p>
      <w:pPr>
        <w:spacing w:before="0" w:after="0"/>
      </w:pPr>
      <w:r>
        <w:t xml:space="preserve"/>
      </w:r>
    </w:p>
    <w:p>
      <w:pPr>
        <w:pBdr>
          <w:left w:val="single" w:color="C0392B" w:sz="12" w:space="8"/>
        </w:pBdr>
        <w:shd w:fill="FFF0F0" w:val="clear"/>
        <w:spacing w:before="80" w:after="80"/>
        <w:ind w:left="200" w:right="200"/>
      </w:pPr>
      <w:r>
        <w:rPr>
          <w:rFonts w:ascii="Arial" w:cs="Arial" w:eastAsia="Arial" w:hAnsi="Arial"/>
          <w:b/>
          <w:bCs/>
          <w:color w:val="8B0000"/>
          <w:sz w:val="20"/>
          <w:szCs w:val="20"/>
        </w:rPr>
        <w:t xml:space="preserve">⚠️  ★ Nivel 3 tiene doble cálculo: se aplica el MAYOR entre (a) hasta 65,000 UMA y (b) hasta el 100% del valor de la operación. Si ÁBACO no reporta una venta de $2,000,000, la multa puede ser hasta $2,000,000 aunque el máximo en UMA sea menor.</w:t>
      </w:r>
    </w:p>
    <w:p>
      <w:pPr>
        <w:spacing w:before="0" w:after="100"/>
      </w:pPr>
      <w:r>
        <w:t xml:space="preserve"/>
      </w:r>
    </w:p>
    <w:p>
      <w:pPr>
        <w:spacing w:before="200" w:after="80"/>
      </w:pPr>
      <w:r>
        <w:rPr>
          <w:rFonts w:ascii="Arial" w:cs="Arial" w:eastAsia="Arial" w:hAnsi="Arial"/>
          <w:b/>
          <w:bCs/>
          <w:color w:val="1C3557"/>
          <w:sz w:val="23"/>
          <w:szCs w:val="23"/>
        </w:rPr>
        <w:t xml:space="preserve">Escenarios de riesgo real para ÁBACO y DINAMO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80"/>
        <w:gridCol w:w="2240"/>
        <w:gridCol w:w="2240"/>
      </w:tblGrid>
      <w:tr>
        <w:trPr>
          <w:tblHeader/>
        </w:trPr>
        <w:tc>
          <w:tcPr>
            <w:tcW w:type="dxa" w:w="3200"/>
            <w:tcBorders>
              <w:top w:val="single" w:color="CCCCCC" w:sz="1"/>
              <w:left w:val="single" w:color="CCCCCC" w:sz="1"/>
              <w:bottom w:val="single" w:color="CCCCCC" w:sz="1"/>
              <w:right w:val="single" w:color="CCCCCC" w:sz="1"/>
            </w:tcBorders>
            <w:shd w:fill="1C35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ESCENARIO</w:t>
            </w:r>
          </w:p>
        </w:tc>
        <w:tc>
          <w:tcPr>
            <w:tcW w:type="dxa" w:w="1680"/>
            <w:tcBorders>
              <w:top w:val="single" w:color="CCCCCC" w:sz="1"/>
              <w:left w:val="single" w:color="CCCCCC" w:sz="1"/>
              <w:bottom w:val="single" w:color="CCCCCC" w:sz="1"/>
              <w:right w:val="single" w:color="CCCCCC" w:sz="1"/>
            </w:tcBorders>
            <w:shd w:fill="1C35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NIVEL</w:t>
            </w:r>
          </w:p>
        </w:tc>
        <w:tc>
          <w:tcPr>
            <w:tcW w:type="dxa" w:w="2240"/>
            <w:tcBorders>
              <w:top w:val="single" w:color="CCCCCC" w:sz="1"/>
              <w:left w:val="single" w:color="CCCCCC" w:sz="1"/>
              <w:bottom w:val="single" w:color="CCCCCC" w:sz="1"/>
              <w:right w:val="single" w:color="CCCCCC" w:sz="1"/>
            </w:tcBorders>
            <w:shd w:fill="1C35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MULTA MÍNIMA</w:t>
            </w:r>
          </w:p>
        </w:tc>
        <w:tc>
          <w:tcPr>
            <w:tcW w:type="dxa" w:w="2240"/>
            <w:tcBorders>
              <w:top w:val="single" w:color="CCCCCC" w:sz="1"/>
              <w:left w:val="single" w:color="CCCCCC" w:sz="1"/>
              <w:bottom w:val="single" w:color="CCCCCC" w:sz="1"/>
              <w:right w:val="single" w:color="CCCCCC" w:sz="1"/>
            </w:tcBorders>
            <w:shd w:fill="1C35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MULTA MÁXIMA</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DINAMO presenta el aviso de una moto de $800K con 10 días de retraso</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D97706"/>
                <w:sz w:val="20"/>
                <w:szCs w:val="20"/>
              </w:rPr>
              <w:t xml:space="preserve">Nivel 1</w:t>
            </w:r>
          </w:p>
        </w:tc>
        <w:tc>
          <w:tcPr>
            <w:tcW w:type="dxa" w:w="2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$23,462.00</w:t>
            </w:r>
          </w:p>
        </w:tc>
        <w:tc>
          <w:tcPr>
            <w:tcW w:type="dxa" w:w="2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$234,620.00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ÁBACO vende flotilla a empresa y no documenta el Beneficiario Controlador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0392B"/>
                <w:sz w:val="20"/>
                <w:szCs w:val="20"/>
              </w:rPr>
              <w:t xml:space="preserve">Nivel 2</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$234,620.00</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$1,173,100.00</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ÁBACO omite aviso en venta de camioneta de $900,000</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7F1D1D"/>
                <w:sz w:val="20"/>
                <w:szCs w:val="20"/>
              </w:rPr>
              <w:t xml:space="preserve">Nivel 3</w:t>
            </w:r>
          </w:p>
        </w:tc>
        <w:tc>
          <w:tcPr>
            <w:tcW w:type="dxa" w:w="2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$1,173,100.00</w:t>
            </w:r>
          </w:p>
        </w:tc>
        <w:tc>
          <w:tcPr>
            <w:tcW w:type="dxa" w:w="2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Mayor entre $7,625,150.00 y $900,000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DINAMO acepta efectivo en venta de motos por $500,000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7F1D1D"/>
                <w:sz w:val="20"/>
                <w:szCs w:val="20"/>
              </w:rPr>
              <w:t xml:space="preserve">Nivel 3</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$1,173,100.00</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Mayor entre $7,625,150.00 y $500,000</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ÁBACO comete el mismo error de forma en 15 avisos distintos (Fracc. IV)</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D97706"/>
                <w:sz w:val="20"/>
                <w:szCs w:val="20"/>
              </w:rPr>
              <w:t xml:space="preserve">15 x Nivel 1</w:t>
            </w:r>
          </w:p>
        </w:tc>
        <w:tc>
          <w:tcPr>
            <w:tcW w:type="dxa" w:w="2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15 × $23,462.00 = $351,930.00</w:t>
            </w:r>
          </w:p>
        </w:tc>
        <w:tc>
          <w:tcPr>
            <w:tcW w:type="dxa" w:w="2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15 × $234,620.00 = $3,519,300.00</w:t>
            </w:r>
          </w:p>
        </w:tc>
      </w:tr>
    </w:tbl>
    <w:p>
      <w:pPr>
        <w:spacing w:before="0" w:after="100"/>
      </w:pPr>
      <w:r>
        <w:t xml:space="preserve"/>
      </w:r>
    </w:p>
    <w:p>
      <w:pPr>
        <w:pStyle w:val="Heading1"/>
        <w:shd w:fill="C0392B" w:val="clear"/>
        <w:spacing w:before="360" w:after="160"/>
        <w:ind w:left="200" w:right="200"/>
      </w:pPr>
      <w:r>
        <w:rPr>
          <w:rFonts w:ascii="Arial" w:cs="Arial" w:eastAsia="Arial" w:hAnsi="Arial"/>
          <w:b/>
          <w:bCs/>
          <w:color w:val="FFFFFF"/>
          <w:sz w:val="30"/>
          <w:szCs w:val="30"/>
        </w:rPr>
        <w:t xml:space="preserve">4. SUSPENSIÓN TEMPORAL DE OPERACIONES (Art. 54 Bis — NUEVA DOF 2025)</w:t>
      </w:r>
    </w:p>
    <w:p>
      <w:pPr>
        <w:pBdr>
          <w:left w:val="single" w:color="2E5A8E" w:sz="10" w:space="10"/>
        </w:pBdr>
        <w:shd w:fill="EFF6FF" w:val="clear"/>
        <w:spacing w:before="80" w:after="80"/>
        <w:ind w:left="360" w:right="200"/>
      </w:pPr>
      <w:r>
        <w:rPr>
          <w:rFonts w:ascii="Arial" w:cs="Arial" w:eastAsia="Arial" w:hAnsi="Arial"/>
          <w:i/>
          <w:iCs/>
          <w:color w:val="1C3557"/>
          <w:sz w:val="20"/>
          <w:szCs w:val="20"/>
        </w:rPr>
        <w:t xml:space="preserve">"La Secretaría podrá determinar, conforme a los mecanismos que para tal efecto se emitan en términos de las reglas de carácter general, que quienes realizan Actividades Vulnerables suspendan de manera temporal la realización de actos u operaciones con determinadas personas Clientes o Usuarias en tanto se subsane o resuelva el procedimiento establecido en dichos mecanismos."</w:t>
      </w:r>
      <w:r>
        <w:rPr>
          <w:rFonts w:ascii="Arial" w:cs="Arial" w:eastAsia="Arial" w:hAnsi="Arial"/>
          <w:color w:val="666666"/>
          <w:sz w:val="18"/>
          <w:szCs w:val="18"/>
        </w:rPr>
        <w:t xml:space="preserve">  —  Art. 54 Bis LFPIORPI — Adicionado DOF 16-07-2025</w:t>
      </w:r>
    </w:p>
    <w:p>
      <w:pPr>
        <w:spacing w:before="0" w:after="0"/>
      </w:pPr>
      <w:r>
        <w:t xml:space="preserve"/>
      </w:r>
    </w:p>
    <w:p>
      <w:pPr>
        <w:spacing w:before="60" w:after="80"/>
      </w:pPr>
      <w:r>
        <w:rPr>
          <w:rFonts w:ascii="Arial" w:cs="Arial" w:eastAsia="Arial" w:hAnsi="Arial"/>
          <w:color w:val="222222"/>
          <w:sz w:val="22"/>
          <w:szCs w:val="22"/>
        </w:rPr>
        <w:t xml:space="preserve">Este artículo es uno de los cambios más relevantes de la reforma 2025. Antes, la SHCP solo podía multar. Ahora puede ordenar que la empresa deje de operar con clientes específicos mientras se resuelve un procedimiento de verificación.</w:t>
      </w:r>
    </w:p>
    <w:p>
      <w:pPr>
        <w:spacing w:before="0" w:after="0"/>
      </w:pPr>
      <w:r>
        <w:t xml:space="preserve"/>
      </w:r>
    </w:p>
    <w:p>
      <w:pPr>
        <w:spacing w:before="200" w:after="80"/>
      </w:pPr>
      <w:r>
        <w:rPr>
          <w:rFonts w:ascii="Arial" w:cs="Arial" w:eastAsia="Arial" w:hAnsi="Arial"/>
          <w:b/>
          <w:bCs/>
          <w:color w:val="1C3557"/>
          <w:sz w:val="23"/>
          <w:szCs w:val="23"/>
        </w:rPr>
        <w:t xml:space="preserve">¿Qué significa en la práctica?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7F1D1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ANTES DE LA REFORMA</w:t>
            </w:r>
          </w:p>
        </w:tc>
        <w:tc>
          <w:tcPr>
            <w:tcW w:type="dxa" w:w="4680"/>
            <w:tcBorders>
              <w:top w:val="single" w:color="CCCCCC" w:sz="1"/>
              <w:left w:val="single" w:color="CCCCCC" w:sz="1"/>
              <w:bottom w:val="single" w:color="CCCCCC" w:sz="1"/>
              <w:right w:val="single" w:color="CCCCCC" w:sz="1"/>
            </w:tcBorders>
            <w:shd w:fill="7F1D1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DESPUÉS DE LA REFORMA (DOF 2025)</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La SHCP detecta una irregularidad → multa al cierre del procedimiento.</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La SHCP detecta la irregularidad → puede ordenar suspensión INMEDIATA con ese cliente, antes de que termine el procedimiento.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El negocio sigue operando con todos los clientes mientras se tramita la sanción.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El negocio queda bloqueado para operar con el cliente señalado hasta que subsane la falla o el procedimiento concluya.</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El riesgo era principalmente económico (multa al final).</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El riesgo es también operacional: perder ventas durante el procedimiento, con posible impacto reputacional.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Sin herramienta de intervención cautelar inmediata.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La SHCP tiene ahora un 'botón de pausa' específico por cliente, sin necesidad de esperar el cierre del caso.</w:t>
            </w:r>
          </w:p>
        </w:tc>
      </w:tr>
    </w:tbl>
    <w:p>
      <w:pPr>
        <w:spacing w:before="0" w:after="0"/>
      </w:pPr>
      <w:r>
        <w:t xml:space="preserve"/>
      </w:r>
    </w:p>
    <w:p>
      <w:pPr>
        <w:pBdr>
          <w:left w:val="single" w:color="C0392B" w:sz="12" w:space="8"/>
        </w:pBdr>
        <w:shd w:fill="FFF0F0" w:val="clear"/>
        <w:spacing w:before="80" w:after="80"/>
        <w:ind w:left="200" w:right="200"/>
      </w:pPr>
      <w:r>
        <w:rPr>
          <w:rFonts w:ascii="Arial" w:cs="Arial" w:eastAsia="Arial" w:hAnsi="Arial"/>
          <w:b/>
          <w:bCs/>
          <w:color w:val="8B0000"/>
          <w:sz w:val="20"/>
          <w:szCs w:val="20"/>
        </w:rPr>
        <w:t xml:space="preserve">⚠️  Para agencias como ÁBACO y DINAMO esto es crítico: si un cliente de alto valor (empresa que compra flotillas) está bajo investigación y la SHCP activa el Art. 54 Bis, la agencia no puede venderle más hasta que se subsane la irregularidad. Esto puede representar pérdidas comerciales significativas completamente prevenibles.</w:t>
      </w:r>
    </w:p>
    <w:p>
      <w:pPr>
        <w:spacing w:before="0" w:after="100"/>
      </w:pPr>
      <w:r>
        <w:t xml:space="preserve"/>
      </w:r>
    </w:p>
    <w:p>
      <w:pPr>
        <w:pStyle w:val="Heading1"/>
        <w:shd w:fill="0E7490" w:val="clear"/>
        <w:spacing w:before="360" w:after="160"/>
        <w:ind w:left="200" w:right="200"/>
      </w:pPr>
      <w:r>
        <w:rPr>
          <w:rFonts w:ascii="Arial" w:cs="Arial" w:eastAsia="Arial" w:hAnsi="Arial"/>
          <w:b/>
          <w:bCs/>
          <w:color w:val="FFFFFF"/>
          <w:sz w:val="30"/>
          <w:szCs w:val="30"/>
        </w:rPr>
        <w:t xml:space="preserve">5. CUMPLIMIENTO ESPONTÁNEO: EL ESCUDO LEGAL (Art. 55)</w:t>
      </w:r>
    </w:p>
    <w:p>
      <w:pPr>
        <w:pBdr>
          <w:left w:val="single" w:color="2E5A8E" w:sz="10" w:space="10"/>
        </w:pBdr>
        <w:shd w:fill="EFF6FF" w:val="clear"/>
        <w:spacing w:before="80" w:after="80"/>
        <w:ind w:left="360" w:right="200"/>
      </w:pPr>
      <w:r>
        <w:rPr>
          <w:rFonts w:ascii="Arial" w:cs="Arial" w:eastAsia="Arial" w:hAnsi="Arial"/>
          <w:i/>
          <w:iCs/>
          <w:color w:val="1C3557"/>
          <w:sz w:val="20"/>
          <w:szCs w:val="20"/>
        </w:rPr>
        <w:t xml:space="preserve">"La Secretaría se abstendrá de sancionar al infractor, por única ocasión, el total de las infracciones en que incurra, siempre y cuando cumpla, de manera espontánea y previa al inicio de las facultades de verificación de la Secretaría, con las obligaciones respectivas y reconozca expresamente la falta en que incurrió dentro del plazo inicial del procedimiento de verificación. Cuando el sujeto obligado regularice espontáneamente infracciones subsecuentes a las que hubieren dado lugar a la abstención señalada en el párrafo anterior, la Secretaría aplicará una reducción del cincuenta por ciento de la multa que corresponda."</w:t>
      </w:r>
      <w:r>
        <w:rPr>
          <w:rFonts w:ascii="Arial" w:cs="Arial" w:eastAsia="Arial" w:hAnsi="Arial"/>
          <w:color w:val="666666"/>
          <w:sz w:val="18"/>
          <w:szCs w:val="18"/>
        </w:rPr>
        <w:t xml:space="preserve">  —  Art. 55 LFPIORPI — DOF 16-07-2025</w:t>
      </w:r>
    </w:p>
    <w:p>
      <w:pPr>
        <w:spacing w:before="0" w:after="0"/>
      </w:pPr>
      <w:r>
        <w:t xml:space="preserve"/>
      </w:r>
    </w:p>
    <w:p>
      <w:pPr>
        <w:spacing w:before="200" w:after="80"/>
      </w:pPr>
      <w:r>
        <w:rPr>
          <w:rFonts w:ascii="Arial" w:cs="Arial" w:eastAsia="Arial" w:hAnsi="Arial"/>
          <w:b/>
          <w:bCs/>
          <w:color w:val="1C3557"/>
          <w:sz w:val="23"/>
          <w:szCs w:val="23"/>
        </w:rPr>
        <w:t xml:space="preserve">Flujograma de decisión — cumplimiento espontáneo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tcBorders>
              <w:top w:val="single" w:color="CCCCCC" w:sz="1"/>
              <w:left w:val="single" w:color="CCCCCC" w:sz="1"/>
              <w:bottom w:val="single" w:color="CCCCCC" w:sz="1"/>
              <w:right w:val="single" w:color="CCCCCC" w:sz="1"/>
            </w:tcBorders>
            <w:shd w:fill="0E749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CONDICIÓN</w:t>
            </w:r>
          </w:p>
        </w:tc>
        <w:tc>
          <w:tcPr>
            <w:tcW w:type="dxa" w:w="1560"/>
            <w:tcBorders>
              <w:top w:val="single" w:color="CCCCCC" w:sz="1"/>
              <w:left w:val="single" w:color="CCCCCC" w:sz="1"/>
              <w:bottom w:val="single" w:color="CCCCCC" w:sz="1"/>
              <w:right w:val="single" w:color="CCCCCC" w:sz="1"/>
            </w:tcBorders>
            <w:shd w:fill="0E749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 CUMPLE?</w:t>
            </w:r>
          </w:p>
        </w:tc>
        <w:tc>
          <w:tcPr>
            <w:tcW w:type="dxa" w:w="4680"/>
            <w:tcBorders>
              <w:top w:val="single" w:color="CCCCCC" w:sz="1"/>
              <w:left w:val="single" w:color="CCCCCC" w:sz="1"/>
              <w:bottom w:val="single" w:color="CCCCCC" w:sz="1"/>
              <w:right w:val="single" w:color="CCCCCC" w:sz="1"/>
            </w:tcBorders>
            <w:shd w:fill="0E749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CONSECUENCIA</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La SHCP AÚN NO ha iniciado sus facultades de verificación sobre esa falta</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166534"/>
                <w:sz w:val="20"/>
                <w:szCs w:val="20"/>
              </w:rPr>
              <w:t xml:space="preserve">Sí</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166534"/>
                <w:sz w:val="20"/>
                <w:szCs w:val="20"/>
              </w:rPr>
              <w:t xml:space="preserve">Condonación del 100% de la multa, por única ocasión, si la empresa reconoce expresamente la falta y regulariza.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La SHCP AÚN NO ha iniciado sus facultades de verificación sobre esa falta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0392B"/>
                <w:sz w:val="20"/>
                <w:szCs w:val="20"/>
              </w:rPr>
              <w:t xml:space="preserve">No (ya inició verificación)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0392B"/>
                <w:sz w:val="20"/>
                <w:szCs w:val="20"/>
              </w:rPr>
              <w:t xml:space="preserve">Ya no aplica el Art. 55. La empresa enfrenta la multa completa del Art. 54.</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¿Es la PRIMERA vez que la empresa regulariza espontáneamente esa infracción?</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166534"/>
                <w:sz w:val="20"/>
                <w:szCs w:val="20"/>
              </w:rPr>
              <w:t xml:space="preserve">Sí — 1ª vez</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166534"/>
                <w:sz w:val="20"/>
                <w:szCs w:val="20"/>
              </w:rPr>
              <w:t xml:space="preserve">CERO multa. Condonación total por única ocasión.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¿Es una infracción SUBSECUENTE (la empresa ya usó el Art. 55 antes para este tipo)?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D97706"/>
                <w:sz w:val="20"/>
                <w:szCs w:val="20"/>
              </w:rPr>
              <w:t xml:space="preserve">Sí — subsecuente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D97706"/>
                <w:sz w:val="20"/>
                <w:szCs w:val="20"/>
              </w:rPr>
              <w:t xml:space="preserve">Reducción del 50% de la multa que corresponda según Art. 54.</w:t>
            </w:r>
          </w:p>
        </w:tc>
      </w:tr>
    </w:tbl>
    <w:p>
      <w:pPr>
        <w:spacing w:before="0" w:after="0"/>
      </w:pPr>
      <w:r>
        <w:t xml:space="preserve"/>
      </w:r>
    </w:p>
    <w:p>
      <w:pPr>
        <w:spacing w:before="200" w:after="80"/>
      </w:pPr>
      <w:r>
        <w:rPr>
          <w:rFonts w:ascii="Arial" w:cs="Arial" w:eastAsia="Arial" w:hAnsi="Arial"/>
          <w:b/>
          <w:bCs/>
          <w:color w:val="1C3557"/>
          <w:sz w:val="23"/>
          <w:szCs w:val="23"/>
        </w:rPr>
        <w:t xml:space="preserve">El programa de auditoría interna como herramienta del Art. 55</w:t>
      </w:r>
    </w:p>
    <w:p>
      <w:pPr>
        <w:spacing w:before="60" w:after="80"/>
      </w:pPr>
      <w:r>
        <w:rPr>
          <w:rFonts w:ascii="Arial" w:cs="Arial" w:eastAsia="Arial" w:hAnsi="Arial"/>
          <w:color w:val="222222"/>
          <w:sz w:val="22"/>
          <w:szCs w:val="22"/>
        </w:rPr>
        <w:t xml:space="preserve">La clave para aprovechar el Art. 55 es detectar las fallas ANTES de que la SHCP llegue. Un programa de auditoría interna periódica que revise el estado de los expedientes, los avisos pendientes y la documentación del BC permite identificar y regularizar espontáneamente, reduciendo el riesgo a cero o a la mitad.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E749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ACCIÓN PROACTIVA</w:t>
            </w:r>
          </w:p>
        </w:tc>
        <w:tc>
          <w:tcPr>
            <w:tcW w:type="dxa" w:w="3120"/>
            <w:tcBorders>
              <w:top w:val="single" w:color="CCCCCC" w:sz="1"/>
              <w:left w:val="single" w:color="CCCCCC" w:sz="1"/>
              <w:bottom w:val="single" w:color="CCCCCC" w:sz="1"/>
              <w:right w:val="single" w:color="CCCCCC" w:sz="1"/>
            </w:tcBorders>
            <w:shd w:fill="0E749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COSTO</w:t>
            </w:r>
          </w:p>
        </w:tc>
        <w:tc>
          <w:tcPr>
            <w:tcW w:type="dxa" w:w="3120"/>
            <w:tcBorders>
              <w:top w:val="single" w:color="CCCCCC" w:sz="1"/>
              <w:left w:val="single" w:color="CCCCCC" w:sz="1"/>
              <w:bottom w:val="single" w:color="CCCCCC" w:sz="1"/>
              <w:right w:val="single" w:color="CCCCCC" w:sz="1"/>
            </w:tcBorders>
            <w:shd w:fill="0E749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RESULTADO</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Auditoría interna detecta que faltaron 3 expedientes de ÁBACO. Se completan antes de cualquier visita de la SHCP.</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0E7490"/>
                <w:sz w:val="20"/>
                <w:szCs w:val="20"/>
              </w:rPr>
              <w:t xml:space="preserve">Costo administrativo interno</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166534"/>
                <w:sz w:val="20"/>
                <w:szCs w:val="20"/>
              </w:rPr>
              <w:t xml:space="preserve">Multa = $0</w:t>
            </w:r>
          </w:p>
          <w:p>
            <w:r>
              <w:rPr>
                <w:rFonts w:ascii="Arial" w:cs="Arial" w:eastAsia="Arial" w:hAnsi="Arial"/>
                <w:b/>
                <w:bCs/>
                <w:color w:val="166534"/>
                <w:sz w:val="20"/>
                <w:szCs w:val="20"/>
              </w:rPr>
              <w:t xml:space="preserve">(Art. 55 — 1ª ocasión)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La misma empresa ya usó el Art. 55 antes. Detecta otro expediente incompleto y regulariza.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E7490"/>
                <w:sz w:val="20"/>
                <w:szCs w:val="20"/>
              </w:rPr>
              <w:t xml:space="preserve">Costo administrativo interno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D97706"/>
                <w:sz w:val="20"/>
                <w:szCs w:val="20"/>
              </w:rPr>
              <w:t xml:space="preserve">Multa = 50% del rango</w:t>
            </w:r>
          </w:p>
          <w:p>
            <w:r>
              <w:rPr>
                <w:rFonts w:ascii="Arial" w:cs="Arial" w:eastAsia="Arial" w:hAnsi="Arial"/>
                <w:b/>
                <w:bCs/>
                <w:color w:val="D97706"/>
                <w:sz w:val="20"/>
                <w:szCs w:val="20"/>
              </w:rPr>
              <w:t xml:space="preserve">Ej: en lugar de $234,620.00 paga $117,310.00</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ÁBACO espera a que la SHCP detecte los expedientes faltantes en una verificación.</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C0392B"/>
                <w:sz w:val="20"/>
                <w:szCs w:val="20"/>
              </w:rPr>
              <w:t xml:space="preserve">Cero costo inicial</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7F1D1D"/>
                <w:sz w:val="20"/>
                <w:szCs w:val="20"/>
              </w:rPr>
              <w:t xml:space="preserve">Multa completa: $23,462.00 — $234,620.00 POR CADA expediente faltante.</w:t>
            </w:r>
          </w:p>
        </w:tc>
      </w:tr>
    </w:tbl>
    <w:p>
      <w:pPr>
        <w:spacing w:before="0" w:after="0"/>
      </w:pPr>
      <w:r>
        <w:t xml:space="preserve"/>
      </w:r>
    </w:p>
    <w:p>
      <w:pPr>
        <w:pBdr>
          <w:left w:val="single" w:color="166534" w:sz="12" w:space="8"/>
        </w:pBdr>
        <w:shd w:fill="DCFCE7" w:val="clear"/>
        <w:spacing w:before="80" w:after="80"/>
        <w:ind w:left="200" w:right="200"/>
      </w:pPr>
      <w:r>
        <w:rPr>
          <w:rFonts w:ascii="Arial" w:cs="Arial" w:eastAsia="Arial" w:hAnsi="Arial"/>
          <w:b/>
          <w:bCs/>
          <w:color w:val="166534"/>
          <w:sz w:val="20"/>
          <w:szCs w:val="20"/>
        </w:rPr>
        <w:t xml:space="preserve">✅  Un programa de cumplimiento riguroso no es un gasto administrativo: es la póliza de seguro más económica contra multas. Detectar y corregir antes de que llegue la SHCP cuesta cero en multas.</w:t>
      </w:r>
    </w:p>
    <w:p>
      <w:pPr>
        <w:spacing w:before="0" w:after="100"/>
      </w:pPr>
      <w:r>
        <w:t xml:space="preserve"/>
      </w:r>
    </w:p>
    <w:p>
      <w:pPr>
        <w:pStyle w:val="Heading1"/>
        <w:shd w:fill="0D2137" w:val="clear"/>
        <w:spacing w:before="360" w:after="160"/>
        <w:ind w:left="200" w:right="200"/>
      </w:pPr>
      <w:r>
        <w:rPr>
          <w:rFonts w:ascii="Arial" w:cs="Arial" w:eastAsia="Arial" w:hAnsi="Arial"/>
          <w:b/>
          <w:bCs/>
          <w:color w:val="FFFFFF"/>
          <w:sz w:val="30"/>
          <w:szCs w:val="30"/>
        </w:rPr>
        <w:t xml:space="preserve">6. CÓMO CALCULA LA SHCP EL MONTO DE LA MULTA (Art. 60)</w:t>
      </w:r>
    </w:p>
    <w:p>
      <w:pPr>
        <w:spacing w:before="60" w:after="80"/>
      </w:pPr>
      <w:r>
        <w:rPr>
          <w:rFonts w:ascii="Arial" w:cs="Arial" w:eastAsia="Arial" w:hAnsi="Arial"/>
          <w:color w:val="222222"/>
          <w:sz w:val="22"/>
          <w:szCs w:val="22"/>
        </w:rPr>
        <w:t xml:space="preserve">La multa final no es arbitraria ni siempre el máximo del rango. El Art. 60 obliga a la SHCP a ponderar tres factores para determinar dónde dentro del rango se ubica la sanción: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2E5A8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FACTOR</w:t>
            </w:r>
          </w:p>
        </w:tc>
        <w:tc>
          <w:tcPr>
            <w:tcW w:type="dxa" w:w="3680"/>
            <w:tcBorders>
              <w:top w:val="single" w:color="CCCCCC" w:sz="1"/>
              <w:left w:val="single" w:color="CCCCCC" w:sz="1"/>
              <w:bottom w:val="single" w:color="CCCCCC" w:sz="1"/>
              <w:right w:val="single" w:color="CCCCCC" w:sz="1"/>
            </w:tcBorders>
            <w:shd w:fill="2E5A8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c>
          <w:tcPr>
            <w:tcW w:type="dxa" w:w="3680"/>
            <w:tcBorders>
              <w:top w:val="single" w:color="CCCCCC" w:sz="1"/>
              <w:left w:val="single" w:color="CCCCCC" w:sz="1"/>
              <w:bottom w:val="single" w:color="CCCCCC" w:sz="1"/>
              <w:right w:val="single" w:color="CCCCCC" w:sz="1"/>
            </w:tcBorders>
            <w:shd w:fill="2E5A8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IMPACTO EN LA MULTA</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0D2137"/>
                <w:sz w:val="20"/>
                <w:szCs w:val="20"/>
              </w:rPr>
              <w:t xml:space="preserve">1. Reincidencia y autocorrección</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¿La empresa cometió la misma infracción en los últimos 2 años? ¿Tomó acciones correctivas por iniciativa propia?</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Primera vez sin historial + acciones correctivas propias → multa tiende al mínimo del rango.
Reincidente sin corrección → multa tiende al máximo.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D2137"/>
                <w:sz w:val="20"/>
                <w:szCs w:val="20"/>
              </w:rPr>
              <w:t xml:space="preserve">2. Intención de la conducta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¿Fue un error administrativo o de sistema, o fue una conducta deliberada de ocultamiento?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Error administrativo no intencional → atenuante importante.
Ocultamiento deliberado (ej. aceptar efectivo conscientemente) → agravante que acerca al máximo.</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0D2137"/>
                <w:sz w:val="20"/>
                <w:szCs w:val="20"/>
              </w:rPr>
              <w:t xml:space="preserve">3. Cuantía de la operación</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Principio de proporcionalidad: a mayor valor del acto u operación no reportada, mayor acercamiento al tope máximo de la multa.</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Una omisión en venta de $500K se multa más alto que una en $150K, aunque ambas sean infracciones de Nivel 3.</w:t>
            </w:r>
          </w:p>
        </w:tc>
      </w:tr>
    </w:tbl>
    <w:p>
      <w:pPr>
        <w:spacing w:before="0" w:after="0"/>
      </w:pPr>
      <w:r>
        <w:t xml:space="preserve"/>
      </w:r>
    </w:p>
    <w:p>
      <w:pPr>
        <w:pBdr>
          <w:left w:val="single" w:color="D97706" w:sz="12" w:space="8"/>
        </w:pBdr>
        <w:shd w:fill="FFF8DC" w:val="clear"/>
        <w:spacing w:before="80" w:after="80"/>
        <w:ind w:left="200" w:right="200"/>
      </w:pPr>
      <w:r>
        <w:rPr>
          <w:rFonts w:ascii="Arial" w:cs="Arial" w:eastAsia="Arial" w:hAnsi="Arial"/>
          <w:i/>
          <w:iCs/>
          <w:color w:val="5B4800"/>
          <w:sz w:val="20"/>
          <w:szCs w:val="20"/>
        </w:rPr>
        <w:t xml:space="preserve">📌  Estos tres factores son los argumentos centrales en cualquier proceso de defensa. Si la empresa puede demostrar que fue un error no intencional, sin historial de reincidencia y que tomó acciones correctivas, puede conseguir la multa mínima del rango.</w:t>
      </w:r>
    </w:p>
    <w:p>
      <w:pPr>
        <w:spacing w:before="0" w:after="100"/>
      </w:pPr>
      <w:r>
        <w:t xml:space="preserve"/>
      </w:r>
    </w:p>
    <w:p>
      <w:pPr>
        <w:pStyle w:val="Heading1"/>
        <w:shd w:fill="7F1D1D" w:val="clear"/>
        <w:spacing w:before="360" w:after="160"/>
        <w:ind w:left="200" w:right="200"/>
      </w:pPr>
      <w:r>
        <w:rPr>
          <w:rFonts w:ascii="Arial" w:cs="Arial" w:eastAsia="Arial" w:hAnsi="Arial"/>
          <w:b/>
          <w:bCs/>
          <w:color w:val="FFFFFF"/>
          <w:sz w:val="30"/>
          <w:szCs w:val="30"/>
        </w:rPr>
        <w:t xml:space="preserve">7. SANCIONES LETALES: PÉRDIDA DE LICENCIA OPERATIVA (Arts. 56-59)</w:t>
      </w:r>
    </w:p>
    <w:p>
      <w:pPr>
        <w:spacing w:before="60" w:after="80"/>
      </w:pPr>
      <w:r>
        <w:rPr>
          <w:rFonts w:ascii="Arial" w:cs="Arial" w:eastAsia="Arial" w:hAnsi="Arial"/>
          <w:color w:val="222222"/>
          <w:sz w:val="22"/>
          <w:szCs w:val="22"/>
        </w:rPr>
        <w:t xml:space="preserve">Más allá de las multas, la LFPIORPI contempla sanciones que pueden terminar definitivamente con la operación de ciertos sujetos obligados. Estas no son multas: son cancelaciones de habilitaciones y patentes.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CCCCCC" w:sz="1"/>
              <w:left w:val="single" w:color="CCCCCC" w:sz="1"/>
              <w:bottom w:val="single" w:color="CCCCCC" w:sz="1"/>
              <w:right w:val="single" w:color="CCCCCC" w:sz="1"/>
            </w:tcBorders>
            <w:shd w:fill="7F1D1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SUJETO (ARTÍCULO)</w:t>
            </w:r>
          </w:p>
        </w:tc>
        <w:tc>
          <w:tcPr>
            <w:tcW w:type="dxa" w:w="2400"/>
            <w:tcBorders>
              <w:top w:val="single" w:color="CCCCCC" w:sz="1"/>
              <w:left w:val="single" w:color="CCCCCC" w:sz="1"/>
              <w:bottom w:val="single" w:color="CCCCCC" w:sz="1"/>
              <w:right w:val="single" w:color="CCCCCC" w:sz="1"/>
            </w:tcBorders>
            <w:shd w:fill="7F1D1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SANCIÓN LETAL</w:t>
            </w:r>
          </w:p>
        </w:tc>
        <w:tc>
          <w:tcPr>
            <w:tcW w:type="dxa" w:w="2400"/>
            <w:tcBorders>
              <w:top w:val="single" w:color="CCCCCC" w:sz="1"/>
              <w:left w:val="single" w:color="CCCCCC" w:sz="1"/>
              <w:bottom w:val="single" w:color="CCCCCC" w:sz="1"/>
              <w:right w:val="single" w:color="CCCCCC" w:sz="1"/>
            </w:tcBorders>
            <w:shd w:fill="7F1D1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DETONANTE NIVEL 1</w:t>
            </w:r>
          </w:p>
        </w:tc>
        <w:tc>
          <w:tcPr>
            <w:tcW w:type="dxa" w:w="2560"/>
            <w:tcBorders>
              <w:top w:val="single" w:color="CCCCCC" w:sz="1"/>
              <w:left w:val="single" w:color="CCCCCC" w:sz="1"/>
              <w:bottom w:val="single" w:color="CCCCCC" w:sz="1"/>
              <w:right w:val="single" w:color="CCCCCC" w:sz="1"/>
            </w:tcBorders>
            <w:shd w:fill="7F1D1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DETONANTE NIVEL 3</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222222"/>
                <w:sz w:val="20"/>
                <w:szCs w:val="20"/>
              </w:rPr>
              <w:t xml:space="preserve">Actividades Vulnerables con permiso</w:t>
            </w:r>
          </w:p>
          <w:p>
            <w:r>
              <w:rPr>
                <w:rFonts w:ascii="Arial" w:cs="Arial" w:eastAsia="Arial" w:hAnsi="Arial"/>
                <w:b/>
                <w:bCs/>
                <w:color w:val="222222"/>
                <w:sz w:val="20"/>
                <w:szCs w:val="20"/>
              </w:rPr>
              <w:t xml:space="preserve">(casinos, blindaje, metales/joyas)</w:t>
            </w:r>
          </w:p>
          <w:p>
            <w:r>
              <w:rPr>
                <w:rFonts w:ascii="Arial" w:cs="Arial" w:eastAsia="Arial" w:hAnsi="Arial"/>
                <w:b/>
                <w:bCs/>
                <w:color w:val="222222"/>
                <w:sz w:val="20"/>
                <w:szCs w:val="20"/>
              </w:rPr>
              <w:t xml:space="preserve">(Art. 56)</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7F1D1D"/>
                <w:sz w:val="20"/>
                <w:szCs w:val="20"/>
              </w:rPr>
              <w:t xml:space="preserve">Revocación del permiso o autorización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Reincidencia en infracciones de Nivel 1</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Una sola infracción de Nivel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Corredores Públicos</w:t>
            </w:r>
          </w:p>
          <w:p>
            <w:r>
              <w:rPr>
                <w:rFonts w:ascii="Arial" w:cs="Arial" w:eastAsia="Arial" w:hAnsi="Arial"/>
                <w:b/>
                <w:bCs/>
                <w:color w:val="222222"/>
                <w:sz w:val="20"/>
                <w:szCs w:val="20"/>
              </w:rPr>
              <w:t xml:space="preserve">(Art. 57)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7F1D1D"/>
                <w:sz w:val="20"/>
                <w:szCs w:val="20"/>
              </w:rPr>
              <w:t xml:space="preserve">Cancelación definitiva de la habilitación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Reincidencia en Nivel 1
(riesgo extremo para carrera)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Una sola infracción de Nivel 3</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222222"/>
                <w:sz w:val="20"/>
                <w:szCs w:val="20"/>
              </w:rPr>
              <w:t xml:space="preserve">Notarios Públicos</w:t>
            </w:r>
          </w:p>
          <w:p>
            <w:r>
              <w:rPr>
                <w:rFonts w:ascii="Arial" w:cs="Arial" w:eastAsia="Arial" w:hAnsi="Arial"/>
                <w:b/>
                <w:bCs/>
                <w:color w:val="222222"/>
                <w:sz w:val="20"/>
                <w:szCs w:val="20"/>
              </w:rPr>
              <w:t xml:space="preserve">(Art. 58)</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7F1D1D"/>
                <w:sz w:val="20"/>
                <w:szCs w:val="20"/>
              </w:rPr>
              <w:t xml:space="preserve">Reporte por notorias deficiencias a la autoridad supervisora para sanción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Reincidencia en Niveles 1 y 2</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Una sola infracción de Nivel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Agentes y apoderados aduanales</w:t>
            </w:r>
          </w:p>
          <w:p>
            <w:r>
              <w:rPr>
                <w:rFonts w:ascii="Arial" w:cs="Arial" w:eastAsia="Arial" w:hAnsi="Arial"/>
                <w:b/>
                <w:bCs/>
                <w:color w:val="222222"/>
                <w:sz w:val="20"/>
                <w:szCs w:val="20"/>
              </w:rPr>
              <w:t xml:space="preserve">(Art. 59)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7F1D1D"/>
                <w:sz w:val="20"/>
                <w:szCs w:val="20"/>
              </w:rPr>
              <w:t xml:space="preserve">Cancelación de la patente o autorización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Reincidencia en Nivel 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Una sola infracción de Nivel 3</w:t>
            </w:r>
          </w:p>
        </w:tc>
      </w:tr>
    </w:tbl>
    <w:p>
      <w:pPr>
        <w:spacing w:before="0" w:after="0"/>
      </w:pPr>
      <w:r>
        <w:t xml:space="preserve"/>
      </w:r>
    </w:p>
    <w:p>
      <w:pPr>
        <w:pBdr>
          <w:left w:val="single" w:color="D97706" w:sz="12" w:space="8"/>
        </w:pBdr>
        <w:shd w:fill="FFF8DC" w:val="clear"/>
        <w:spacing w:before="80" w:after="80"/>
        <w:ind w:left="200" w:right="200"/>
      </w:pPr>
      <w:r>
        <w:rPr>
          <w:rFonts w:ascii="Arial" w:cs="Arial" w:eastAsia="Arial" w:hAnsi="Arial"/>
          <w:i/>
          <w:iCs/>
          <w:color w:val="5B4800"/>
          <w:sz w:val="20"/>
          <w:szCs w:val="20"/>
        </w:rPr>
        <w:t xml:space="preserve">📌  Para ÁBACO y DINAMO (venta de vehículos bajo Fracc. VIII) no aplica directamente la cancelación de habilitación especial, ya que la actividad de compraventa de autos no requiere permiso previo de la SHCP. Sin embargo, sí aplican las multas del Art. 54 y la suspensión del Art. 54 Bis.</w:t>
      </w:r>
    </w:p>
    <w:p>
      <w:pPr>
        <w:spacing w:before="0" w:after="100"/>
      </w:pPr>
      <w:r>
        <w:t xml:space="preserve"/>
      </w:r>
    </w:p>
    <w:p>
      <w:pPr>
        <w:pStyle w:val="Heading1"/>
        <w:shd w:fill="1C3557" w:val="clear"/>
        <w:spacing w:before="360" w:after="160"/>
        <w:ind w:left="200" w:right="200"/>
      </w:pPr>
      <w:r>
        <w:rPr>
          <w:rFonts w:ascii="Arial" w:cs="Arial" w:eastAsia="Arial" w:hAnsi="Arial"/>
          <w:b/>
          <w:bCs/>
          <w:color w:val="FFFFFF"/>
          <w:sz w:val="30"/>
          <w:szCs w:val="30"/>
        </w:rPr>
        <w:t xml:space="preserve">8. VÍAS DE DEFENSA E IMPUGNACIÓN (Art. 61)</w:t>
      </w:r>
    </w:p>
    <w:p>
      <w:pPr>
        <w:pBdr>
          <w:left w:val="single" w:color="2E5A8E" w:sz="10" w:space="10"/>
        </w:pBdr>
        <w:shd w:fill="EFF6FF" w:val="clear"/>
        <w:spacing w:before="80" w:after="80"/>
        <w:ind w:left="360" w:right="200"/>
      </w:pPr>
      <w:r>
        <w:rPr>
          <w:rFonts w:ascii="Arial" w:cs="Arial" w:eastAsia="Arial" w:hAnsi="Arial"/>
          <w:i/>
          <w:iCs/>
          <w:color w:val="1C3557"/>
          <w:sz w:val="20"/>
          <w:szCs w:val="20"/>
        </w:rPr>
        <w:t xml:space="preserve">"Las sanciones administrativas impuestas conforme a la presente Ley podrán impugnarse ante la propia Secretaría, mediante el recurso de revisión previsto en la Ley Federal de Procedimiento Administrativo o directamente ante el Tribunal Federal de Justicia Administrativa a través del procedimiento contencioso administrativo."</w:t>
      </w:r>
      <w:r>
        <w:rPr>
          <w:rFonts w:ascii="Arial" w:cs="Arial" w:eastAsia="Arial" w:hAnsi="Arial"/>
          <w:color w:val="666666"/>
          <w:sz w:val="18"/>
          <w:szCs w:val="18"/>
        </w:rPr>
        <w:t xml:space="preserve">  —  Art. 61 LFPIORPI — DOF 16-07-2025</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80"/>
        <w:gridCol w:w="2680"/>
        <w:gridCol w:w="2600"/>
      </w:tblGrid>
      <w:tr>
        <w:trPr>
          <w:tblHeader/>
        </w:trPr>
        <w:tc>
          <w:tcPr>
            <w:tcW w:type="dxa" w:w="1400"/>
            <w:tcBorders>
              <w:top w:val="single" w:color="CCCCCC" w:sz="1"/>
              <w:left w:val="single" w:color="CCCCCC" w:sz="1"/>
              <w:bottom w:val="single" w:color="CCCCCC" w:sz="1"/>
              <w:right w:val="single" w:color="CCCCCC" w:sz="1"/>
            </w:tcBorders>
            <w:shd w:fill="2E5A8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VÍA</w:t>
            </w:r>
          </w:p>
        </w:tc>
        <w:tc>
          <w:tcPr>
            <w:tcW w:type="dxa" w:w="2680"/>
            <w:tcBorders>
              <w:top w:val="single" w:color="CCCCCC" w:sz="1"/>
              <w:left w:val="single" w:color="CCCCCC" w:sz="1"/>
              <w:bottom w:val="single" w:color="CCCCCC" w:sz="1"/>
              <w:right w:val="single" w:color="CCCCCC" w:sz="1"/>
            </w:tcBorders>
            <w:shd w:fill="2E5A8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NOMBRE</w:t>
            </w:r>
          </w:p>
        </w:tc>
        <w:tc>
          <w:tcPr>
            <w:tcW w:type="dxa" w:w="2680"/>
            <w:tcBorders>
              <w:top w:val="single" w:color="CCCCCC" w:sz="1"/>
              <w:left w:val="single" w:color="CCCCCC" w:sz="1"/>
              <w:bottom w:val="single" w:color="CCCCCC" w:sz="1"/>
              <w:right w:val="single" w:color="CCCCCC" w:sz="1"/>
            </w:tcBorders>
            <w:shd w:fill="2E5A8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ANTE QUIÉN</w:t>
            </w:r>
          </w:p>
        </w:tc>
        <w:tc>
          <w:tcPr>
            <w:tcW w:type="dxa" w:w="2600"/>
            <w:tcBorders>
              <w:top w:val="single" w:color="CCCCCC" w:sz="1"/>
              <w:left w:val="single" w:color="CCCCCC" w:sz="1"/>
              <w:bottom w:val="single" w:color="CCCCCC" w:sz="1"/>
              <w:right w:val="single" w:color="CCCCCC" w:sz="1"/>
            </w:tcBorders>
            <w:shd w:fill="2E5A8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ESTRATEGIA INDICADA</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222222"/>
                <w:sz w:val="20"/>
                <w:szCs w:val="20"/>
              </w:rPr>
              <w:t xml:space="preserve">Vía 1</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2E5A8E"/>
                <w:sz w:val="20"/>
                <w:szCs w:val="20"/>
              </w:rPr>
              <w:t xml:space="preserve">Recurso de Revisión</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La propia SHCP (vía administrativa interna)</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Ideal para errores procesales evidentes, recálculos usando la LFPA, o cuando la multa supera el rango legal. Más rápido y económico.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Vía 2</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5A8E"/>
                <w:sz w:val="20"/>
                <w:szCs w:val="20"/>
              </w:rPr>
              <w:t xml:space="preserve">Juicio de Nulidad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Tribunal Federal de Justicia Administrativa (TFJA)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Litigio contencioso administrativo directo para combatir fondo, forma y constitucionalidad de la sanción. Jueces imparciales.</w:t>
            </w:r>
          </w:p>
        </w:tc>
      </w:tr>
    </w:tbl>
    <w:p>
      <w:pPr>
        <w:spacing w:before="0" w:after="0"/>
      </w:pPr>
      <w:r>
        <w:t xml:space="preserve"/>
      </w:r>
    </w:p>
    <w:p>
      <w:pPr>
        <w:pBdr>
          <w:left w:val="single" w:color="D97706" w:sz="12" w:space="8"/>
        </w:pBdr>
        <w:shd w:fill="FFF8DC" w:val="clear"/>
        <w:spacing w:before="80" w:after="80"/>
        <w:ind w:left="200" w:right="200"/>
      </w:pPr>
      <w:r>
        <w:rPr>
          <w:rFonts w:ascii="Arial" w:cs="Arial" w:eastAsia="Arial" w:hAnsi="Arial"/>
          <w:i/>
          <w:iCs/>
          <w:color w:val="5B4800"/>
          <w:sz w:val="20"/>
          <w:szCs w:val="20"/>
        </w:rPr>
        <w:t xml:space="preserve">📌  Ambas vías son independientes: se puede elegir una u otra. El recurso de revisión es más rápido pero resuelve la propia SHCP. El juicio de nulidad va ante el TFJA que es tribunal imparcial. Para montos altos o casos complejos, el juicio de nulidad generalmente ofrece mayor protección.</w:t>
      </w:r>
    </w:p>
    <w:p>
      <w:pPr>
        <w:spacing w:before="0" w:after="100"/>
      </w:pPr>
      <w:r>
        <w:t xml:space="preserve"/>
      </w:r>
    </w:p>
    <w:p>
      <w:pPr>
        <w:pStyle w:val="Heading1"/>
        <w:shd w:fill="7F1D1D" w:val="clear"/>
        <w:spacing w:before="360" w:after="160"/>
        <w:ind w:left="200" w:right="200"/>
      </w:pPr>
      <w:r>
        <w:rPr>
          <w:rFonts w:ascii="Arial" w:cs="Arial" w:eastAsia="Arial" w:hAnsi="Arial"/>
          <w:b/>
          <w:bCs/>
          <w:color w:val="FFFFFF"/>
          <w:sz w:val="30"/>
          <w:szCs w:val="30"/>
        </w:rPr>
        <w:t xml:space="preserve">9. DELITOS — LA LÍNEA PENAL (Art. 62)</w:t>
      </w:r>
    </w:p>
    <w:p>
      <w:pPr>
        <w:pBdr>
          <w:left w:val="single" w:color="2E5A8E" w:sz="10" w:space="10"/>
        </w:pBdr>
        <w:shd w:fill="EFF6FF" w:val="clear"/>
        <w:spacing w:before="80" w:after="80"/>
        <w:ind w:left="360" w:right="200"/>
      </w:pPr>
      <w:r>
        <w:rPr>
          <w:rFonts w:ascii="Arial" w:cs="Arial" w:eastAsia="Arial" w:hAnsi="Arial"/>
          <w:i/>
          <w:iCs/>
          <w:color w:val="1C3557"/>
          <w:sz w:val="20"/>
          <w:szCs w:val="20"/>
        </w:rPr>
        <w:t xml:space="preserve">"Se sancionará con prisión de dos a ocho años y con quinientos a dos mil días multa conforme al Código Penal Federal, a quien: I. Proporcione información, documentación, datos o imágenes falsos para ser incorporados en Avisos; II. Modifique o altere información destinados a ser incorporados en los Avisos o requerimientos de la Secretaría, o III. Incorpore a los avisos o requerimientos información, documentación, datos o imágenes ilegibles que impidan el conocimiento efectivo de su contenido."</w:t>
      </w:r>
      <w:r>
        <w:rPr>
          <w:rFonts w:ascii="Arial" w:cs="Arial" w:eastAsia="Arial" w:hAnsi="Arial"/>
          <w:color w:val="666666"/>
          <w:sz w:val="18"/>
          <w:szCs w:val="18"/>
        </w:rPr>
        <w:t xml:space="preserve">  —  Art. 62 LFPIORPI — DOF 16-07-2025</w:t>
      </w:r>
    </w:p>
    <w:p>
      <w:pPr>
        <w:spacing w:before="0" w:after="0"/>
      </w:pPr>
      <w:r>
        <w:t xml:space="preserve"/>
      </w:r>
    </w:p>
    <w:p>
      <w:pPr>
        <w:spacing w:before="60" w:after="80"/>
      </w:pPr>
      <w:r>
        <w:rPr>
          <w:rFonts w:ascii="Arial" w:cs="Arial" w:eastAsia="Arial" w:hAnsi="Arial"/>
          <w:color w:val="222222"/>
          <w:sz w:val="22"/>
          <w:szCs w:val="22"/>
        </w:rPr>
        <w:t xml:space="preserve">La línea que separa una sanción administrativa de una acción penal es la falsedad o alteración de información. El incumplimiento negligente es sanción administrativa. La falsificación o alteración activa de datos es delito con pena de cárcel.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7F1D1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SANCIÓN ADMINISTRATIVA (Arts. 53-60)</w:t>
            </w:r>
          </w:p>
        </w:tc>
        <w:tc>
          <w:tcPr>
            <w:tcW w:type="dxa" w:w="4680"/>
            <w:tcBorders>
              <w:top w:val="single" w:color="CCCCCC" w:sz="1"/>
              <w:left w:val="single" w:color="CCCCCC" w:sz="1"/>
              <w:bottom w:val="single" w:color="CCCCCC" w:sz="1"/>
              <w:right w:val="single" w:color="CCCCCC" w:sz="1"/>
            </w:tcBorders>
            <w:shd w:fill="7F1D1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DELITO PENAL (Art. 62)</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No presentar el aviso</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Presentar el aviso con información falsa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Presentar el aviso con errores de forma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Alterar o modificar deliberadamente los datos del aviso</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No identificar al Beneficiario Controlador</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Proporcionar documentación de identidad falsa al expediente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Aceptar efectivo prohibido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Fragmentar deliberadamente operaciones para evitar el umbral (fraccionamiento sistemático)</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Multa de hasta $7,625,150.00 o 100% del valor</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222222"/>
                <w:sz w:val="20"/>
                <w:szCs w:val="20"/>
              </w:rPr>
              <w:t xml:space="preserve">Prisión de 2 a 8 años + multa penal adicional</w:t>
            </w:r>
          </w:p>
        </w:tc>
      </w:tr>
    </w:tbl>
    <w:p>
      <w:pPr>
        <w:spacing w:before="0" w:after="0"/>
      </w:pPr>
      <w:r>
        <w:t xml:space="preserve"/>
      </w:r>
    </w:p>
    <w:p>
      <w:pPr>
        <w:pBdr>
          <w:left w:val="single" w:color="C0392B" w:sz="12" w:space="8"/>
        </w:pBdr>
        <w:shd w:fill="FFF0F0" w:val="clear"/>
        <w:spacing w:before="80" w:after="80"/>
        <w:ind w:left="200" w:right="200"/>
      </w:pPr>
      <w:r>
        <w:rPr>
          <w:rFonts w:ascii="Arial" w:cs="Arial" w:eastAsia="Arial" w:hAnsi="Arial"/>
          <w:b/>
          <w:bCs/>
          <w:color w:val="8B0000"/>
          <w:sz w:val="20"/>
          <w:szCs w:val="20"/>
        </w:rPr>
        <w:t xml:space="preserve">⚠️  El Art. 62 también admite comisión culposa (imprudencia), lo que amplía significativamente el riesgo penal. Un error grave y evitable en la presentación de avisos podría encuadrar en culpa, aunque no haya intención de falsificar.</w:t>
      </w:r>
    </w:p>
    <w:p>
      <w:pPr>
        <w:spacing w:before="0" w:after="100"/>
      </w:pPr>
      <w:r>
        <w:t xml:space="preserve"/>
      </w:r>
    </w:p>
    <w:p>
      <w:pPr>
        <w:pStyle w:val="Heading1"/>
        <w:shd w:fill="0D2137" w:val="clear"/>
        <w:spacing w:before="360" w:after="160"/>
        <w:ind w:left="200" w:right="200"/>
      </w:pPr>
      <w:r>
        <w:rPr>
          <w:rFonts w:ascii="Arial" w:cs="Arial" w:eastAsia="Arial" w:hAnsi="Arial"/>
          <w:b/>
          <w:bCs/>
          <w:color w:val="FFFFFF"/>
          <w:sz w:val="30"/>
          <w:szCs w:val="30"/>
        </w:rPr>
        <w:t xml:space="preserve">10. EL COSTO DE NO CUMPLIR VS. EL VALOR DE CUMPLIR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default">❌  RIESGO DE LA INACCIÓN</w:t>
            </w:r>
          </w:p>
        </w:tc>
        <w:tc>
          <w:tcPr>
            <w:tcW w:type="dxa" w:w="468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default">✅  VALOR DEL CUMPLIMIENTO PROACTIVO</w:t>
            </w:r>
          </w:p>
        </w:tc>
      </w:tr>
      <w:tr>
        <w:tc>
          <w:tcPr>
            <w:tcW w:type="dxa" w:w="46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Multas de hasta $7,625,150 MXN por infracción (Nivel 3)</w:t>
            </w:r>
          </w:p>
        </w:tc>
        <w:tc>
          <w:tcPr>
            <w:tcW w:type="dxa" w:w="46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$0 en multas si se regulariza antes de que la SHCP llegue (Art. 55)</w:t>
            </w:r>
          </w:p>
        </w:tc>
      </w:tr>
      <w:tr>
        <w:tc>
          <w:tcPr>
            <w:tcW w:type="dxa" w:w="46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O hasta el 100% del valor de la operación, lo que resulte mayor</w:t>
            </w:r>
          </w:p>
        </w:tc>
        <w:tc>
          <w:tcPr>
            <w:tcW w:type="dxa" w:w="46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50% de reducción en infracciones subsecuentes regularizadas espontáneamente</w:t>
            </w:r>
          </w:p>
        </w:tc>
      </w:tr>
      <w:tr>
        <w:tc>
          <w:tcPr>
            <w:tcW w:type="dxa" w:w="46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Suspensión temporal de operaciones con clientes clave (Art. 54 Bis)</w:t>
            </w:r>
          </w:p>
        </w:tc>
        <w:tc>
          <w:tcPr>
            <w:tcW w:type="dxa" w:w="46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Continuidad operativa sin interrupciones por procedimientos de verificación</w:t>
            </w:r>
          </w:p>
        </w:tc>
      </w:tr>
      <w:tr>
        <w:tc>
          <w:tcPr>
            <w:tcW w:type="dxa" w:w="46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Cancelación de permisos y habilitaciones para sujetos con licencia especial</w:t>
            </w:r>
          </w:p>
        </w:tc>
        <w:tc>
          <w:tcPr>
            <w:tcW w:type="dxa" w:w="46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Protección de la reputación corporativa y de las relaciones comerciales del grupo</w:t>
            </w:r>
          </w:p>
        </w:tc>
      </w:tr>
      <w:tr>
        <w:tc>
          <w:tcPr>
            <w:tcW w:type="dxa" w:w="46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Prisión de 2 a 8 años por falsificación de información (Art. 62)</w:t>
            </w:r>
          </w:p>
        </w:tc>
        <w:tc>
          <w:tcPr>
            <w:tcW w:type="dxa" w:w="46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Exposición pública positiva: el cumplimiento AML es una ventaja competitiva en mercados regulados</w:t>
            </w:r>
          </w:p>
        </w:tc>
      </w:tr>
    </w:tbl>
    <w:p>
      <w:pPr>
        <w:spacing w:before="0" w:after="100"/>
      </w:pPr>
      <w:r>
        <w:t xml:space="preserve"/>
      </w:r>
    </w:p>
    <w:p>
      <w:pPr>
        <w:spacing w:before="200" w:after="80"/>
      </w:pPr>
      <w:r>
        <w:rPr>
          <w:rFonts w:ascii="Arial" w:cs="Arial" w:eastAsia="Arial" w:hAnsi="Arial"/>
          <w:b/>
          <w:bCs/>
          <w:color w:val="1C3557"/>
          <w:sz w:val="23"/>
          <w:szCs w:val="23"/>
        </w:rPr>
        <w:t xml:space="preserve">Los 5 comportamientos que eliminan el riesgo para Consorcio Peredo</w:t>
      </w:r>
    </w:p>
    <w:p>
      <w:pPr>
        <w:pStyle w:val="ListParagraph"/>
        <w:numPr>
          <w:ilvl w:val="0"/>
          <w:numId w:val="2"/>
        </w:numPr>
        <w:spacing w:before="40" w:after="40"/>
      </w:pPr>
      <w:r>
        <w:rPr>
          <w:rFonts w:ascii="Arial" w:cs="Arial" w:eastAsia="Arial" w:hAnsi="Arial"/>
          <w:color w:val="222222"/>
          <w:sz w:val="22"/>
          <w:szCs w:val="22"/>
        </w:rPr>
        <w:t xml:space="preserve">Nunca aceptar efectivo en operaciones que superen el umbral del Art. 32 — en ningún caso, bajo ningún argumento comercial.</w:t>
      </w:r>
    </w:p>
    <w:p>
      <w:pPr>
        <w:pStyle w:val="ListParagraph"/>
        <w:numPr>
          <w:ilvl w:val="0"/>
          <w:numId w:val="2"/>
        </w:numPr>
        <w:spacing w:before="40" w:after="40"/>
      </w:pPr>
      <w:r>
        <w:rPr>
          <w:rFonts w:ascii="Arial" w:cs="Arial" w:eastAsia="Arial" w:hAnsi="Arial"/>
          <w:color w:val="222222"/>
          <w:sz w:val="22"/>
          <w:szCs w:val="22"/>
        </w:rPr>
        <w:t xml:space="preserve">Abrir expediente completo en TODA venta de vehículo ≥ $363,179 (3,210 UMA): identificación + forma de pago + análisis de riesgo.</w:t>
      </w:r>
    </w:p>
    <w:p>
      <w:pPr>
        <w:pStyle w:val="ListParagraph"/>
        <w:numPr>
          <w:ilvl w:val="0"/>
          <w:numId w:val="2"/>
        </w:numPr>
        <w:spacing w:before="40" w:after="40"/>
      </w:pPr>
      <w:r>
        <w:rPr>
          <w:rFonts w:ascii="Arial" w:cs="Arial" w:eastAsia="Arial" w:hAnsi="Arial"/>
          <w:color w:val="222222"/>
          <w:sz w:val="22"/>
          <w:szCs w:val="22"/>
        </w:rPr>
        <w:t xml:space="preserve">Documentar siempre al Beneficiario Controlador cuando el comprador sea persona moral, fideicomiso o cualquier figura jurídica.</w:t>
      </w:r>
    </w:p>
    <w:p>
      <w:pPr>
        <w:pStyle w:val="ListParagraph"/>
        <w:numPr>
          <w:ilvl w:val="0"/>
          <w:numId w:val="2"/>
        </w:numPr>
        <w:spacing w:before="40" w:after="40"/>
      </w:pPr>
      <w:r>
        <w:rPr>
          <w:rFonts w:ascii="Arial" w:cs="Arial" w:eastAsia="Arial" w:hAnsi="Arial"/>
          <w:color w:val="222222"/>
          <w:sz w:val="22"/>
          <w:szCs w:val="22"/>
        </w:rPr>
        <w:t xml:space="preserve">Presentar avisos ordinarios a más tardar el día 17 del mes siguiente a la operación. Un sistema de calendario de avisos previene las infracciones de Nivel 1.</w:t>
      </w:r>
    </w:p>
    <w:p>
      <w:pPr>
        <w:pStyle w:val="ListParagraph"/>
        <w:numPr>
          <w:ilvl w:val="0"/>
          <w:numId w:val="2"/>
        </w:numPr>
        <w:spacing w:before="40" w:after="40"/>
      </w:pPr>
      <w:r>
        <w:rPr>
          <w:rFonts w:ascii="Arial" w:cs="Arial" w:eastAsia="Arial" w:hAnsi="Arial"/>
          <w:color w:val="222222"/>
          <w:sz w:val="22"/>
          <w:szCs w:val="22"/>
        </w:rPr>
        <w:t xml:space="preserve">Realizar auditorías internas periódicas (trimestral o semestralmente) para detectar expedientes incompletos o avisos pendientes antes de que la SHCP los encuentre. El Art. 55 convierte esa detección temprana en cero multas.</w:t>
      </w:r>
    </w:p>
    <w:p>
      <w:pPr>
        <w:spacing w:before="0" w:after="100"/>
      </w:pPr>
      <w:r>
        <w:t xml:space="preserve"/>
      </w:r>
    </w:p>
    <w:p>
      <w:pPr>
        <w:pBdr>
          <w:bottom w:val="single" w:color="7F1D1D" w:sz="6" w:space="1"/>
        </w:pBdr>
        <w:spacing w:before="0" w:after="120"/>
      </w:pPr>
    </w:p>
    <w:p>
      <w:pPr>
        <w:spacing w:before="80" w:after="0"/>
        <w:jc w:val="center"/>
      </w:pPr>
      <w:r>
        <w:rPr>
          <w:rFonts w:ascii="Arial" w:cs="Arial" w:eastAsia="Arial" w:hAnsi="Arial"/>
          <w:color w:val="888888"/>
          <w:sz w:val="18"/>
          <w:szCs w:val="18"/>
        </w:rPr>
        <w:t xml:space="preserve">FUENTES: Art. 52-62 LFPIORPI — DOF 16-07-2025  ·  UMA 2026 = $117.31/día  ·  </w:t>
      </w:r>
      <w:r>
        <w:rPr>
          <w:rFonts w:ascii="Arial" w:cs="Arial" w:eastAsia="Arial" w:hAnsi="Arial"/>
          <w:i/>
          <w:iCs/>
          <w:color w:val="888888"/>
          <w:sz w:val="18"/>
          <w:szCs w:val="18"/>
        </w:rPr>
        <w:t xml:space="preserve">Preparado por GMC360 / 360EDUCA  ·  Maribel Vázquez Menchaca  ·  Taller Consorcio Peredo, Oaxaca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FFFFFF"/>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0D21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2026-03-11T16:32:26.211Z</dcterms:created>
  <dcterms:modified xsi:type="dcterms:W3CDTF">2026-03-11T16:32:26.212Z</dcterms:modified>
</cp:coreProperties>
</file>

<file path=docProps/custom.xml><?xml version="1.0" encoding="utf-8"?>
<Properties xmlns="http://schemas.openxmlformats.org/officeDocument/2006/custom-properties" xmlns:vt="http://schemas.openxmlformats.org/officeDocument/2006/docPropsVTypes"/>
</file>