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before="480" w:after="0"/>
        <w:ind w:left="0" w:right="0"/>
        <w:jc w:val="center"/>
      </w:pPr>
      <w:r>
        <w:rPr>
          <w:rFonts w:ascii="Arial" w:cs="Arial" w:eastAsia="Arial" w:hAnsi="Arial"/>
          <w:b/>
          <w:bCs/>
          <w:color w:val="FFFFFF"/>
          <w:sz w:val="48"/>
          <w:szCs w:val="48"/>
        </w:rPr>
        <w:t xml:space="preserve">TALLER LFPIORPI 2026</w:t>
      </w:r>
    </w:p>
    <w:p>
      <w:pPr>
        <w:shd w:fill="0D2137" w:val="clear"/>
        <w:spacing w:before="0" w:after="0"/>
        <w:jc w:val="center"/>
      </w:pPr>
      <w:r>
        <w:rPr>
          <w:rFonts w:ascii="Arial" w:cs="Arial" w:eastAsia="Arial" w:hAnsi="Arial"/>
          <w:color w:val="A8C4E0"/>
          <w:sz w:val="32"/>
          <w:szCs w:val="32"/>
        </w:rPr>
        <w:t xml:space="preserve">Consorcio Peredo</w:t>
      </w:r>
    </w:p>
    <w:p>
      <w:pPr>
        <w:shd w:fill="0D2137" w:val="clear"/>
        <w:spacing w:before="0" w:after="0"/>
        <w:jc w:val="center"/>
      </w:pPr>
      <w:r>
        <w:rPr>
          <w:rFonts w:ascii="Arial" w:cs="Arial" w:eastAsia="Arial" w:hAnsi="Arial"/>
          <w:color w:val="FFFFFF"/>
          <w:sz w:val="24"/>
          <w:szCs w:val="24"/>
        </w:rPr>
        <w:t xml:space="preserve"> </w:t>
      </w:r>
    </w:p>
    <w:p>
      <w:pPr>
        <w:pBdr>
          <w:bottom w:val="single" w:color="0D2137" w:sz="6" w:space="1"/>
        </w:pBdr>
        <w:shd w:fill="D6E4F7" w:val="clear"/>
        <w:spacing w:before="0" w:after="0"/>
        <w:jc w:val="center"/>
      </w:pPr>
      <w:r>
        <w:rPr>
          <w:rFonts w:ascii="Arial" w:cs="Arial" w:eastAsia="Arial" w:hAnsi="Arial"/>
          <w:b/>
          <w:bCs/>
          <w:color w:val="0D2137"/>
          <w:sz w:val="28"/>
          <w:szCs w:val="28"/>
        </w:rPr>
        <w:t xml:space="preserve">BLOQUE I  ·  LO QUE CAMBIÓ PARA TODOS</w:t>
      </w:r>
      <w:r>
        <w:rPr>
          <w:rFonts w:ascii="Arial" w:cs="Arial" w:eastAsia="Arial" w:hAnsi="Arial"/>
          <w:color w:val="666666"/>
          <w:sz w:val="22"/>
          <w:szCs w:val="22"/>
        </w:rPr>
        <w:t xml:space="preserve">     |     25 minutos     |     Oaxaca, 2026</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2137"/>
                <w:sz w:val="20"/>
                <w:szCs w:val="20"/>
              </w:rPr>
              <w:t xml:space="preserve">Duración: </w:t>
            </w:r>
            <w:r>
              <w:rPr>
                <w:rFonts w:ascii="Arial" w:cs="Arial" w:eastAsia="Arial" w:hAnsi="Arial"/>
                <w:color w:val="222222"/>
                <w:sz w:val="20"/>
                <w:szCs w:val="20"/>
              </w:rPr>
              <w:t xml:space="preserve">25 minutos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2137"/>
                <w:sz w:val="20"/>
                <w:szCs w:val="20"/>
              </w:rPr>
              <w:t xml:space="preserve">Audiencia: </w:t>
            </w:r>
            <w:r>
              <w:rPr>
                <w:rFonts w:ascii="Arial" w:cs="Arial" w:eastAsia="Arial" w:hAnsi="Arial"/>
                <w:color w:val="222222"/>
                <w:sz w:val="20"/>
                <w:szCs w:val="20"/>
              </w:rPr>
              <w:t xml:space="preserve">Contadores y directivos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D2137"/>
                <w:sz w:val="20"/>
                <w:szCs w:val="20"/>
              </w:rPr>
              <w:t xml:space="preserve">Base legal: </w:t>
            </w:r>
            <w:r>
              <w:rPr>
                <w:rFonts w:ascii="Arial" w:cs="Arial" w:eastAsia="Arial" w:hAnsi="Arial"/>
                <w:color w:val="222222"/>
                <w:sz w:val="20"/>
                <w:szCs w:val="20"/>
              </w:rPr>
              <w:t xml:space="preserve">LFPIORPI DOF 16-07-2025</w:t>
            </w:r>
          </w:p>
        </w:tc>
      </w:tr>
    </w:tbl>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1.  PANORAMA GENERAL DE LA REFORMA</w:t>
      </w:r>
    </w:p>
    <w:p>
      <w:pPr>
        <w:spacing w:before="0" w:after="0"/>
      </w:pPr>
      <w:r>
        <w:t xml:space="preserve"/>
      </w:r>
    </w:p>
    <w:p>
      <w:pPr>
        <w:spacing w:before="60" w:after="80"/>
      </w:pPr>
      <w:r>
        <w:rPr>
          <w:rFonts w:ascii="Arial" w:cs="Arial" w:eastAsia="Arial" w:hAnsi="Arial"/>
          <w:color w:val="222222"/>
          <w:sz w:val="22"/>
          <w:szCs w:val="22"/>
        </w:rPr>
        <w:t xml:space="preserve">La reforma a la LFPIORPI publicada el 16 de julio de 2025 en el Diario Oficial de la Federación es la modificación más significativa a esta ley desde su expedición en 2012. No se trata de ajustes menores: el objeto mismo de la ley cambió, las definiciones se ampliaron, y once nuevas obligaciones se sumaron al artículo 18.</w:t>
      </w:r>
    </w:p>
    <w:p>
      <w:pPr>
        <w:spacing w:before="0" w:after="0"/>
      </w:pPr>
      <w:r>
        <w:t xml:space="preserve"/>
      </w:r>
    </w:p>
    <w:p>
      <w:pPr>
        <w:spacing w:before="200" w:after="80"/>
      </w:pPr>
      <w:r>
        <w:rPr>
          <w:rFonts w:ascii="Arial" w:cs="Arial" w:eastAsia="Arial" w:hAnsi="Arial"/>
          <w:b/>
          <w:bCs/>
          <w:color w:val="1C3557"/>
          <w:sz w:val="23"/>
          <w:szCs w:val="23"/>
        </w:rPr>
        <w:t xml:space="preserve">Cambio en el objeto de la Ley — Art. 2</w:t>
      </w:r>
    </w:p>
    <w:p>
      <w:pPr>
        <w:spacing w:before="60" w:after="80"/>
      </w:pPr>
      <w:r>
        <w:rPr>
          <w:rFonts w:ascii="Arial" w:cs="Arial" w:eastAsia="Arial" w:hAnsi="Arial"/>
          <w:color w:val="222222"/>
          <w:sz w:val="22"/>
          <w:szCs w:val="22"/>
        </w:rPr>
        <w:t xml:space="preserve">Este cambio es el primero y el más revelador de la reforma: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B728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VERSIÓN ANTERIOR</w:t>
            </w:r>
          </w:p>
        </w:tc>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VERSIÓN REFORMADA — DOF 16-07-2025</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i/>
                <w:iCs/>
                <w:color w:val="444444"/>
                <w:sz w:val="20"/>
                <w:szCs w:val="20"/>
              </w:rPr>
              <w:t xml:space="preserve">"Recabar elementos útiles para investigar y perseguir los delitos de operaciones con recursos de procedencia ilícita"</w:t>
            </w:r>
          </w:p>
        </w:tc>
        <w:tc>
          <w:tcPr>
            <w:tcW w:type="dxa" w:w="46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i/>
                <w:iCs/>
                <w:color w:val="0D2137"/>
                <w:sz w:val="20"/>
                <w:szCs w:val="20"/>
              </w:rPr>
              <w:t xml:space="preserve">"Investigar y perseguir los Delitos de Operaciones con Recursos de Procedencia Ilícita, los Delitos relacionados con estos y con las estructuras financieras de las organizaciones delictivas"</w:t>
            </w:r>
          </w:p>
        </w:tc>
      </w:tr>
    </w:tbl>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El cambio no es semántico. La ley pasa de una función de recolección de información a una función activa de investigación y persecución. El sujeto obligado pasa de ser un proveedor de datos a ser parte del sistema de inteligencia financiera del Estado.</w:t>
      </w:r>
    </w:p>
    <w:p>
      <w:pPr>
        <w:spacing w:before="0" w:after="120"/>
      </w:pPr>
      <w:r>
        <w:t xml:space="preserve"/>
      </w:r>
    </w:p>
    <w:p>
      <w:pPr>
        <w:spacing w:before="200" w:after="80"/>
      </w:pPr>
      <w:r>
        <w:rPr>
          <w:rFonts w:ascii="Arial" w:cs="Arial" w:eastAsia="Arial" w:hAnsi="Arial"/>
          <w:b/>
          <w:bCs/>
          <w:color w:val="1C3557"/>
          <w:sz w:val="23"/>
          <w:szCs w:val="23"/>
        </w:rPr>
        <w:t xml:space="preserve">Los cinco ejes de la reforma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560"/>
      </w:tblGrid>
      <w:tr>
        <w:trPr>
          <w:tblHeader/>
        </w:trPr>
        <w:tc>
          <w:tcPr>
            <w:tcW w:type="dxa" w:w="30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w:t>
            </w:r>
          </w:p>
        </w:tc>
        <w:tc>
          <w:tcPr>
            <w:tcW w:type="dxa" w:w="656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 PARA EL SUJETO OBLIGADO</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Nuevas definiciones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BC al 25%, cliente incluye fideicomisos, se incorporan PPE, Riesgo, UMA, Relación de negocios y Representante Encargada de Cumplimiento.</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Nuevas obligaciones Art. 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 suman 7 fracciones nuevas (VII a XI + IV Bis). El Art. 18 pasa de 4 a 11 obligaciones numeradas.</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Capítulo IV Bis — BC</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Obligación de identificar al Beneficiario Controlador aplica a TODAS las sociedades mercantiles, aunque no realicen actividades vulnerables.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Nuevas actividades vulnerables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 agregan: desarrollo inmobiliario (Frac. V Bis), activos virtuales (Frac. XV), consignación de pago, facilitadores MASC.</w:t>
            </w:r>
          </w:p>
        </w:tc>
      </w:tr>
      <w:tr>
        <w:tc>
          <w:tcPr>
            <w:tcW w:type="dxa" w:w="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Conversión a UMA</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Todos los umbrales se expresan en UMA (antes en salarios mínimos). UMA 2026 = $117.31 diarios.</w:t>
            </w:r>
          </w:p>
        </w:tc>
      </w:tr>
    </w:tbl>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2.  NUEVAS DEFINICIONES CLAVE — ART. 3</w:t>
      </w:r>
    </w:p>
    <w:p>
      <w:pPr>
        <w:spacing w:before="60" w:after="80"/>
      </w:pPr>
      <w:r>
        <w:rPr>
          <w:rFonts w:ascii="Arial" w:cs="Arial" w:eastAsia="Arial" w:hAnsi="Arial"/>
          <w:color w:val="222222"/>
          <w:sz w:val="22"/>
          <w:szCs w:val="22"/>
        </w:rPr>
        <w:t xml:space="preserve">El artículo 3 de la LFPIORPI contiene el glosario de la ley. La reforma del 16 de julio de 2025 modificó varias definiciones existentes y adicionó ocho nuevas. Estas definiciones son la base técnica sobre la que se construyen todas las obligaciones.</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2.1  Beneficiario Controlador (BC)  —  Fracc. II  [REFORMADA]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"Persona física o grupo de personas físicas que directamente o por medio de alguna persona Cliente o Usuaria obtiene, en última instancia, el beneficio de goce, uso, disfrute, aprovechamiento o disposición del bien o servicio derivado de la realización de un acto u operación con quien realice una Actividad Vulnerable, o que ejerce el control efectivo en última instancia de aquella persona moral que, en su carácter de Cliente o Usuaria, lleve a cabo actos u operaciones con quien realice una Actividad Vulnerable."</w:t>
      </w:r>
      <w:r>
        <w:rPr>
          <w:rFonts w:ascii="Arial" w:cs="Arial" w:eastAsia="Arial" w:hAnsi="Arial"/>
          <w:color w:val="666666"/>
          <w:sz w:val="18"/>
          <w:szCs w:val="18"/>
        </w:rPr>
        <w:t xml:space="preserve">  —  Art. 3, Fracc. II LFPIORPI — DOF 16-07-2025</w:t>
      </w:r>
    </w:p>
    <w:p>
      <w:pPr>
        <w:spacing w:before="0" w:after="0"/>
      </w:pPr>
      <w:r>
        <w:t xml:space="preserve"/>
      </w:r>
    </w:p>
    <w:p>
      <w:pPr>
        <w:spacing w:before="200" w:after="80"/>
      </w:pPr>
      <w:r>
        <w:rPr>
          <w:rFonts w:ascii="Arial" w:cs="Arial" w:eastAsia="Arial" w:hAnsi="Arial"/>
          <w:b/>
          <w:bCs/>
          <w:color w:val="1C3557"/>
          <w:sz w:val="23"/>
          <w:szCs w:val="23"/>
        </w:rPr>
        <w:t xml:space="preserve">El cambio central: umbral de control baja del 50% al 25%</w:t>
      </w:r>
    </w:p>
    <w:p>
      <w:pPr>
        <w:spacing w:before="60" w:after="80"/>
      </w:pPr>
      <w:r>
        <w:rPr>
          <w:rFonts w:ascii="Arial" w:cs="Arial" w:eastAsia="Arial" w:hAnsi="Arial"/>
          <w:color w:val="222222"/>
          <w:sz w:val="22"/>
          <w:szCs w:val="22"/>
        </w:rPr>
        <w:t xml:space="preserve">Se entiende que una persona ejerce control efectivo cuando puede, directa o indirectamente:</w:t>
      </w:r>
    </w:p>
    <w:p>
      <w:pPr>
        <w:pStyle w:val="ListParagraph"/>
        <w:numPr>
          <w:ilvl w:val="0"/>
          <w:numId w:val="2"/>
        </w:numPr>
        <w:spacing w:before="40" w:after="40"/>
      </w:pPr>
      <w:r>
        <w:rPr>
          <w:rFonts w:ascii="Arial" w:cs="Arial" w:eastAsia="Arial" w:hAnsi="Arial"/>
          <w:color w:val="222222"/>
          <w:sz w:val="22"/>
          <w:szCs w:val="22"/>
        </w:rPr>
        <w:t xml:space="preserve">Imponer decisiones en asambleas generales de accionistas, socios u órganos equivalentes, o nombrar o destituir a la mayoría de los consejeros o administradores;</w:t>
      </w:r>
    </w:p>
    <w:p>
      <w:pPr>
        <w:pStyle w:val="ListParagraph"/>
        <w:numPr>
          <w:ilvl w:val="0"/>
          <w:numId w:val="2"/>
        </w:numPr>
        <w:spacing w:before="40" w:after="40"/>
      </w:pPr>
      <w:r>
        <w:rPr>
          <w:rFonts w:ascii="Arial" w:cs="Arial" w:eastAsia="Arial" w:hAnsi="Arial"/>
          <w:color w:val="222222"/>
          <w:sz w:val="22"/>
          <w:szCs w:val="22"/>
        </w:rPr>
        <w:t xml:space="preserve">Mantener la titularidad de derechos que permitan ejercer el voto respecto de más del 25% del capital social  [subinciso reformado DOF 16-07-2025], o</w:t>
      </w:r>
    </w:p>
    <w:p>
      <w:pPr>
        <w:pStyle w:val="ListParagraph"/>
        <w:numPr>
          <w:ilvl w:val="0"/>
          <w:numId w:val="2"/>
        </w:numPr>
        <w:spacing w:before="40" w:after="40"/>
      </w:pPr>
      <w:r>
        <w:rPr>
          <w:rFonts w:ascii="Arial" w:cs="Arial" w:eastAsia="Arial" w:hAnsi="Arial"/>
          <w:color w:val="222222"/>
          <w:sz w:val="22"/>
          <w:szCs w:val="22"/>
        </w:rPr>
        <w:t xml:space="preserve">Dirigir, directa o indirectamente, la administración, la estrategia o las principales políticas de la persona moral.</w:t>
      </w:r>
    </w:p>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Antes el umbral era el 50% del capital social. Con la reforma, cualquier socio o accionista que tenga más del 25% del capital —o que ejerza control de facto— debe ser identificado como BC. Esto amplía significativamente el universo de personas a identificar en estructuras con múltiples accionistas minoritarios.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CRITERIO</w:t>
            </w:r>
          </w:p>
        </w:tc>
        <w:tc>
          <w:tcPr>
            <w:tcW w:type="dxa" w:w="312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ANTES (hasta julio 2025)</w:t>
            </w:r>
          </w:p>
        </w:tc>
        <w:tc>
          <w:tcPr>
            <w:tcW w:type="dxa" w:w="3120"/>
            <w:tcBorders>
              <w:top w:val="single" w:color="CCCCCC" w:sz="1"/>
              <w:left w:val="single" w:color="CCCCCC" w:sz="1"/>
              <w:bottom w:val="single" w:color="CCCCCC" w:sz="1"/>
              <w:right w:val="single" w:color="CCCCCC" w:sz="1"/>
            </w:tcBorders>
            <w:shd w:fill="1C355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AHORA (desde julio 2025)</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Umbral de propiedad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50% del capital social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25% del capital social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Equivalencias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equiparado expresamente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Equiparable a 'beneficiario final' y 'propietario real' (Art. 3, Fracc. II)</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Alcance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Solo clientes de actividades vulnerables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También todas las sociedades mercantiles (Capítulo IV Bis)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Último recurso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previsto expresamente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 no se identifica por propiedad ni control: administrador único o consejo de administración</w:t>
            </w:r>
          </w:p>
        </w:tc>
      </w:tr>
    </w:tbl>
    <w:p>
      <w:pPr>
        <w:spacing w:before="0" w:after="0"/>
      </w:pPr>
      <w:r>
        <w:t xml:space="preserve"/>
      </w:r>
    </w:p>
    <w:p>
      <w:pPr>
        <w:spacing w:before="200" w:after="80"/>
      </w:pPr>
      <w:r>
        <w:rPr>
          <w:rFonts w:ascii="Arial" w:cs="Arial" w:eastAsia="Arial" w:hAnsi="Arial"/>
          <w:b/>
          <w:bCs/>
          <w:color w:val="1C3557"/>
          <w:sz w:val="23"/>
          <w:szCs w:val="23"/>
        </w:rPr>
        <w:t xml:space="preserve">Tres vías para identificar al 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VÍA</w:t>
            </w:r>
          </w:p>
        </w:tc>
        <w:tc>
          <w:tcPr>
            <w:tcW w:type="dxa" w:w="37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DEFINICIÓN</w:t>
            </w:r>
          </w:p>
        </w:tc>
        <w:tc>
          <w:tcPr>
            <w:tcW w:type="dxa" w:w="37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EJEMPLO PRÁCTICO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1. Propiedad</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Persona física con más del 25% del capital o derechos de voto en la persona moral.</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Socio con 30% de participación en empresa vendedora de autos → BC.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22222"/>
                <w:sz w:val="20"/>
                <w:szCs w:val="20"/>
              </w:rPr>
              <w:t xml:space="preserve">2. Control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Persona física que ejerce control efectivo: impone decisiones, nombra administradores, dirige políticas estratégicas.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Director general con poder irrevocable aunque tenga 0% de acciones → puede ser BC.</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222222"/>
                <w:sz w:val="20"/>
                <w:szCs w:val="20"/>
              </w:rPr>
              <w:t xml:space="preserve">3. Último recurso</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 no se identifica BC por propiedad ni control, se considera BC al administrador único o a los miembros del consejo de administración.</w:t>
            </w:r>
          </w:p>
        </w:tc>
        <w:tc>
          <w:tcPr>
            <w:tcW w:type="dxa" w:w="3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SA con acciones al portador sin identificación de accionistas → administrador único es BC por defecto.</w:t>
            </w:r>
          </w:p>
        </w:tc>
      </w:tr>
    </w:tbl>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2.2  Cliente o Usuaria  —  Fracc. III Bis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"Cualquier persona física o moral, así como fideicomisos que celebren actos u operaciones con quienes realicen Actividades Vulnerables."</w:t>
      </w:r>
      <w:r>
        <w:rPr>
          <w:rFonts w:ascii="Arial" w:cs="Arial" w:eastAsia="Arial" w:hAnsi="Arial"/>
          <w:color w:val="666666"/>
          <w:sz w:val="18"/>
          <w:szCs w:val="18"/>
        </w:rPr>
        <w:t xml:space="preserve">  —  Art. 3, Fracc. III Bis LFPIORPI — DOF 16-07-2025</w:t>
      </w:r>
    </w:p>
    <w:p>
      <w:pPr>
        <w:spacing w:before="0" w:after="0"/>
      </w:pPr>
      <w:r>
        <w:t xml:space="preserve"/>
      </w:r>
    </w:p>
    <w:p>
      <w:pPr>
        <w:spacing w:before="60" w:after="80"/>
      </w:pPr>
      <w:r>
        <w:rPr>
          <w:rFonts w:ascii="Arial" w:cs="Arial" w:eastAsia="Arial" w:hAnsi="Arial"/>
          <w:color w:val="222222"/>
          <w:sz w:val="22"/>
          <w:szCs w:val="22"/>
        </w:rPr>
        <w:t xml:space="preserve">Antes de la reforma, el concepto de cliente no estaba definido expresamente en la ley. La reforma lo incorpora y lo extiende para incluir fideicomisos como sujetos autónomos de identificación.</w:t>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Impacto práctico: cuando el comprador de un vehículo o inmueble actúa a través de un fideicomiso, ese fideicomiso —y su BC— deben identificarse como un sujeto independiente. Ya no basta con identificar al representante o fideicomitente.</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2.3  Desarrollo Inmobiliario  —  Fracc. IV Bis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"El proyecto para la construcción de inmuebles o fraccionamiento de lotes, destinados a su venta o renta."</w:t>
      </w:r>
      <w:r>
        <w:rPr>
          <w:rFonts w:ascii="Arial" w:cs="Arial" w:eastAsia="Arial" w:hAnsi="Arial"/>
          <w:color w:val="666666"/>
          <w:sz w:val="18"/>
          <w:szCs w:val="18"/>
        </w:rPr>
        <w:t xml:space="preserve">  —  Art. 3, Fracc. IV Bis LFPIORPI — DOF 16-07-2025</w:t>
      </w:r>
    </w:p>
    <w:p>
      <w:pPr>
        <w:spacing w:before="0" w:after="0"/>
      </w:pPr>
      <w:r>
        <w:t xml:space="preserve"/>
      </w:r>
    </w:p>
    <w:p>
      <w:pPr>
        <w:spacing w:before="60" w:after="80"/>
      </w:pPr>
      <w:r>
        <w:rPr>
          <w:rFonts w:ascii="Arial" w:cs="Arial" w:eastAsia="Arial" w:hAnsi="Arial"/>
          <w:color w:val="222222"/>
          <w:sz w:val="22"/>
          <w:szCs w:val="22"/>
        </w:rPr>
        <w:t xml:space="preserve">Esta definición es la base de la nueva Fracción V Bis del artículo 17 (actividad vulnerable). La distinción respecto a la Fracción V (compraventa de inmuebles ya existentes) es importante: el desarrollo inmobiliario captura el flujo de recursos en etapas previas a la compraventa final, cuando el dinero ya entró al proyecto pero aún no hay escritura.</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2.4  Persona Políticamente Expuesta (PPE)  —  Fracc. IX Bis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"Aquella persona física que desempeña o ha desempeñado funciones públicas en territorio nacional o en un país extranjero, así como a las personas relacionadas con ellas que cumplan con las condiciones y características que la Secretaría establezca en reglas o disposiciones de carácter general."</w:t>
      </w:r>
      <w:r>
        <w:rPr>
          <w:rFonts w:ascii="Arial" w:cs="Arial" w:eastAsia="Arial" w:hAnsi="Arial"/>
          <w:color w:val="666666"/>
          <w:sz w:val="18"/>
          <w:szCs w:val="18"/>
        </w:rPr>
        <w:t xml:space="preserve">  —  Art. 3, Fracc. IX Bis LFPIORPI — DOF 16-07-2025</w:t>
      </w:r>
    </w:p>
    <w:p>
      <w:pPr>
        <w:spacing w:before="0" w:after="0"/>
      </w:pPr>
      <w:r>
        <w:t xml:space="preserve"/>
      </w:r>
    </w:p>
    <w:p>
      <w:pPr>
        <w:spacing w:before="60" w:after="80"/>
      </w:pPr>
      <w:r>
        <w:rPr>
          <w:rFonts w:ascii="Arial" w:cs="Arial" w:eastAsia="Arial" w:hAnsi="Arial"/>
          <w:color w:val="222222"/>
          <w:sz w:val="22"/>
          <w:szCs w:val="22"/>
        </w:rPr>
        <w:t xml:space="preserve">La definición de PPE ahora está en la ley, no solo en las reglas de carácter general. Esto tiene dos consecuencias: (1) la obligación de identificar PPE es exigible aunque las nuevas reglas no se hayan publicado; (2) el alcance incluye tanto PPE nacionales como extranjeras y sus personas relacionadas.</w:t>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El Art. 18, Fracc. VIII obliga a que el Manual de Políticas Internas contenga criterios específicos para identificar y dar seguimiento a PPE. El Art. 18, Fracc. X obliga a que los sistemas automatizados den seguimiento intensificado a clientes que sean PPE.</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2.5  Relación de Negocios  —  Fracc. XII  [REFORMADA]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"Aquella establecida de manera formal y habitual entre quien realiza una Actividad Vulnerable y sus Clientes o Usuarias, excluyendo los actos u operaciones que se celebren ocasionalmente y la prestación de servicios de fe pública prevista en el artículo 17, fracción XII, de la Ley."</w:t>
      </w:r>
      <w:r>
        <w:rPr>
          <w:rFonts w:ascii="Arial" w:cs="Arial" w:eastAsia="Arial" w:hAnsi="Arial"/>
          <w:color w:val="666666"/>
          <w:sz w:val="18"/>
          <w:szCs w:val="18"/>
        </w:rPr>
        <w:t xml:space="preserve">  —  Art. 3, Fracc. XII LFPIORPI — DOF 16-07-2025</w:t>
      </w:r>
    </w:p>
    <w:p>
      <w:pPr>
        <w:spacing w:before="0" w:after="0"/>
      </w:pPr>
      <w:r>
        <w:t xml:space="preserve"/>
      </w:r>
    </w:p>
    <w:p>
      <w:pPr>
        <w:spacing w:before="60" w:after="80"/>
      </w:pPr>
      <w:r>
        <w:rPr>
          <w:rFonts w:ascii="Arial" w:cs="Arial" w:eastAsia="Arial" w:hAnsi="Arial"/>
          <w:color w:val="222222"/>
          <w:sz w:val="22"/>
          <w:szCs w:val="22"/>
        </w:rPr>
        <w:t xml:space="preserve">La distinción entre relación de negocios y operación ocasional es relevante para la obligación del Art. 18, Fracc. II: la solicitud de información sobre actividad económica del cliente (RFC) aplica específicamente cuando existe una relación de negocios formal y habitual.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RELACIÓN DE NEGOCIOS (formal y habitual)</w:t>
            </w:r>
          </w:p>
        </w:tc>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OPERACIÓN OCASIONAL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Obliga a solicitar información de actividad económica (RFC)</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genera esta obligación adicional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Ejemplo: cliente habitual de agencia de autos que compra vehículos recurrentemente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Ejemplo: persona que compra un auto una sola vez sin relación previa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Requiere expediente más completo y seguimiento en el tiempo</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Identificación en el momento de la operación</w:t>
            </w:r>
          </w:p>
        </w:tc>
      </w:tr>
    </w:tbl>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2.6  Representante Encargada de Cumplimiento (REC)  —  Fracc. XII Bis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persona designada ante la Secretaría en términos de lo establecido en el artículo 20 de esta Ley."</w:t>
      </w:r>
      <w:r>
        <w:rPr>
          <w:rFonts w:ascii="Arial" w:cs="Arial" w:eastAsia="Arial" w:hAnsi="Arial"/>
          <w:color w:val="666666"/>
          <w:sz w:val="18"/>
          <w:szCs w:val="18"/>
        </w:rPr>
        <w:t xml:space="preserve">  —  Art. 3, Fracc. XII Bis LFPIORPI — DOF 16-07-2025</w:t>
      </w:r>
    </w:p>
    <w:p>
      <w:pPr>
        <w:spacing w:before="0" w:after="0"/>
      </w:pPr>
      <w:r>
        <w:t xml:space="preserve"/>
      </w:r>
    </w:p>
    <w:p>
      <w:pPr>
        <w:spacing w:before="60" w:after="80"/>
      </w:pPr>
      <w:r>
        <w:rPr>
          <w:rFonts w:ascii="Arial" w:cs="Arial" w:eastAsia="Arial" w:hAnsi="Arial"/>
          <w:color w:val="222222"/>
          <w:sz w:val="22"/>
          <w:szCs w:val="22"/>
        </w:rPr>
        <w:t xml:space="preserve">El artículo 20 establece que las personas morales y quienes actúen a través de fideicomisos que realicen actividades vulnerables deben designar ante la Secretaría a una persona REC. Mientras no haya REC designado o aceptado, la responsabilidad recae en el órgano de administración o administrador único.</w:t>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Punto crítico para el taller: si la empresa nunca designó REC, el Director General o el Consejo de Administración son los responsables directos del cumplimiento de TODAS las obligaciones del Art. 18. No hay zona gris.</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2.7  Riesgo  —  Fracc. XII Ter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probabilidad de que las Actividades Vulnerables puedan ser utilizadas para llevar a cabo actos u operaciones a través de los cuales se pudiesen actualizar los Delitos de Operaciones con Recursos de Procedencia Ilícita, los Delitos relacionados con estos y con las estructuras financieras de las organizaciones delictivas, así como evitar el uso de los recursos para su financiamiento."</w:t>
      </w:r>
      <w:r>
        <w:rPr>
          <w:rFonts w:ascii="Arial" w:cs="Arial" w:eastAsia="Arial" w:hAnsi="Arial"/>
          <w:color w:val="666666"/>
          <w:sz w:val="18"/>
          <w:szCs w:val="18"/>
        </w:rPr>
        <w:t xml:space="preserve">  —  Art. 3, Fracc. XII Ter LFPIORPI — DOF 16-07-2025</w:t>
      </w:r>
    </w:p>
    <w:p>
      <w:pPr>
        <w:spacing w:before="0" w:after="0"/>
      </w:pPr>
      <w:r>
        <w:t xml:space="preserve"/>
      </w:r>
    </w:p>
    <w:p>
      <w:pPr>
        <w:spacing w:before="60" w:after="80"/>
      </w:pPr>
      <w:r>
        <w:rPr>
          <w:rFonts w:ascii="Arial" w:cs="Arial" w:eastAsia="Arial" w:hAnsi="Arial"/>
          <w:color w:val="222222"/>
          <w:sz w:val="22"/>
          <w:szCs w:val="22"/>
        </w:rPr>
        <w:t xml:space="preserve">La incorporación de 'Riesgo' como definición legal es el fundamento jurídico de la obligación del Art. 18, Fracc. VII (Enfoque Basado en Riesgos). Ya no es una buena práctica: es una obligación con definición propia en la ley.</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2.8  UMA  —  Fracc. XIII Bis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"La Unidad de Medida y Actualización a que se refiere el artículo 26 de la Constitución Política de los Estados Unidos Mexicanos y la Ley para determinar el valor de la Unidad de Medida y Actualización."</w:t>
      </w:r>
      <w:r>
        <w:rPr>
          <w:rFonts w:ascii="Arial" w:cs="Arial" w:eastAsia="Arial" w:hAnsi="Arial"/>
          <w:color w:val="666666"/>
          <w:sz w:val="18"/>
          <w:szCs w:val="18"/>
        </w:rPr>
        <w:t xml:space="preserve">  —  Art. 3, Fracc. XIII Bis LFPIORPI — DOF 16-07-2025</w:t>
      </w:r>
    </w:p>
    <w:p>
      <w:pPr>
        <w:spacing w:before="0" w:after="0"/>
      </w:pPr>
      <w:r>
        <w:t xml:space="preserve"/>
      </w:r>
    </w:p>
    <w:p>
      <w:pPr>
        <w:spacing w:before="60" w:after="80"/>
      </w:pPr>
      <w:r>
        <w:rPr>
          <w:rFonts w:ascii="Arial" w:cs="Arial" w:eastAsia="Arial" w:hAnsi="Arial"/>
          <w:color w:val="222222"/>
          <w:sz w:val="22"/>
          <w:szCs w:val="22"/>
        </w:rPr>
        <w:t xml:space="preserve">Todos los umbrales de identificación, aviso y prohibición de efectivo de la LFPIORPI ahora se expresan en UMA. En la práctica esto no modifica los valores numéricos (ya se usaban UMAs por criterio administrativo previo), pero ahora tiene fundamento legal expreso.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DATO UMA 2026</w:t>
            </w:r>
          </w:p>
        </w:tc>
        <w:tc>
          <w:tcPr>
            <w:tcW w:type="dxa" w:w="468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UMA diaria 2026</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$117.31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UMA mensual 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$3,439.68</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UMA anual 2026</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$41,276.16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Fuente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INEGI — publicado DOF 31-01-2026</w:t>
            </w:r>
          </w:p>
        </w:tc>
      </w:tr>
    </w:tbl>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3.  OBLIGACIONES DEL SUJETO OBLIGADO — ART. 18</w:t>
      </w:r>
    </w:p>
    <w:p>
      <w:pPr>
        <w:spacing w:before="60" w:after="80"/>
      </w:pPr>
      <w:r>
        <w:rPr>
          <w:rFonts w:ascii="Arial" w:cs="Arial" w:eastAsia="Arial" w:hAnsi="Arial"/>
          <w:color w:val="222222"/>
          <w:sz w:val="22"/>
          <w:szCs w:val="22"/>
        </w:rPr>
        <w:t xml:space="preserve">El artículo 18 es el corazón operativo de la LFPIORPI. Contiene las obligaciones específicas de quienes realizan actividades vulnerables. Con la reforma del 16 de julio de 2025 pasó de 4 fracciones a 11 fracciones numeradas, con 7 completamente nuevas.</w:t>
      </w:r>
    </w:p>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Importante: estas obligaciones aplican a TODAS las empresas del grupo que realicen actividades vulnerables, independientemente de cuál sea su fracción específica. Son el piso mínimo de cumplimiento.</w:t>
      </w:r>
    </w:p>
    <w:p>
      <w:pPr>
        <w:spacing w:before="0" w:after="120"/>
      </w:pPr>
      <w:r>
        <w:t xml:space="preserve"/>
      </w:r>
    </w:p>
    <w:p>
      <w:pPr>
        <w:spacing w:before="200" w:after="80"/>
      </w:pPr>
      <w:r>
        <w:rPr>
          <w:rFonts w:ascii="Arial" w:cs="Arial" w:eastAsia="Arial" w:hAnsi="Arial"/>
          <w:b/>
          <w:bCs/>
          <w:color w:val="1C3557"/>
          <w:sz w:val="23"/>
          <w:szCs w:val="23"/>
        </w:rPr>
        <w:t xml:space="preserve">Mapa completo del Art.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2800"/>
        <w:gridCol w:w="1500"/>
      </w:tblGrid>
      <w:tr>
        <w:trPr>
          <w:tblHeader/>
        </w:trPr>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FRACC.</w:t>
            </w:r>
          </w:p>
        </w:tc>
        <w:tc>
          <w:tcPr>
            <w:tcW w:type="dxa" w:w="4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OBLIGACIÓN</w:t>
            </w:r>
          </w:p>
        </w:tc>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ELEMENTO CENTRAL</w:t>
            </w:r>
          </w:p>
        </w:tc>
        <w:tc>
          <w:tcPr>
            <w:tcW w:type="dxa" w:w="15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REFORMA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Identificación directa del cliente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Documentos oficiales + copia</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6B4226"/>
                <w:sz w:val="20"/>
                <w:szCs w:val="20"/>
              </w:rPr>
              <w:t xml:space="preserve">Reformada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Información de actividad económica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RFC en relación de negocios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B4226"/>
                <w:sz w:val="20"/>
                <w:szCs w:val="20"/>
              </w:rPr>
              <w:t xml:space="preserve">Reformada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III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Identificación del Beneficiario Controlador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Documentos (persona moral/fideicomiso) o declaración (persona física)</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6B4226"/>
                <w:sz w:val="20"/>
                <w:szCs w:val="20"/>
              </w:rPr>
              <w:t xml:space="preserve">Reformada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Custodia y conservación de información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10 años (antes 5 años)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B4226"/>
                <w:sz w:val="20"/>
                <w:szCs w:val="20"/>
              </w:rPr>
              <w:t xml:space="preserve">Reformada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IV Bis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Registro en Padrón de Actividades Vulnerables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Alta/baja/modificación vía Portal electrónico</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166534"/>
                <w:sz w:val="20"/>
                <w:szCs w:val="20"/>
              </w:rPr>
              <w:t xml:space="preserve">Nueva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Facilitar visitas de verificación de la Secretaría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Proporcionar info y documentación requerida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6B4226"/>
                <w:sz w:val="20"/>
                <w:szCs w:val="20"/>
              </w:rPr>
              <w:t xml:space="preserve">Reformada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Presentar Avisos e Informes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Aviso por sospecha: 24 horas, aunque no se celebre la operación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6B4226"/>
                <w:sz w:val="20"/>
                <w:szCs w:val="20"/>
              </w:rPr>
              <w:t xml:space="preserve">Reformada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VII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Evaluación con Enfoque Basado en Riesgos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Identificar, analizar, entender y mitigar riesgos propios y de clientes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66534"/>
                <w:sz w:val="20"/>
                <w:szCs w:val="20"/>
              </w:rPr>
              <w:t xml:space="preserve">Nueva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VIII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Manual de Políticas Internas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Incluye criterios PPE y aplica a todo el grupo empresarial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166534"/>
                <w:sz w:val="20"/>
                <w:szCs w:val="20"/>
              </w:rPr>
              <w:t xml:space="preserve">Nueva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Selección de personal y capacitación anual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Para órgano de administración, directivos, REC y empleados con contacto con clientes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66534"/>
                <w:sz w:val="20"/>
                <w:szCs w:val="20"/>
              </w:rPr>
              <w:t xml:space="preserve">Nueva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X</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Mecanismos automatizados de monitoreo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Monitoreo permanente de perfil transaccional; seguimiento intensificado a PPE y alto riesgo</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bCs/>
                <w:color w:val="166534"/>
                <w:sz w:val="20"/>
                <w:szCs w:val="20"/>
              </w:rPr>
              <w:t xml:space="preserve">Nueva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XI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Auditoría interna o externa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Según nivel de riesgo; en un año calendario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66534"/>
                <w:sz w:val="20"/>
                <w:szCs w:val="20"/>
              </w:rPr>
              <w:t xml:space="preserve">Nueva</w:t>
            </w:r>
          </w:p>
        </w:tc>
      </w:tr>
    </w:tbl>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I — Identificación directa del cliente  [REFORMADA]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"Identificar y conocer de manera directa a las personas Clientes o Usuarias con quienes realicen la Actividad Vulnerable y verificar su identidad basándose en documentos u otros medios de identificación con reconocimiento oficial, así como recabar copia de los mismos."</w:t>
      </w:r>
      <w:r>
        <w:rPr>
          <w:rFonts w:ascii="Arial" w:cs="Arial" w:eastAsia="Arial" w:hAnsi="Arial"/>
          <w:color w:val="666666"/>
          <w:sz w:val="18"/>
          <w:szCs w:val="18"/>
        </w:rPr>
        <w:t xml:space="preserve">  —  Art. 18, Fracc. I LFPIORPI — DOF 16-07-2025</w:t>
      </w:r>
    </w:p>
    <w:p>
      <w:pPr>
        <w:spacing w:before="200" w:after="80"/>
      </w:pPr>
      <w:r>
        <w:rPr>
          <w:rFonts w:ascii="Arial" w:cs="Arial" w:eastAsia="Arial" w:hAnsi="Arial"/>
          <w:b/>
          <w:bCs/>
          <w:color w:val="1C3557"/>
          <w:sz w:val="23"/>
          <w:szCs w:val="23"/>
        </w:rPr>
        <w:t xml:space="preserve">¿Qué cambia?</w:t>
      </w:r>
    </w:p>
    <w:p>
      <w:pPr>
        <w:spacing w:before="60" w:after="80"/>
      </w:pPr>
      <w:r>
        <w:rPr>
          <w:rFonts w:ascii="Arial" w:cs="Arial" w:eastAsia="Arial" w:hAnsi="Arial"/>
          <w:color w:val="222222"/>
          <w:sz w:val="22"/>
          <w:szCs w:val="22"/>
        </w:rPr>
        <w:t xml:space="preserve">La reforma añade las palabras 'de manera directa'. Esto significa que la identificación no puede delegarse a un tercero sin las garantías correspondientes, ni puede hacerse de forma remota sin los medios adecuados. El sujeto obligado es responsable de la verificación, no de la simple recepción de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ANTES</w:t>
            </w:r>
          </w:p>
        </w:tc>
        <w:tc>
          <w:tcPr>
            <w:tcW w:type="dxa" w:w="4680"/>
            <w:tcBorders>
              <w:top w:val="single" w:color="CCCCCC" w:sz="1"/>
              <w:left w:val="single" w:color="CCCCCC" w:sz="1"/>
              <w:bottom w:val="single" w:color="CCCCCC" w:sz="1"/>
              <w:right w:val="single" w:color="CCCCCC" w:sz="1"/>
            </w:tcBorders>
            <w:shd w:fill="2E5A8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AHORA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Identificar al cliente con documentos oficiales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Identificar y conocer de manera directa al cliente con documentos oficiales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se mencionaba la copia expresamente en todos los casos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Recabar copia es obligatorio</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Medios de identificación no especificados con detalle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Documentos u otros medios con reconocimiento oficial</w:t>
            </w:r>
          </w:p>
        </w:tc>
      </w:tr>
    </w:tbl>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Para el facilitador: la palabra 'directa' es importante en auditorías y visitas de verificación. Si el expediente solo tiene copia de documentos sin evidencia de que el obligado verificó la identidad personalmente, puede constituir incumplimiento.</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II — Información de actividad económica  [REFORMADA]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"Para los casos en que se establezca una Relación de negocios, se solicitará a la Persona Cliente o Usuaria la información sobre su actividad u ocupación, basándose entre otros, en los avisos de inscripción y actualización de actividades presentados para efectos del Registro Federal de Contribuyentes."</w:t>
      </w:r>
      <w:r>
        <w:rPr>
          <w:rFonts w:ascii="Arial" w:cs="Arial" w:eastAsia="Arial" w:hAnsi="Arial"/>
          <w:color w:val="666666"/>
          <w:sz w:val="18"/>
          <w:szCs w:val="18"/>
        </w:rPr>
        <w:t xml:space="preserve">  —  Art. 18, Fracc. II LFPIORPI — DOF 16-07-2025</w:t>
      </w:r>
    </w:p>
    <w:p>
      <w:pPr>
        <w:spacing w:before="200" w:after="80"/>
      </w:pPr>
      <w:r>
        <w:rPr>
          <w:rFonts w:ascii="Arial" w:cs="Arial" w:eastAsia="Arial" w:hAnsi="Arial"/>
          <w:b/>
          <w:bCs/>
          <w:color w:val="1C3557"/>
          <w:sz w:val="23"/>
          <w:szCs w:val="23"/>
        </w:rPr>
        <w:t xml:space="preserve">Elementos clave</w:t>
      </w:r>
    </w:p>
    <w:p>
      <w:pPr>
        <w:pStyle w:val="ListParagraph"/>
        <w:numPr>
          <w:ilvl w:val="0"/>
          <w:numId w:val="2"/>
        </w:numPr>
        <w:spacing w:before="40" w:after="40"/>
      </w:pPr>
      <w:r>
        <w:rPr>
          <w:rFonts w:ascii="Arial" w:cs="Arial" w:eastAsia="Arial" w:hAnsi="Arial"/>
          <w:color w:val="222222"/>
          <w:sz w:val="22"/>
          <w:szCs w:val="22"/>
        </w:rPr>
        <w:t xml:space="preserve">Solo aplica cuando existe una Relación de Negocios formal y habitual (ver definición Art. 3, Fracc. XII).</w:t>
      </w:r>
    </w:p>
    <w:p>
      <w:pPr>
        <w:pStyle w:val="ListParagraph"/>
        <w:numPr>
          <w:ilvl w:val="0"/>
          <w:numId w:val="2"/>
        </w:numPr>
        <w:spacing w:before="40" w:after="40"/>
      </w:pPr>
      <w:r>
        <w:rPr>
          <w:rFonts w:ascii="Arial" w:cs="Arial" w:eastAsia="Arial" w:hAnsi="Arial"/>
          <w:color w:val="222222"/>
          <w:sz w:val="22"/>
          <w:szCs w:val="22"/>
        </w:rPr>
        <w:t xml:space="preserve">La fuente principal es el RFC del cliente: avisos de inscripción y actualización de actividades ante el SAT.</w:t>
      </w:r>
    </w:p>
    <w:p>
      <w:pPr>
        <w:pStyle w:val="ListParagraph"/>
        <w:numPr>
          <w:ilvl w:val="0"/>
          <w:numId w:val="2"/>
        </w:numPr>
        <w:spacing w:before="40" w:after="40"/>
      </w:pPr>
      <w:r>
        <w:rPr>
          <w:rFonts w:ascii="Arial" w:cs="Arial" w:eastAsia="Arial" w:hAnsi="Arial"/>
          <w:color w:val="222222"/>
          <w:sz w:val="22"/>
          <w:szCs w:val="22"/>
        </w:rPr>
        <w:t xml:space="preserve">La información de actividad u ocupación permite construir el perfil transaccional del cliente para detectar operaciones inusuales.</w:t>
      </w:r>
    </w:p>
    <w:p>
      <w:pPr>
        <w:pStyle w:val="ListParagraph"/>
        <w:numPr>
          <w:ilvl w:val="0"/>
          <w:numId w:val="2"/>
        </w:numPr>
        <w:spacing w:before="40" w:after="40"/>
      </w:pPr>
      <w:r>
        <w:rPr>
          <w:rFonts w:ascii="Arial" w:cs="Arial" w:eastAsia="Arial" w:hAnsi="Arial"/>
          <w:color w:val="222222"/>
          <w:sz w:val="22"/>
          <w:szCs w:val="22"/>
        </w:rPr>
        <w:t xml:space="preserve">No basta con tener el RFC. Se requiere la información sobre la actividad económica que ese RFC declara.</w:t>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Aplicación práctica para ÁBACO y DINAMO: si tienen un cliente que les compra vehículos de manera habitual (distribuidor, empresa de transporte, flotilla), deben solicitar información sobre su actividad económica y guardarla en el expediente, más allá del RFC.</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III — Identificación del Beneficiario Controlador  [REFORMADA]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"Cuando la Cliente o Usuaria sea persona moral, fideicomiso u otra figura jurídica, recabar documentos u otros medios de identificación con reconocimiento oficial que permita identificar a su Beneficiario Controlador. Cuando la Cliente o Usuaria sea persona física, recabar la declaración acerca de si tiene o no conocimiento de la existencia de una persona Beneficiario Controlador y, en su caso, la documentación que permita identificarla."</w:t>
      </w:r>
      <w:r>
        <w:rPr>
          <w:rFonts w:ascii="Arial" w:cs="Arial" w:eastAsia="Arial" w:hAnsi="Arial"/>
          <w:color w:val="666666"/>
          <w:sz w:val="18"/>
          <w:szCs w:val="18"/>
        </w:rPr>
        <w:t xml:space="preserve">  —  Art. 18, Fracc. III LFPIORPI — DOF 16-07-2025</w:t>
      </w:r>
    </w:p>
    <w:p>
      <w:pPr>
        <w:spacing w:before="200" w:after="80"/>
      </w:pPr>
      <w:r>
        <w:rPr>
          <w:rFonts w:ascii="Arial" w:cs="Arial" w:eastAsia="Arial" w:hAnsi="Arial"/>
          <w:b/>
          <w:bCs/>
          <w:color w:val="1C3557"/>
          <w:sz w:val="23"/>
          <w:szCs w:val="23"/>
        </w:rPr>
        <w:t xml:space="preserve">Protocolo diferenciado por tipo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CLIENTE</w:t>
            </w:r>
          </w:p>
        </w:tc>
        <w:tc>
          <w:tcPr>
            <w:tcW w:type="dxa" w:w="3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OBLIGACIÓN DEL SUJETO OBLIGADO</w:t>
            </w:r>
          </w:p>
        </w:tc>
        <w:tc>
          <w:tcPr>
            <w:tcW w:type="dxa" w:w="3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DOCUMENTACIÓN MÍNIMA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Persona moral (SA, SRL, etc.)</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Recabar documentos que identifiquen al BC</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Acta constitutiva, poderes, documentos del accionista con &gt;25% o quien ejerza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Fideicomiso u otra figura jurídica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Recabar documentos que identifiquen al BC del fideicomiso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Contrato de fideicomiso, identificación del fideicomitente/beneficiario y BC final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Persona física</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Recabar declaración sobre existencia de BC y, si existe, documentos que lo identifiquen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Formato de declaración firmado + identificación del BC si aplica</w:t>
            </w:r>
          </w:p>
        </w:tc>
      </w:tr>
    </w:tbl>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El incumplimiento de la identificación del BC es una de las infracciones con sanción más alta. No identificar al BC cuando el cliente es persona moral es equivalente a no identificar al cliente.</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IV — Custodia y conservación de información  [REFORMADA]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"Custodiar, proteger, resguardar y evitar la destrucción u ocultamiento de la información y documentación que sirva de soporte a la Actividad Vulnerable... por al menos un plazo de diez años contado a partir de la fecha de la realización de la Actividad Vulnerable."</w:t>
      </w:r>
      <w:r>
        <w:rPr>
          <w:rFonts w:ascii="Arial" w:cs="Arial" w:eastAsia="Arial" w:hAnsi="Arial"/>
          <w:color w:val="666666"/>
          <w:sz w:val="18"/>
          <w:szCs w:val="18"/>
        </w:rPr>
        <w:t xml:space="preserve">  —  Art. 18, Fracc. IV LFPIORPI — DOF 16-07-2025</w:t>
      </w:r>
    </w:p>
    <w:p>
      <w:pPr>
        <w:spacing w:before="200" w:after="80"/>
      </w:pPr>
      <w:r>
        <w:rPr>
          <w:rFonts w:ascii="Arial" w:cs="Arial" w:eastAsia="Arial" w:hAnsi="Arial"/>
          <w:b/>
          <w:bCs/>
          <w:color w:val="1C3557"/>
          <w:sz w:val="23"/>
          <w:szCs w:val="23"/>
        </w:rPr>
        <w:t xml:space="preserve">Cambio central: 5 años → 10 años</w:t>
      </w:r>
    </w:p>
    <w:p>
      <w:pPr>
        <w:spacing w:before="60" w:after="80"/>
      </w:pPr>
      <w:r>
        <w:rPr>
          <w:rFonts w:ascii="Arial" w:cs="Arial" w:eastAsia="Arial" w:hAnsi="Arial"/>
          <w:color w:val="222222"/>
          <w:sz w:val="22"/>
          <w:szCs w:val="22"/>
        </w:rPr>
        <w:t xml:space="preserve">La información a conservar incluye:</w:t>
      </w:r>
    </w:p>
    <w:p>
      <w:pPr>
        <w:pStyle w:val="ListParagraph"/>
        <w:numPr>
          <w:ilvl w:val="0"/>
          <w:numId w:val="2"/>
        </w:numPr>
        <w:spacing w:before="40" w:after="40"/>
      </w:pPr>
      <w:r>
        <w:rPr>
          <w:rFonts w:ascii="Arial" w:cs="Arial" w:eastAsia="Arial" w:hAnsi="Arial"/>
          <w:color w:val="222222"/>
          <w:sz w:val="22"/>
          <w:szCs w:val="22"/>
        </w:rPr>
        <w:t xml:space="preserve">Registros de operaciones que permitan la reconstrucción individual de cada acto</w:t>
      </w:r>
    </w:p>
    <w:p>
      <w:pPr>
        <w:pStyle w:val="ListParagraph"/>
        <w:numPr>
          <w:ilvl w:val="0"/>
          <w:numId w:val="2"/>
        </w:numPr>
        <w:spacing w:before="40" w:after="40"/>
      </w:pPr>
      <w:r>
        <w:rPr>
          <w:rFonts w:ascii="Arial" w:cs="Arial" w:eastAsia="Arial" w:hAnsi="Arial"/>
          <w:color w:val="222222"/>
          <w:sz w:val="22"/>
          <w:szCs w:val="22"/>
        </w:rPr>
        <w:t xml:space="preserve">Correspondencia comercial que las partes se hayan compartido para llevar a cabo la operación</w:t>
      </w:r>
    </w:p>
    <w:p>
      <w:pPr>
        <w:pStyle w:val="ListParagraph"/>
        <w:numPr>
          <w:ilvl w:val="0"/>
          <w:numId w:val="2"/>
        </w:numPr>
        <w:spacing w:before="40" w:after="40"/>
      </w:pPr>
      <w:r>
        <w:rPr>
          <w:rFonts w:ascii="Arial" w:cs="Arial" w:eastAsia="Arial" w:hAnsi="Arial"/>
          <w:color w:val="222222"/>
          <w:sz w:val="22"/>
          <w:szCs w:val="22"/>
        </w:rPr>
        <w:t xml:space="preserve">Resultados de los análisis previos que se hayan realizado</w:t>
      </w:r>
    </w:p>
    <w:p>
      <w:pPr>
        <w:pStyle w:val="ListParagraph"/>
        <w:numPr>
          <w:ilvl w:val="0"/>
          <w:numId w:val="2"/>
        </w:numPr>
        <w:spacing w:before="40" w:after="40"/>
      </w:pPr>
      <w:r>
        <w:rPr>
          <w:rFonts w:ascii="Arial" w:cs="Arial" w:eastAsia="Arial" w:hAnsi="Arial"/>
          <w:color w:val="222222"/>
          <w:sz w:val="22"/>
          <w:szCs w:val="22"/>
        </w:rPr>
        <w:t xml:space="preserve">La información que identifique a las personas Clientes o Usuarias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ASPECTO</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ANTES</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AHORA</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Plazo de conservación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 años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10 años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Método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Física o electrónica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Física o electrónica, en el domicilio registrado ante la Secretaría</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Interrupción del plazo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prevista expresamente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 interrumpe si hay recurso o juicio; reinicia cuando la resolución queda firme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Excepción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Ninguna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Fracc. XIV del Art. 17 tiene regla específica</w:t>
            </w:r>
          </w:p>
        </w:tc>
      </w:tr>
    </w:tbl>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Para grupos empresariales: la conservación debe hacerse en el domicilio registrado ante la Secretaría para cada entidad que realiza actividades vulnerables. No es suficiente conservarla en un archivo corporativo centralizado si ese domicilio no está registrado.</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IV Bis — Registro en Padrón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"Realizar su alta y registro o, en su caso, modificación o baja del Padrón de personas que realizan Actividades Vulnerables, a través del Portal en Internet, de conformidad con lo establecido en la Ley, el Reglamento, y las reglas de carácter general."</w:t>
      </w:r>
      <w:r>
        <w:rPr>
          <w:rFonts w:ascii="Arial" w:cs="Arial" w:eastAsia="Arial" w:hAnsi="Arial"/>
          <w:color w:val="666666"/>
          <w:sz w:val="18"/>
          <w:szCs w:val="18"/>
        </w:rPr>
        <w:t xml:space="preserve">  —  Art. 18, Fracc. IV Bis LFPIORPI — DOF 16-07-2025</w:t>
      </w:r>
    </w:p>
    <w:p>
      <w:pPr>
        <w:spacing w:before="200" w:after="80"/>
      </w:pPr>
      <w:r>
        <w:rPr>
          <w:rFonts w:ascii="Arial" w:cs="Arial" w:eastAsia="Arial" w:hAnsi="Arial"/>
          <w:b/>
          <w:bCs/>
          <w:color w:val="1C3557"/>
          <w:sz w:val="23"/>
          <w:szCs w:val="23"/>
        </w:rPr>
        <w:t xml:space="preserve">¿Qué es el Padrón?</w:t>
      </w:r>
    </w:p>
    <w:p>
      <w:pPr>
        <w:spacing w:before="60" w:after="80"/>
      </w:pPr>
      <w:r>
        <w:rPr>
          <w:rFonts w:ascii="Arial" w:cs="Arial" w:eastAsia="Arial" w:hAnsi="Arial"/>
          <w:color w:val="222222"/>
          <w:sz w:val="22"/>
          <w:szCs w:val="22"/>
        </w:rPr>
        <w:t xml:space="preserve">El Padrón de Actividades Vulnerables es el registro que administra la SHCP (a través del Portal del SAT) donde las personas que realizan actividades vulnerables deben estar inscritas. Con la reforma, el proceso de alta, modificación y baja queda expresamente regulado en la ley y debe realizarse por medios electrónicos.</w:t>
      </w:r>
    </w:p>
    <w:p>
      <w:pPr>
        <w:pStyle w:val="ListParagraph"/>
        <w:numPr>
          <w:ilvl w:val="0"/>
          <w:numId w:val="2"/>
        </w:numPr>
        <w:spacing w:before="40" w:after="40"/>
      </w:pPr>
      <w:r>
        <w:rPr>
          <w:rFonts w:ascii="Arial" w:cs="Arial" w:eastAsia="Arial" w:hAnsi="Arial"/>
          <w:color w:val="222222"/>
          <w:sz w:val="22"/>
          <w:szCs w:val="22"/>
        </w:rPr>
        <w:t xml:space="preserve">Alta: al inicio de la actividad vulnerable.</w:t>
      </w:r>
    </w:p>
    <w:p>
      <w:pPr>
        <w:pStyle w:val="ListParagraph"/>
        <w:numPr>
          <w:ilvl w:val="0"/>
          <w:numId w:val="2"/>
        </w:numPr>
        <w:spacing w:before="40" w:after="40"/>
      </w:pPr>
      <w:r>
        <w:rPr>
          <w:rFonts w:ascii="Arial" w:cs="Arial" w:eastAsia="Arial" w:hAnsi="Arial"/>
          <w:color w:val="222222"/>
          <w:sz w:val="22"/>
          <w:szCs w:val="22"/>
        </w:rPr>
        <w:t xml:space="preserve">Modificación: ante cualquier cambio relevante (cambio de domicilio, REC, actividad).</w:t>
      </w:r>
    </w:p>
    <w:p>
      <w:pPr>
        <w:pStyle w:val="ListParagraph"/>
        <w:numPr>
          <w:ilvl w:val="0"/>
          <w:numId w:val="2"/>
        </w:numPr>
        <w:spacing w:before="40" w:after="40"/>
      </w:pPr>
      <w:r>
        <w:rPr>
          <w:rFonts w:ascii="Arial" w:cs="Arial" w:eastAsia="Arial" w:hAnsi="Arial"/>
          <w:color w:val="222222"/>
          <w:sz w:val="22"/>
          <w:szCs w:val="22"/>
        </w:rPr>
        <w:t xml:space="preserve">Baja: al cesar la actividad vulnerable.</w:t>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No estar dado de alta en el Padrón, o no haberlo actualizado, es un incumplimiento autónomo, independiente de si se presentan o no los avisos. Ambas obligaciones coexisten.</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V — Facilitar visitas de verificación  [REFORMADA]</w:t>
      </w:r>
    </w:p>
    <w:p>
      <w:pPr>
        <w:spacing w:before="60" w:after="80"/>
      </w:pPr>
      <w:r>
        <w:rPr>
          <w:rFonts w:ascii="Arial" w:cs="Arial" w:eastAsia="Arial" w:hAnsi="Arial"/>
          <w:color w:val="222222"/>
          <w:sz w:val="22"/>
          <w:szCs w:val="22"/>
        </w:rPr>
        <w:t xml:space="preserve">La Secretaría puede realizar visitas de verificación en cualquier tiempo para comprobar el cumplimiento de las obligaciones. El sujeto obligado debe brindar las facilidades necesarias y proporcionar la información, datos, imágenes y documentación requerida.</w:t>
      </w:r>
    </w:p>
    <w:p>
      <w:pPr>
        <w:spacing w:before="60" w:after="80"/>
      </w:pPr>
      <w:r>
        <w:rPr>
          <w:rFonts w:ascii="Arial" w:cs="Arial" w:eastAsia="Arial" w:hAnsi="Arial"/>
          <w:color w:val="222222"/>
          <w:sz w:val="22"/>
          <w:szCs w:val="22"/>
        </w:rPr>
        <w:t xml:space="preserve">El Art. 34 reformado (DOF 16-07-2025) precisa que las verificaciones solo pueden abarcar actos realizados dentro de los cinco años inmediatos anteriores a la fecha de inicio de la visita.</w:t>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La visita puede incluir requerimiento de información electrónica, imágenes y datos. Los expedientes deben estar organizados y ser localizables. Un expediente desordenado o incompleto es, en la práctica, un incumplimiento verificable.</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VI — Presentar Avisos e Informes  [REFORMADA]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"Presentar los Avisos e Informes ante la Secretaría conforme lo establecido en la presente Ley. En caso de sospecha o de contar con información basada en hechos o indicios, de que los recursos relacionados con los actos u operaciones pudieran provenir o estar destinados a la comisión de los Delitos, deberán presentar Aviso dentro de las 24 horas siguientes en que tuvieron conocimiento de dicha información o se generó la sospecha, incluso si el acto u operación no se celebró."</w:t>
      </w:r>
      <w:r>
        <w:rPr>
          <w:rFonts w:ascii="Arial" w:cs="Arial" w:eastAsia="Arial" w:hAnsi="Arial"/>
          <w:color w:val="666666"/>
          <w:sz w:val="18"/>
          <w:szCs w:val="18"/>
        </w:rPr>
        <w:t xml:space="preserve">  —  Art. 18, Fracc. VI LFPIORPI — DOF 16-07-2025</w:t>
      </w:r>
    </w:p>
    <w:p>
      <w:pPr>
        <w:spacing w:before="200" w:after="80"/>
      </w:pPr>
      <w:r>
        <w:rPr>
          <w:rFonts w:ascii="Arial" w:cs="Arial" w:eastAsia="Arial" w:hAnsi="Arial"/>
          <w:b/>
          <w:bCs/>
          <w:color w:val="1C3557"/>
          <w:sz w:val="23"/>
          <w:szCs w:val="23"/>
        </w:rPr>
        <w:t xml:space="preserve">Los dos tipos de aviso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AVISO</w:t>
            </w:r>
          </w:p>
        </w:tc>
        <w:tc>
          <w:tcPr>
            <w:tcW w:type="dxa" w:w="3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CUÁNDO SE PRESENTA</w:t>
            </w:r>
          </w:p>
        </w:tc>
        <w:tc>
          <w:tcPr>
            <w:tcW w:type="dxa" w:w="3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PLAZO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Aviso por umbral (ordinario)</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Cuando la operación supera el umbral de aviso de la fracción aplicable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Según reglas de carácter general (normalmente mensual o al momento)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Aviso por sospecha (extraordinario)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Cuando hay hechos, indicios o sospecha de recursos ilícitos, aunque no se haya superado umbral, o aunque la operación no se haya celebrado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24 horas desde que se tuvo conocimiento o se generó la sospecha</w:t>
            </w:r>
          </w:p>
        </w:tc>
      </w:tr>
    </w:tbl>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El aviso por sospecha en 24 horas es quizás el cambio más exigente de la reforma. Transforma al sujeto obligado en una fuente activa de inteligencia financiera. Requiere que la empresa tenga un protocolo interno para detectar y escalar sospechas de forma inmediata.</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VII — Evaluación con Enfoque Basado en Riesgos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"Llevar a cabo una evaluación con un enfoque basado en Riesgos, en términos de las reglas de carácter general que al efecto emita la Secretaría, que les permita identificar, analizar, entender y mitigar sus Riesgos, así como los de las personas Clientes o Usuarias."</w:t>
      </w:r>
      <w:r>
        <w:rPr>
          <w:rFonts w:ascii="Arial" w:cs="Arial" w:eastAsia="Arial" w:hAnsi="Arial"/>
          <w:color w:val="666666"/>
          <w:sz w:val="18"/>
          <w:szCs w:val="18"/>
        </w:rPr>
        <w:t xml:space="preserve">  —  Art. 18, Fracc. VII LFPIORPI — DOF 16-07-2025</w:t>
      </w:r>
    </w:p>
    <w:p>
      <w:pPr>
        <w:spacing w:before="200" w:after="80"/>
      </w:pPr>
      <w:r>
        <w:rPr>
          <w:rFonts w:ascii="Arial" w:cs="Arial" w:eastAsia="Arial" w:hAnsi="Arial"/>
          <w:b/>
          <w:bCs/>
          <w:color w:val="1C3557"/>
          <w:sz w:val="23"/>
          <w:szCs w:val="23"/>
        </w:rPr>
        <w:t xml:space="preserve">El cambio de paradigma más profundo de la reforma</w:t>
      </w:r>
    </w:p>
    <w:p>
      <w:pPr>
        <w:spacing w:before="60" w:after="80"/>
      </w:pPr>
      <w:r>
        <w:rPr>
          <w:rFonts w:ascii="Arial" w:cs="Arial" w:eastAsia="Arial" w:hAnsi="Arial"/>
          <w:color w:val="222222"/>
          <w:sz w:val="22"/>
          <w:szCs w:val="22"/>
        </w:rPr>
        <w:t xml:space="preserve">El Enfoque Basado en Riesgos (EBR) implica que el sujeto obligado ya no puede limitarse a cumplir listas de verificación. Debe analizar activamente cuáles son sus riesgos específicos y aplicar controles proporcionales.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MODELO ANTERIOR (basado en reglas)</w:t>
            </w:r>
          </w:p>
        </w:tc>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MODELO ACTUAL (basado en riesgos)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 la operación supera el umbral, presento aviso</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Identifico qué tipo de clientes y operaciones representan mayor riesgo para mi actividad específica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Cumplo con los pasos que la ley indica, sin más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Analizo mis vulnerabilidades y aplico controles proporcionales al nivel de riesgo</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Todos los clientes reciben el mismo trato</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Los clientes de alto riesgo (PPE, estructuras complejas, países de riesgo) reciben mayor diligencia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El cumplimiento es estático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El cumplimiento es dinámico: se revisa y actualiza periódicamente</w:t>
            </w:r>
          </w:p>
        </w:tc>
      </w:tr>
    </w:tbl>
    <w:p>
      <w:pPr>
        <w:spacing w:before="0" w:after="0"/>
      </w:pPr>
      <w:r>
        <w:t xml:space="preserve"/>
      </w:r>
    </w:p>
    <w:p>
      <w:pPr>
        <w:spacing w:before="200" w:after="80"/>
      </w:pPr>
      <w:r>
        <w:rPr>
          <w:rFonts w:ascii="Arial" w:cs="Arial" w:eastAsia="Arial" w:hAnsi="Arial"/>
          <w:b/>
          <w:bCs/>
          <w:color w:val="1C3557"/>
          <w:sz w:val="23"/>
          <w:szCs w:val="23"/>
        </w:rPr>
        <w:t xml:space="preserve">Componentes mínimos de la evaluación de riesgos</w:t>
      </w:r>
    </w:p>
    <w:p>
      <w:pPr>
        <w:pStyle w:val="ListParagraph"/>
        <w:numPr>
          <w:ilvl w:val="0"/>
          <w:numId w:val="2"/>
        </w:numPr>
        <w:spacing w:before="40" w:after="40"/>
      </w:pPr>
      <w:r>
        <w:rPr>
          <w:rFonts w:ascii="Arial" w:cs="Arial" w:eastAsia="Arial" w:hAnsi="Arial"/>
          <w:color w:val="222222"/>
          <w:sz w:val="22"/>
          <w:szCs w:val="22"/>
        </w:rPr>
        <w:t xml:space="preserve">Identificación de riesgos: ¿qué tipos de clientes, operaciones, productos o geografías representan mayor riesgo?</w:t>
      </w:r>
    </w:p>
    <w:p>
      <w:pPr>
        <w:pStyle w:val="ListParagraph"/>
        <w:numPr>
          <w:ilvl w:val="0"/>
          <w:numId w:val="2"/>
        </w:numPr>
        <w:spacing w:before="40" w:after="40"/>
      </w:pPr>
      <w:r>
        <w:rPr>
          <w:rFonts w:ascii="Arial" w:cs="Arial" w:eastAsia="Arial" w:hAnsi="Arial"/>
          <w:color w:val="222222"/>
          <w:sz w:val="22"/>
          <w:szCs w:val="22"/>
        </w:rPr>
        <w:t xml:space="preserve">Análisis y comprensión: ¿por qué esos elementos representan riesgo? ¿qué tipologías de lavado se asocian a mi actividad?</w:t>
      </w:r>
    </w:p>
    <w:p>
      <w:pPr>
        <w:pStyle w:val="ListParagraph"/>
        <w:numPr>
          <w:ilvl w:val="0"/>
          <w:numId w:val="2"/>
        </w:numPr>
        <w:spacing w:before="40" w:after="40"/>
      </w:pPr>
      <w:r>
        <w:rPr>
          <w:rFonts w:ascii="Arial" w:cs="Arial" w:eastAsia="Arial" w:hAnsi="Arial"/>
          <w:color w:val="222222"/>
          <w:sz w:val="22"/>
          <w:szCs w:val="22"/>
        </w:rPr>
        <w:t xml:space="preserve">Mitigación: ¿qué controles tengo para reducir esos riesgos? ¿son proporcionales al nivel de riesgo identificado?</w:t>
      </w:r>
    </w:p>
    <w:p>
      <w:pPr>
        <w:pStyle w:val="ListParagraph"/>
        <w:numPr>
          <w:ilvl w:val="0"/>
          <w:numId w:val="2"/>
        </w:numPr>
        <w:spacing w:before="40" w:after="40"/>
      </w:pPr>
      <w:r>
        <w:rPr>
          <w:rFonts w:ascii="Arial" w:cs="Arial" w:eastAsia="Arial" w:hAnsi="Arial"/>
          <w:color w:val="222222"/>
          <w:sz w:val="22"/>
          <w:szCs w:val="22"/>
        </w:rPr>
        <w:t xml:space="preserve">Documentación: la evaluación debe quedar documentada. Una evaluación no documentada no existe para efectos de auditoría o visita de verificación.</w:t>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Las reglas de carácter general que regulan el EBR aún no se han publicado (proyección: julio 2026). Sin embargo, la obligación de realizar la evaluación ya está en vigor desde el 16 de julio de 2025. Se recomienda iniciar con la metodología que ya publica la UIF como guía de orientación.</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VIII — Manual de Políticas Internas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"Elaborar y observar un Manual de Políticas Internas que contenga los criterios, medidas y procedimientos necesarios para cumplir con las obligaciones previstas en la presente Ley, incluyendo las que les permitan identificar y dar seguimiento a los actos u operaciones que lleven a cabo con Personas Políticamente Expuestas. En caso de que las personas a que se refiere este artículo formen parte de un grupo empresarial, deberán implementar políticas aplicables a todas las sucursales y filiales de propiedad mayoritaria, incluidas las extranjeras."</w:t>
      </w:r>
      <w:r>
        <w:rPr>
          <w:rFonts w:ascii="Arial" w:cs="Arial" w:eastAsia="Arial" w:hAnsi="Arial"/>
          <w:color w:val="666666"/>
          <w:sz w:val="18"/>
          <w:szCs w:val="18"/>
        </w:rPr>
        <w:t xml:space="preserve">  —  Art. 18, Fracc. VIII LFPIORPI — DOF 16-07-2025</w:t>
      </w:r>
    </w:p>
    <w:p>
      <w:pPr>
        <w:spacing w:before="200" w:after="80"/>
      </w:pPr>
      <w:r>
        <w:rPr>
          <w:rFonts w:ascii="Arial" w:cs="Arial" w:eastAsia="Arial" w:hAnsi="Arial"/>
          <w:b/>
          <w:bCs/>
          <w:color w:val="1C3557"/>
          <w:sz w:val="23"/>
          <w:szCs w:val="23"/>
        </w:rPr>
        <w:t xml:space="preserve">Contenido mínimo del Manual</w:t>
      </w:r>
    </w:p>
    <w:p>
      <w:pPr>
        <w:pStyle w:val="ListParagraph"/>
        <w:numPr>
          <w:ilvl w:val="0"/>
          <w:numId w:val="2"/>
        </w:numPr>
        <w:spacing w:before="40" w:after="40"/>
      </w:pPr>
      <w:r>
        <w:rPr>
          <w:rFonts w:ascii="Arial" w:cs="Arial" w:eastAsia="Arial" w:hAnsi="Arial"/>
          <w:color w:val="222222"/>
          <w:sz w:val="22"/>
          <w:szCs w:val="22"/>
        </w:rPr>
        <w:t xml:space="preserve">Políticas de identificación y conocimiento del cliente (KYC)</w:t>
      </w:r>
    </w:p>
    <w:p>
      <w:pPr>
        <w:pStyle w:val="ListParagraph"/>
        <w:numPr>
          <w:ilvl w:val="0"/>
          <w:numId w:val="2"/>
        </w:numPr>
        <w:spacing w:before="40" w:after="40"/>
      </w:pPr>
      <w:r>
        <w:rPr>
          <w:rFonts w:ascii="Arial" w:cs="Arial" w:eastAsia="Arial" w:hAnsi="Arial"/>
          <w:color w:val="222222"/>
          <w:sz w:val="22"/>
          <w:szCs w:val="22"/>
        </w:rPr>
        <w:t xml:space="preserve">Criterios para identificar y dar seguimiento a PPE</w:t>
      </w:r>
    </w:p>
    <w:p>
      <w:pPr>
        <w:pStyle w:val="ListParagraph"/>
        <w:numPr>
          <w:ilvl w:val="0"/>
          <w:numId w:val="2"/>
        </w:numPr>
        <w:spacing w:before="40" w:after="40"/>
      </w:pPr>
      <w:r>
        <w:rPr>
          <w:rFonts w:ascii="Arial" w:cs="Arial" w:eastAsia="Arial" w:hAnsi="Arial"/>
          <w:color w:val="222222"/>
          <w:sz w:val="22"/>
          <w:szCs w:val="22"/>
        </w:rPr>
        <w:t xml:space="preserve">Procedimientos para la presentación de avisos ordinarios y por sospecha</w:t>
      </w:r>
    </w:p>
    <w:p>
      <w:pPr>
        <w:pStyle w:val="ListParagraph"/>
        <w:numPr>
          <w:ilvl w:val="0"/>
          <w:numId w:val="2"/>
        </w:numPr>
        <w:spacing w:before="40" w:after="40"/>
      </w:pPr>
      <w:r>
        <w:rPr>
          <w:rFonts w:ascii="Arial" w:cs="Arial" w:eastAsia="Arial" w:hAnsi="Arial"/>
          <w:color w:val="222222"/>
          <w:sz w:val="22"/>
          <w:szCs w:val="22"/>
        </w:rPr>
        <w:t xml:space="preserve">Proceso de evaluación de riesgos (EBR)</w:t>
      </w:r>
    </w:p>
    <w:p>
      <w:pPr>
        <w:pStyle w:val="ListParagraph"/>
        <w:numPr>
          <w:ilvl w:val="0"/>
          <w:numId w:val="2"/>
        </w:numPr>
        <w:spacing w:before="40" w:after="40"/>
      </w:pPr>
      <w:r>
        <w:rPr>
          <w:rFonts w:ascii="Arial" w:cs="Arial" w:eastAsia="Arial" w:hAnsi="Arial"/>
          <w:color w:val="222222"/>
          <w:sz w:val="22"/>
          <w:szCs w:val="22"/>
        </w:rPr>
        <w:t xml:space="preserve">Protocolo de escalamiento interno ante situaciones de alerta</w:t>
      </w:r>
    </w:p>
    <w:p>
      <w:pPr>
        <w:pStyle w:val="ListParagraph"/>
        <w:numPr>
          <w:ilvl w:val="0"/>
          <w:numId w:val="2"/>
        </w:numPr>
        <w:spacing w:before="40" w:after="40"/>
      </w:pPr>
      <w:r>
        <w:rPr>
          <w:rFonts w:ascii="Arial" w:cs="Arial" w:eastAsia="Arial" w:hAnsi="Arial"/>
          <w:color w:val="222222"/>
          <w:sz w:val="22"/>
          <w:szCs w:val="22"/>
        </w:rPr>
        <w:t xml:space="preserve">Criterios para determinar niveles de diligencia (simplificada / ordinaria / intensificada)</w:t>
      </w:r>
    </w:p>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Si el grupo Peredo tiene empresas con propiedad mayoritaria común, las políticas del Manual deben aplicarse en TODAS ellas, incluidas filiales extranjeras si las hay. No basta con que cada empresa tenga su propio manual: deben ser consistentes entre sí.</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IX — Selección de personal y capacitación anual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"Desarrollar procesos para la selección de personal, así como adoptar programas de capacitación anuales, dirigidos a quienes integran su órgano de administración o persona administradora única, directivas, personas representantes encargadas de cumplimiento y empleadas o empleados que tengan relación directa con las personas Clientes o Usuarias, que contemplen la difusión de la Ley y su normativa secundaria, así como del Manual de Políticas Internas."</w:t>
      </w:r>
      <w:r>
        <w:rPr>
          <w:rFonts w:ascii="Arial" w:cs="Arial" w:eastAsia="Arial" w:hAnsi="Arial"/>
          <w:color w:val="666666"/>
          <w:sz w:val="18"/>
          <w:szCs w:val="18"/>
        </w:rPr>
        <w:t xml:space="preserve">  —  Art. 18, Fracc. IX LFPIORPI — DOF 16-07-2025</w:t>
      </w:r>
    </w:p>
    <w:p>
      <w:pPr>
        <w:spacing w:before="200" w:after="80"/>
      </w:pPr>
      <w:r>
        <w:rPr>
          <w:rFonts w:ascii="Arial" w:cs="Arial" w:eastAsia="Arial" w:hAnsi="Arial"/>
          <w:b/>
          <w:bCs/>
          <w:color w:val="1C3557"/>
          <w:sz w:val="23"/>
          <w:szCs w:val="23"/>
        </w:rPr>
        <w:t xml:space="preserve">A quiénes debe capacitarse (mínimo 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NIVEL</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PERSONA OBLIGADA</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CONTENIDO MÍNIMO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Gobierno corporativo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Consejo de administración / administrador único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Ley, reforma, Manual de Políticas Internas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Dirección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Directores y funcionarios con decisión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Ley, reforma, EBR, responsabilidades del nivel directivo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Cumplimiento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Representante Encargada de Cumplimiento (REC)</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Ley completa, normativa secundaria, Manual, tipologías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Operativo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Empleados con contacto directo con clientes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KYC, señales de alerta, protocolo de escalamiento, Manual</w:t>
            </w:r>
          </w:p>
        </w:tc>
      </w:tr>
    </w:tbl>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Este taller cuenta como capacitación formal para el cumplimiento de la Fracc. IX. Se recomienda llevar lista de asistencia firmada, programa temático y constancias. Esa documentación debe conservarse 10 años (Fracc. IV).</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X — Mecanismos automatizados de monitoreo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"Contar con mecanismos automatizados que les permitan llevar a cabo un monitoreo permanente de los actos u operaciones que realicen con las personas Clientes o Usuarias para identificar aquellas que no se encuentren dentro del perfil transaccional de las personas Clientes o Usuarias conforme a las reglas de carácter general que emita la Secretaría o que deban acumularse conforme al penúltimo párrafo del artículo 17 de la Ley. Dichos mecanismos también deben permitir dar un seguimiento intensificado a las personas Clientes o Usuarias que sean consideradas Personas Políticamente Expuestas o de alto Riesgo."</w:t>
      </w:r>
      <w:r>
        <w:rPr>
          <w:rFonts w:ascii="Arial" w:cs="Arial" w:eastAsia="Arial" w:hAnsi="Arial"/>
          <w:color w:val="666666"/>
          <w:sz w:val="18"/>
          <w:szCs w:val="18"/>
        </w:rPr>
        <w:t xml:space="preserve">  —  Art. 18, Fracc. X LFPIORPI — DOF 16-07-2025</w:t>
      </w:r>
    </w:p>
    <w:p>
      <w:pPr>
        <w:spacing w:before="200" w:after="80"/>
      </w:pPr>
      <w:r>
        <w:rPr>
          <w:rFonts w:ascii="Arial" w:cs="Arial" w:eastAsia="Arial" w:hAnsi="Arial"/>
          <w:b/>
          <w:bCs/>
          <w:color w:val="1C3557"/>
          <w:sz w:val="23"/>
          <w:szCs w:val="23"/>
        </w:rPr>
        <w:t xml:space="preserve">¿Qué debe hacer el sistema de monitoreo?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FUNCIÓN</w:t>
            </w:r>
          </w:p>
        </w:tc>
        <w:tc>
          <w:tcPr>
            <w:tcW w:type="dxa" w:w="62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Monitoreo permanente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Revisión continua de todas las operaciones realizadas con clientes, no solo las que superan umbrales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Detección de operaciones fuera de perfil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Alertar cuando un cliente opera de manera inconsistente con su perfil transaccional documentado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Acumulación</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Identificar operaciones que en lo individual están bajo el umbral pero que acumuladas en 6 meses superan el umbral de aviso (Art. 17, penúltimo párrafo)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Seguimiento intensificado a PPE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Para clientes clasificados como PPE o de alto riesgo, el sistema debe generar alertas y seguimiento diferenciado</w:t>
            </w:r>
          </w:p>
        </w:tc>
      </w:tr>
    </w:tbl>
    <w:p>
      <w:pPr>
        <w:spacing w:before="0" w:after="0"/>
      </w:pPr>
      <w:r>
        <w:t xml:space="preserve"/>
      </w:r>
    </w:p>
    <w:p>
      <w:pPr>
        <w:spacing w:before="60" w:after="80"/>
      </w:pPr>
      <w:r>
        <w:rPr>
          <w:rFonts w:ascii="Arial" w:cs="Arial" w:eastAsia="Arial" w:hAnsi="Arial"/>
          <w:color w:val="222222"/>
          <w:sz w:val="22"/>
          <w:szCs w:val="22"/>
        </w:rPr>
        <w:t xml:space="preserve">La obligación de 'mecanismos automatizados' no necesariamente implica un software especializado de cumplimiento (aunque es la solución ideal). Puede cumplirse con sistemas de control en hojas de cálculo bien estructuradas, siempre que permitan el monitoreo permanente descrito. Las reglas de carácter general (proyección julio 2026) definirán los estándares técnicos.</w:t>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Este es uno de los cambios que mayor inversión operativa puede requerir. Las empresas que operan con sistemas manuales o dispersos deben evaluar si su infraestructura actual permite cumplir con la Fracc. X.</w:t>
      </w:r>
    </w:p>
    <w:p>
      <w:pPr>
        <w:spacing w:before="0" w:after="120"/>
      </w:pPr>
      <w:r>
        <w:t xml:space="preserve"/>
      </w:r>
    </w:p>
    <w:p>
      <w:pPr>
        <w:pStyle w:val="Heading2"/>
        <w:pBdr>
          <w:bottom w:val="single" w:color="0D2137" w:sz="4" w:space="1"/>
        </w:pBdr>
        <w:spacing w:before="280" w:after="120"/>
      </w:pPr>
      <w:r>
        <w:rPr>
          <w:rFonts w:ascii="Arial" w:cs="Arial" w:eastAsia="Arial" w:hAnsi="Arial"/>
          <w:b/>
          <w:bCs/>
          <w:color w:val="0D2137"/>
          <w:sz w:val="26"/>
          <w:szCs w:val="26"/>
        </w:rPr>
        <w:t xml:space="preserve">Fracc. XI — Auditoría interna o externa  [NUEVA]</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"Contar con la revisión por parte del área de auditoría interna o de una persona auditora externa independiente cuando el riesgo de quien realiza la Actividad Vulnerable sea bajo o medio, o bien, de una persona auditora externa independiente cuando el riesgo de quien realiza la Actividad Vulnerable sea alto, según la evaluación realizada conforme a la fracción VII de este artículo, para evaluar y dictaminar en un año calendario la efectividad del cumplimiento de las obligaciones previstas en la Ley y demás disposiciones aplicables."</w:t>
      </w:r>
      <w:r>
        <w:rPr>
          <w:rFonts w:ascii="Arial" w:cs="Arial" w:eastAsia="Arial" w:hAnsi="Arial"/>
          <w:color w:val="666666"/>
          <w:sz w:val="18"/>
          <w:szCs w:val="18"/>
        </w:rPr>
        <w:t xml:space="preserve">  —  Art. 18, Fracc. XI LFPIORPI — DOF 16-07-2025</w:t>
      </w:r>
    </w:p>
    <w:p>
      <w:pPr>
        <w:spacing w:before="200" w:after="80"/>
      </w:pPr>
      <w:r>
        <w:rPr>
          <w:rFonts w:ascii="Arial" w:cs="Arial" w:eastAsia="Arial" w:hAnsi="Arial"/>
          <w:b/>
          <w:bCs/>
          <w:color w:val="1C3557"/>
          <w:sz w:val="23"/>
          <w:szCs w:val="23"/>
        </w:rPr>
        <w:t xml:space="preserve">El nivel de riesgo determina quién audita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NIVEL DE RIESGO (EBR)</w:t>
            </w:r>
          </w:p>
        </w:tc>
        <w:tc>
          <w:tcPr>
            <w:tcW w:type="dxa" w:w="3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AUDITORÍA</w:t>
            </w:r>
          </w:p>
        </w:tc>
        <w:tc>
          <w:tcPr>
            <w:tcW w:type="dxa" w:w="3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PERIODICIDAD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Bajo o Medio</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Auditoría interna O auditor externo independiente (a elección)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En un año calendario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Únicamente auditor externo independiente (obligatorio)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En un año calendario</w:t>
            </w:r>
          </w:p>
        </w:tc>
      </w:tr>
    </w:tbl>
    <w:p>
      <w:pPr>
        <w:spacing w:before="0" w:after="0"/>
      </w:pPr>
      <w:r>
        <w:t xml:space="preserve"/>
      </w:r>
    </w:p>
    <w:p>
      <w:pPr>
        <w:spacing w:before="60" w:after="80"/>
      </w:pPr>
      <w:r>
        <w:rPr>
          <w:rFonts w:ascii="Arial" w:cs="Arial" w:eastAsia="Arial" w:hAnsi="Arial"/>
          <w:color w:val="222222"/>
          <w:sz w:val="22"/>
          <w:szCs w:val="22"/>
        </w:rPr>
        <w:t xml:space="preserve">La auditoría debe evaluar y dictaminar la efectividad del cumplimiento, no solo verificar que existen los documentos. El dictamen debe documentarse y conservarse 10 años. Las reglas de carácter general (proyección julio 2026) regularán los estándares de estas auditorías.</w:t>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La Fracc. XI crea un círculo: la Fracc. VII define el nivel de riesgo, y ese nivel de riesgo determina el tipo de auditoría de la Fracc. XI. Las dos obligaciones son interdependientes. No tener la evaluación de riesgos (Fracc. VII) impide determinar el tipo de auditoría que corresponde.</w:t>
      </w:r>
    </w:p>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4.  CAPÍTULO IV BIS — BENEFICIARIO CONTROLADOR EN TODAS LAS EMPRESAS</w:t>
      </w:r>
    </w:p>
    <w:p>
      <w:pPr>
        <w:spacing w:before="60" w:after="80"/>
      </w:pPr>
      <w:r>
        <w:rPr>
          <w:rFonts w:ascii="Arial" w:cs="Arial" w:eastAsia="Arial" w:hAnsi="Arial"/>
          <w:color w:val="222222"/>
          <w:sz w:val="22"/>
          <w:szCs w:val="22"/>
        </w:rPr>
        <w:t xml:space="preserve">El Capítulo IV Bis es uno de los cambios más significativos de la reforma y el que tiene mayor alcance corporativo. No aplica solo a las empresas que realizan actividades vulnerables: aplica a TODAS las sociedades mercantiles mexicanas.</w:t>
      </w:r>
    </w:p>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Este capítulo es independiente del Art. 18. Aunque una empresa del grupo NO realice ninguna actividad vulnerable, igual está obligada a identificar y registrar a su Beneficiario Controlador.</w:t>
      </w:r>
    </w:p>
    <w:p>
      <w:pPr>
        <w:spacing w:before="0" w:after="120"/>
      </w:pPr>
      <w:r>
        <w:t xml:space="preserve"/>
      </w:r>
    </w:p>
    <w:p>
      <w:pPr>
        <w:spacing w:before="200" w:after="80"/>
      </w:pPr>
      <w:r>
        <w:rPr>
          <w:rFonts w:ascii="Arial" w:cs="Arial" w:eastAsia="Arial" w:hAnsi="Arial"/>
          <w:b/>
          <w:bCs/>
          <w:color w:val="1C3557"/>
          <w:sz w:val="23"/>
          <w:szCs w:val="23"/>
        </w:rPr>
        <w:t xml:space="preserve">¿Qué establece el Capítulo IV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OBLIGACIÓN</w:t>
            </w:r>
          </w:p>
        </w:tc>
        <w:tc>
          <w:tcPr>
            <w:tcW w:type="dxa" w:w="62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Identificación del BC para todas las sociedades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Todas las personas morales mexicanas deben identificar a su BC, independientemente de si realizan o no actividades vulnerables.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Aviso de transmisión de acciones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 establece un mecanismo para notificar ante la Secretaría de Economía cualquier cambio en la tenencia accionaria que afecte la identificación del BC.</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Actualización permanente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El registro del BC debe mantenerse actualizado. Cualquier cambio en la estructura de control debe reflejarse.</w:t>
            </w:r>
          </w:p>
        </w:tc>
      </w:tr>
    </w:tbl>
    <w:p>
      <w:pPr>
        <w:spacing w:before="0" w:after="120"/>
      </w:pPr>
      <w:r>
        <w:t xml:space="preserve"/>
      </w:r>
    </w:p>
    <w:p>
      <w:pPr>
        <w:spacing w:before="200" w:after="80"/>
      </w:pPr>
      <w:r>
        <w:rPr>
          <w:rFonts w:ascii="Arial" w:cs="Arial" w:eastAsia="Arial" w:hAnsi="Arial"/>
          <w:b/>
          <w:bCs/>
          <w:color w:val="1C3557"/>
          <w:sz w:val="23"/>
          <w:szCs w:val="23"/>
        </w:rPr>
        <w:t xml:space="preserve">El árbol de identificación del BC para el grupo Peredo</w:t>
      </w:r>
    </w:p>
    <w:p>
      <w:pPr>
        <w:spacing w:before="60" w:after="80"/>
      </w:pPr>
      <w:r>
        <w:rPr>
          <w:rFonts w:ascii="Arial" w:cs="Arial" w:eastAsia="Arial" w:hAnsi="Arial"/>
          <w:color w:val="222222"/>
          <w:sz w:val="22"/>
          <w:szCs w:val="22"/>
        </w:rPr>
        <w:t xml:space="preserve">Para cada empresa del grupo, el proceso de identificación del BC sigue esta secuencia:</w:t>
      </w:r>
    </w:p>
    <w:p>
      <w:pPr>
        <w:pStyle w:val="ListParagraph"/>
        <w:numPr>
          <w:ilvl w:val="0"/>
          <w:numId w:val="2"/>
        </w:numPr>
        <w:spacing w:before="40" w:after="40"/>
      </w:pPr>
      <w:r>
        <w:rPr>
          <w:rFonts w:ascii="Arial" w:cs="Arial" w:eastAsia="Arial" w:hAnsi="Arial"/>
          <w:color w:val="222222"/>
          <w:sz w:val="22"/>
          <w:szCs w:val="22"/>
        </w:rPr>
        <w:t xml:space="preserve">Paso 1 — Propiedad: ¿Hay alguna persona física con más del 25% del capital social? Si sí → es BC.</w:t>
      </w:r>
    </w:p>
    <w:p>
      <w:pPr>
        <w:pStyle w:val="ListParagraph"/>
        <w:numPr>
          <w:ilvl w:val="0"/>
          <w:numId w:val="2"/>
        </w:numPr>
        <w:spacing w:before="40" w:after="40"/>
      </w:pPr>
      <w:r>
        <w:rPr>
          <w:rFonts w:ascii="Arial" w:cs="Arial" w:eastAsia="Arial" w:hAnsi="Arial"/>
          <w:color w:val="222222"/>
          <w:sz w:val="22"/>
          <w:szCs w:val="22"/>
        </w:rPr>
        <w:t xml:space="preserve">Paso 2 — Control: ¿Hay alguna persona física que ejerza control efectivo (impone decisiones, nombra administradores, dirige políticas) aunque tenga menos del 25%? Si sí → es BC.</w:t>
      </w:r>
    </w:p>
    <w:p>
      <w:pPr>
        <w:pStyle w:val="ListParagraph"/>
        <w:numPr>
          <w:ilvl w:val="0"/>
          <w:numId w:val="2"/>
        </w:numPr>
        <w:spacing w:before="40" w:after="40"/>
      </w:pPr>
      <w:r>
        <w:rPr>
          <w:rFonts w:ascii="Arial" w:cs="Arial" w:eastAsia="Arial" w:hAnsi="Arial"/>
          <w:color w:val="222222"/>
          <w:sz w:val="22"/>
          <w:szCs w:val="22"/>
        </w:rPr>
        <w:t xml:space="preserve">Paso 3 — Último recurso: Si no se puede identificar BC por los criterios anteriores → el administrador único o los miembros del consejo de administración son el BC por defecto.</w:t>
      </w:r>
    </w:p>
    <w:p>
      <w:pPr>
        <w:spacing w:before="0" w:after="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Punto de acción para el taller: se recomienda que cada empresa del grupo elabore un organigrama de propiedad que muestre quién es el BC en cada entidad, con fecha de actualización. Ese documento es la base del expediente de cumplimiento del Capítulo IV Bis.</w:t>
      </w:r>
    </w:p>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5.  EXTENSIÓN DEL SUJETO OBLIGADO — ART. 17 PÁRRAFO FINAL</w:t>
      </w:r>
    </w:p>
    <w:p>
      <w:pPr>
        <w:pBdr>
          <w:left w:val="single" w:color="2E5A8E" w:sz="10" w:space="10"/>
        </w:pBdr>
        <w:shd w:fill="EFF6FF" w:val="clear"/>
        <w:spacing w:before="80" w:after="80"/>
        <w:ind w:left="360" w:right="200"/>
      </w:pPr>
      <w:r>
        <w:rPr>
          <w:rFonts w:ascii="Arial" w:cs="Arial" w:eastAsia="Arial" w:hAnsi="Arial"/>
          <w:i/>
          <w:iCs/>
          <w:color w:val="1C3557"/>
          <w:sz w:val="20"/>
          <w:szCs w:val="20"/>
        </w:rPr>
        <w:t xml:space="preserve">"También se considerará que realizan las actividades vulnerables previstas en el presente artículo, quienes actúan por medio de fideicomisos o cualquier otra figura jurídica."</w:t>
      </w:r>
      <w:r>
        <w:rPr>
          <w:rFonts w:ascii="Arial" w:cs="Arial" w:eastAsia="Arial" w:hAnsi="Arial"/>
          <w:color w:val="666666"/>
          <w:sz w:val="18"/>
          <w:szCs w:val="18"/>
        </w:rPr>
        <w:t xml:space="preserve">  —  Art. 17, párrafo adicionado DOF 16-07-2025</w:t>
      </w:r>
    </w:p>
    <w:p>
      <w:pPr>
        <w:spacing w:before="0" w:after="0"/>
      </w:pPr>
      <w:r>
        <w:t xml:space="preserve"/>
      </w:r>
    </w:p>
    <w:p>
      <w:pPr>
        <w:spacing w:before="60" w:after="80"/>
      </w:pPr>
      <w:r>
        <w:rPr>
          <w:rFonts w:ascii="Arial" w:cs="Arial" w:eastAsia="Arial" w:hAnsi="Arial"/>
          <w:color w:val="222222"/>
          <w:sz w:val="22"/>
          <w:szCs w:val="22"/>
        </w:rPr>
        <w:t xml:space="preserve">Este párrafo cierra una laguna que permitía estructurar operaciones a través de fideicomisos para evitar el cumplimiento de las obligaciones de LFPIORPI. A partir del 16 de julio de 2025, quien actúe por medio de un fideicomiso en una actividad vulnerable es sujeto obligado con todas las consecuencias del Art.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EJEMPLO ANTES DE LA REFORMA</w:t>
            </w:r>
          </w:p>
        </w:tc>
        <w:tc>
          <w:tcPr>
            <w:tcW w:type="dxa" w:w="4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SITUACIÓN DESPUÉS DE LA REFORMA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Empresa vende inmueble a través de un fideicomiso de desarrollo. El fideicomiso argüía no ser sujeto obligado porque no realizaba la actividad directamente.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El fideicomiso (y quienes actúen a través de él) son sujetos obligados si la actividad es vulnerable. Las obligaciones del Art. 18 aplican íntegramente.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Comprador de vehículo actúa a través de un fideicomiso de administración. La agencia solo identificaba al apoderado.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 agencia debe identificar al fideicomiso como Cliente o Usuaria (nueva definición Art. 3, Fracc. III Bis) y a su BC.</w:t>
            </w:r>
          </w:p>
        </w:tc>
      </w:tr>
    </w:tbl>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6.  LA UMA Y LA CONVERSIÓN DE UMBRALES</w:t>
      </w:r>
    </w:p>
    <w:p>
      <w:pPr>
        <w:spacing w:before="60" w:after="80"/>
      </w:pPr>
      <w:r>
        <w:rPr>
          <w:rFonts w:ascii="Arial" w:cs="Arial" w:eastAsia="Arial" w:hAnsi="Arial"/>
          <w:color w:val="222222"/>
          <w:sz w:val="22"/>
          <w:szCs w:val="22"/>
        </w:rPr>
        <w:t xml:space="preserve">Todos los umbrales de identificación, aviso y prohibición de efectivo de la LFPIORPI se expresan ahora en UMA, unidad que tiene fundamento constitucional (Art. 26 CPEUM) y se actualiza anualmente por el INEGI con base en la inflación.</w:t>
      </w:r>
    </w:p>
    <w:p>
      <w:pPr>
        <w:spacing w:before="0" w:after="0"/>
      </w:pPr>
      <w:r>
        <w:t xml:space="preserve"/>
      </w:r>
    </w:p>
    <w:p>
      <w:pPr>
        <w:spacing w:before="200" w:after="80"/>
      </w:pPr>
      <w:r>
        <w:rPr>
          <w:rFonts w:ascii="Arial" w:cs="Arial" w:eastAsia="Arial" w:hAnsi="Arial"/>
          <w:b/>
          <w:bCs/>
          <w:color w:val="1C3557"/>
          <w:sz w:val="23"/>
          <w:szCs w:val="23"/>
        </w:rPr>
        <w:t xml:space="preserve">¿Por qué importa este cambio?</w:t>
      </w:r>
    </w:p>
    <w:p>
      <w:pPr>
        <w:spacing w:before="60" w:after="80"/>
      </w:pPr>
      <w:r>
        <w:rPr>
          <w:rFonts w:ascii="Arial" w:cs="Arial" w:eastAsia="Arial" w:hAnsi="Arial"/>
          <w:color w:val="222222"/>
          <w:sz w:val="22"/>
          <w:szCs w:val="22"/>
        </w:rPr>
        <w:t xml:space="preserve">En la práctica, los umbrales ya se venían calculando en UMAs desde hace años por criterio administrativo. La reforma los formaliza en la ley. La ventaja es que ahora hay certeza jurídica: el umbral no depende de interpretación administrativa sino del texto de la ley.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CONCEPTO</w:t>
            </w:r>
          </w:p>
        </w:tc>
        <w:tc>
          <w:tcPr>
            <w:tcW w:type="dxa" w:w="312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 UMA</w:t>
            </w:r>
          </w:p>
        </w:tc>
        <w:tc>
          <w:tcPr>
            <w:tcW w:type="dxa" w:w="3120"/>
            <w:tcBorders>
              <w:top w:val="single" w:color="CCCCCC" w:sz="1"/>
              <w:left w:val="single" w:color="CCCCCC" w:sz="1"/>
              <w:bottom w:val="single" w:color="CCCCCC" w:sz="1"/>
              <w:right w:val="single" w:color="CCCCCC" w:sz="1"/>
            </w:tcBorders>
            <w:shd w:fill="0E749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 EN PESOS 2026 (UMA = $117.31)</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Identificación vehículos (Fracc. VIII)</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3,210 UMA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$376,565.10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Aviso vehículos (Fracc. VIII)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6,420 UMA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$753,130.20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Prohibición efectivo vehículos (Art. 32)</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3,210 UMA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$376,565.10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Identificación inmuebles (Fracc. 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8,025 UMA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$941,862.75</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Aviso inmuebles (Fracc. V)</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8,025 UMA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$941,862.75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Prohibición efectivo inmuebles (Art. 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8,025 UMA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$941,862.75</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Renta mensual identificación (Fracc. XV)</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1,605 UMA</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$188,282.55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Renta mensual aviso (Fracc. XV)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3,210 UMA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$376,565.10</w:t>
            </w:r>
          </w:p>
        </w:tc>
      </w:tr>
    </w:tbl>
    <w:p>
      <w:pPr>
        <w:spacing w:before="0" w:after="0"/>
      </w:pPr>
      <w:r>
        <w:t xml:space="preserve"/>
      </w:r>
    </w:p>
    <w:p>
      <w:pPr>
        <w:pBdr>
          <w:left w:val="single" w:color="C0392B" w:sz="12" w:space="8"/>
        </w:pBdr>
        <w:shd w:fill="FFF0F0" w:val="clear"/>
        <w:spacing w:before="80" w:after="80"/>
        <w:ind w:left="200" w:right="200"/>
      </w:pPr>
      <w:r>
        <w:rPr>
          <w:rFonts w:ascii="Arial" w:cs="Arial" w:eastAsia="Arial" w:hAnsi="Arial"/>
          <w:b/>
          <w:bCs/>
          <w:color w:val="8B0000"/>
          <w:sz w:val="20"/>
          <w:szCs w:val="20"/>
        </w:rPr>
        <w:t xml:space="preserve">⚠️  IMPORTANTE: Los umbrales de la tabla anterior son de referencia general. Los umbrales específicos para cada fracción se revisarán en el Bloque II del taller, fracción por fracción. Antes de usar cualquier umbral en una decisión operativa, verificar el texto vigente de la ley.</w:t>
      </w:r>
    </w:p>
    <w:p>
      <w:pPr>
        <w:spacing w:before="0" w:after="120"/>
      </w:pPr>
      <w:r>
        <w:t xml:space="preserve"/>
      </w:r>
    </w:p>
    <w:p>
      <w:pPr>
        <w:pStyle w:val="Heading1"/>
        <w:shd w:fill="0D2137" w:val="clear"/>
        <w:spacing w:before="360" w:after="160"/>
        <w:ind w:left="200" w:right="200"/>
      </w:pPr>
      <w:r>
        <w:rPr>
          <w:rFonts w:ascii="Arial" w:cs="Arial" w:eastAsia="Arial" w:hAnsi="Arial"/>
          <w:b/>
          <w:bCs/>
          <w:color w:val="FFFFFF"/>
          <w:sz w:val="30"/>
          <w:szCs w:val="30"/>
        </w:rPr>
        <w:t xml:space="preserve">7.  CHECKLIST DE CUMPLIMIENTO — ART. 18 PARA EL GRUPO PEREDO</w:t>
      </w:r>
    </w:p>
    <w:p>
      <w:pPr>
        <w:spacing w:before="60" w:after="80"/>
      </w:pPr>
      <w:r>
        <w:rPr>
          <w:rFonts w:ascii="Arial" w:cs="Arial" w:eastAsia="Arial" w:hAnsi="Arial"/>
          <w:color w:val="222222"/>
          <w:sz w:val="22"/>
          <w:szCs w:val="22"/>
        </w:rPr>
        <w:t xml:space="preserve">Este checklist sirve como diagnóstico rápido. Para cada empresa del grupo que realice actividades vulnerables, verificar el estado de cada obligación.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700"/>
        <w:gridCol w:w="1700"/>
      </w:tblGrid>
      <w:tr>
        <w:trPr>
          <w:tblHeader/>
        </w:trPr>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FRACC.</w:t>
            </w:r>
          </w:p>
        </w:tc>
        <w:tc>
          <w:tcPr>
            <w:tcW w:type="dxa" w:w="50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OBLIGACIÓN</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 TIENES?</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Expediente de identificación directa de cada cliente con copia de documentos oficiales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Información de actividad económica (RFC y giro) para clientes con relación de negocios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III</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Identificación del Beneficiario Controlador de clientes persona moral o fideicomiso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IV</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Expedientes y documentos conservados por al menos 10 años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IV Bis</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 vigente en el Padrón de Actividades Vulnerables para cada empresa</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Protocolo documentado para atender visitas de verificación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VI</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Protocolo de aviso por sospecha en 24 horas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VII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Evaluación de riesgos documentada con EBR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VIII</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Manual de Políticas Internas elaborado y vigente (incluye criterios PPE)</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IX</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Constancias de capacitación anual para todos los niveles obligados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X</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Sistema de monitoreo de operaciones (automatizado o controlado)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XI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Auditoría de cumplimiento realizada en el año calendario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Media</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Cap. IV Bis</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BC identificado y documentado en cada sociedad del grupo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Representante Encargada de Cumplimiento designada ante la Secretaría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  Sí  /  ☐  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Alta</w:t>
            </w:r>
          </w:p>
        </w:tc>
      </w:tr>
    </w:tbl>
    <w:p>
      <w:pPr>
        <w:spacing w:before="0" w:after="120"/>
      </w:pPr>
      <w:r>
        <w:t xml:space="preserve"/>
      </w:r>
    </w:p>
    <w:p>
      <w:pPr>
        <w:pBdr>
          <w:left w:val="single" w:color="D97706" w:sz="12" w:space="8"/>
        </w:pBdr>
        <w:shd w:fill="FFF8DC" w:val="clear"/>
        <w:spacing w:before="80" w:after="80"/>
        <w:ind w:left="200" w:right="200"/>
      </w:pPr>
      <w:r>
        <w:rPr>
          <w:rFonts w:ascii="Arial" w:cs="Arial" w:eastAsia="Arial" w:hAnsi="Arial"/>
          <w:i/>
          <w:iCs/>
          <w:color w:val="5B4800"/>
          <w:sz w:val="20"/>
          <w:szCs w:val="20"/>
        </w:rPr>
        <w:t xml:space="preserve">📌  Este checklist no reemplaza una Biopsia GMC360. Es un primer filtro de autodiagnóstico. Los elementos marcados como 'No' o con dudas son el punto de entrada para la evaluación profesional.</w:t>
      </w:r>
    </w:p>
    <w:p>
      <w:pPr>
        <w:spacing w:before="0" w:after="120"/>
      </w:pPr>
      <w:r>
        <w:t xml:space="preserve"/>
      </w:r>
    </w:p>
    <w:p>
      <w:pPr>
        <w:pBdr>
          <w:bottom w:val="single" w:color="0D2137" w:sz="6" w:space="1"/>
        </w:pBdr>
        <w:spacing w:before="0" w:after="120"/>
      </w:pPr>
    </w:p>
    <w:p>
      <w:pPr>
        <w:spacing w:before="80" w:after="0"/>
        <w:jc w:val="center"/>
      </w:pPr>
      <w:r>
        <w:rPr>
          <w:rFonts w:ascii="Arial" w:cs="Arial" w:eastAsia="Arial" w:hAnsi="Arial"/>
          <w:color w:val="888888"/>
          <w:sz w:val="18"/>
          <w:szCs w:val="18"/>
        </w:rPr>
        <w:t xml:space="preserve">TALLER LFPIORPI 2026  ·  Consorcio Peredo  ·  </w:t>
      </w:r>
      <w:r>
        <w:rPr>
          <w:rFonts w:ascii="Arial" w:cs="Arial" w:eastAsia="Arial" w:hAnsi="Arial"/>
          <w:i/>
          <w:iCs/>
          <w:color w:val="888888"/>
          <w:sz w:val="18"/>
          <w:szCs w:val="18"/>
        </w:rPr>
        <w:t xml:space="preserve">Preparado por GMC360 / 360EDUCA  ·  Maribel Vázquez Menchaca  ·  Fuente: LFPIORPI DOF 16-07-2025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0D21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2026-03-11T16:47:15.249Z</dcterms:created>
  <dcterms:modified xsi:type="dcterms:W3CDTF">2026-03-11T16:47:15.250Z</dcterms:modified>
</cp:coreProperties>
</file>

<file path=docProps/custom.xml><?xml version="1.0" encoding="utf-8"?>
<Properties xmlns="http://schemas.openxmlformats.org/officeDocument/2006/custom-properties" xmlns:vt="http://schemas.openxmlformats.org/officeDocument/2006/docPropsVTypes"/>
</file>