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drawing>
          <wp:inline distT="0" distB="0" distL="0" distR="0">
            <wp:extent cx="1905000" cy="1905000"/>
            <wp:effectExtent t="0" r="0" b="0" l="0"/>
            <wp:docPr id="1" name="Logo" descr="RiskFixer Logo" title="RiskFix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905000" cy="1905000"/>
                    </a:xfrm>
                    <a:prstGeom prst="rect">
                      <a:avLst/>
                    </a:prstGeom>
                  </pic:spPr>
                </pic:pic>
              </a:graphicData>
            </a:graphic>
          </wp:inline>
        </w:drawing>
      </w:r>
    </w:p>
    <w:p>
      <w:pPr>
        <w:spacing w:before="600" w:after="800"/>
        <w:jc w:val="center"/>
      </w:pPr>
      <w:r>
        <w:rPr>
          <w:b/>
          <w:bCs/>
          <w:color w:val="1F4E78"/>
          <w:sz w:val="44"/>
          <w:szCs w:val="44"/>
        </w:rPr>
        <w:t xml:space="preserve">EXECUTIVE SUMMARY</w:t>
      </w:r>
    </w:p>
    <w:p>
      <w:pPr>
        <w:spacing w:after="400"/>
        <w:jc w:val="center"/>
      </w:pPr>
      <w:r>
        <w:rPr>
          <w:b/>
          <w:bCs/>
          <w:sz w:val="32"/>
          <w:szCs w:val="32"/>
        </w:rPr>
        <w:t xml:space="preserve">Executive Protection Assessment</w:t>
      </w:r>
    </w:p>
    <w:p>
      <w:pPr>
        <w:spacing w:after="1200"/>
        <w:jc w:val="center"/>
      </w:pPr>
      <w:r>
        <w:rPr>
          <w:sz w:val="28"/>
          <w:szCs w:val="28"/>
        </w:rPr>
        <w:t xml:space="preserve">John R. MacQuarrie</w:t>
      </w:r>
    </w:p>
    <w:p>
      <w:pPr>
        <w:spacing w:after="200"/>
        <w:jc w:val="center"/>
      </w:pPr>
      <w:r>
        <w:rPr>
          <w:b/>
          <w:bCs/>
          <w:color w:val="C00000"/>
          <w:sz w:val="24"/>
          <w:szCs w:val="24"/>
        </w:rPr>
        <w:t xml:space="preserve">CONFIDENTIAL</w:t>
      </w:r>
    </w:p>
    <w:p>
      <w:pPr>
        <w:spacing w:after="200"/>
        <w:jc w:val="center"/>
      </w:pPr>
      <w:r>
        <w:rPr>
          <w:sz w:val="22"/>
          <w:szCs w:val="22"/>
        </w:rPr>
        <w:t xml:space="preserve">RiskFixer LLC</w:t>
      </w:r>
    </w:p>
    <w:p>
      <w:pPr>
        <w:jc w:val="center"/>
      </w:pPr>
      <w:r>
        <w:rPr>
          <w:sz w:val="22"/>
          <w:szCs w:val="22"/>
        </w:rPr>
        <w:t xml:space="preserve">November 28, 2025</w:t>
      </w:r>
    </w:p>
    <w:p>
      <w:r>
        <w:br w:type="page"/>
      </w:r>
    </w:p>
    <w:p>
      <w:pPr>
        <w:pStyle w:val="Heading1"/>
      </w:pPr>
      <w:r>
        <w:t xml:space="preserve">The Assessment</w:t>
      </w:r>
    </w:p>
    <w:p>
      <w:pPr>
        <w:spacing w:after="400"/>
      </w:pPr>
      <w:r>
        <w:t xml:space="preserve">This executive protection assessment, conducted using the ASIS International GDL-RA risk methodology adapted for executive protection, reveals significant vulnerabilities that require immediate attention.</w:t>
      </w:r>
    </w:p>
    <w:p>
      <w:pPr>
        <w:pStyle w:val="Heading2"/>
      </w:pPr>
      <w:r>
        <w:t xml:space="preserve">The Risk Landscape</w:t>
      </w:r>
    </w:p>
    <w:p>
      <w:pPr>
        <w:spacing w:after="350"/>
      </w:pPr>
      <w:r>
        <w:t xml:space="preserve">Mr. MacQuarrie's 31-year career in the nuclear sector, including 27 years with BWXT, has positioned him at the intersection of controversy and visibility. As President of Commercial Operations overseeing uranium pellet manufacturing, medical isotope production, and the contentious Kinectrics acquisition, he represents both the public face and the decision-making authority for operations that face documented opposition.</w:t>
      </w:r>
    </w:p>
    <w:p>
      <w:pPr>
        <w:spacing w:after="350"/>
      </w:pPr>
      <w:r>
        <w:t xml:space="preserve">The threat environment is not theoretical. In Peterborough, Ontario, the "Concerned Citizens of Peterborough" group has established sustained opposition to BWXT's Blind River pelletizing facility, which they characterize as being "across the street from a school." This opposition demonstrates organizational capacity, media sophistication, and persistence—hallmarks of threat actors capable of escalating from peaceful protest to harassment or intimidation. Their research into precedents like the West Valley Hanford site indicates they understand regulatory vulnerabilities and are prepared for long-term campaigns.</w:t>
      </w:r>
    </w:p>
    <w:p>
      <w:pPr>
        <w:spacing w:after="350"/>
      </w:pPr>
      <w:r>
        <w:t xml:space="preserve">Simultaneously, documented labor tensions create insider threat vulnerabilities. The Medical Division's 90% strike mandate over excessive overtime, combined with employee complaints about salary freezes during 10% inflation, reveals a stark contradiction between BWXT's "People Strong" corporate messaging and workforce experience. This dissonance creates resentment that could manifest as workplace violence, sabotage, or information disclosure to external adversaries. The company's history of safety incidents—including a 2019 fatality in West Virginia and severe burns in Tennessee—adds fuel to potential grievances.</w:t>
      </w:r>
    </w:p>
    <w:p>
      <w:pPr>
        <w:spacing w:after="400"/>
      </w:pPr>
      <w:r>
        <w:t xml:space="preserve">Mr. MacQuarrie's visibility compounds these threats. His former chairmanship of the Canadian Nuclear Association and current board position with the Nuclear Innovation Institute create name recognition. Regular media appearances as BWXT's commercial spokesperson, combined with public contract announcements, make him identifiable to both ideologically-motivated activists and opportunistic criminals who might view a nuclear industry executive as a high-value target.</w:t>
      </w:r>
    </w:p>
    <w:p>
      <w:pPr>
        <w:pStyle w:val="Heading2"/>
      </w:pPr>
      <w:r>
        <w:t xml:space="preserve">The Vulnerability Reality</w:t>
      </w:r>
    </w:p>
    <w:p>
      <w:pPr>
        <w:spacing w:after="350"/>
      </w:pPr>
      <w:r>
        <w:t xml:space="preserve">Against this elevated threat profile, Mr. MacQuarrie operates with essentially zero protective measures. This is not hyperbole—the assessment identified a complete absence of baseline executive protection controls that would be considered standard for someone at his level in a controversial industry.</w:t>
      </w:r>
    </w:p>
    <w:p>
      <w:pPr>
        <w:spacing w:after="350"/>
      </w:pPr>
      <w:r>
        <w:rPr>
          <w:b/>
          <w:bCs/>
        </w:rPr>
        <w:t xml:space="preserve">The most severe finding is immediate and actionable: Mr. MacQuarrie's executive office has no door lock.</w:t>
      </w:r>
      <w:r>
        <w:t xml:space="preserve"> Anyone with building access can enter his office unannounced. In the context of documented labor grievances and potential insider threats, this represents a fundamental security failure. A disgruntled employee can confront the President of Commercial Operations directly, with no physical barrier and no warning. The door that should provide a critical layer of separation and reaction time instead offers no protection whatsoever.</w:t>
      </w:r>
    </w:p>
    <w:p>
      <w:pPr>
        <w:spacing w:after="350"/>
      </w:pPr>
      <w:r>
        <w:t xml:space="preserve">The residential security situation is equally concerning. Mr. MacQuarrie's primary residence has no alarm system, no security cameras, no motion detection, and no monitored security service. During his frequent travel, his spouse remains alone in a home that would be classified as a "soft target" by any security professional. The complete absence of deterrent or detection capabilities means that a home invasion scenario would unfold with no warning and no automatic emergency response.</w:t>
      </w:r>
    </w:p>
    <w:p>
      <w:pPr>
        <w:spacing w:after="350"/>
      </w:pPr>
      <w:r>
        <w:t xml:space="preserve">Beyond physical security infrastructure, there is no evidence of executive protection awareness or training. No travel security protocols exist for domestic or international travel. No surveillance detection procedures are in place. No emergency response plans have been established. No threat reporting mechanisms connect concerning communications to security personnel. This absence of procedural controls means that even if Mr. MacQuarrie were to notice suspicious activity—repeated encounters with the same vehicle, unusual questions from strangers, or patterns suggesting surveillance—there is no framework for escalating these observations or taking protective action.</w:t>
      </w:r>
    </w:p>
    <w:p>
      <w:pPr>
        <w:spacing w:after="400"/>
      </w:pPr>
      <w:r>
        <w:t xml:space="preserve">The combination of high-visibility position, documented threats, and zero protective measures creates what security professionals would characterize as an unsustainably high-risk situation. Mr. MacQuarrie represents what targeting specialists would call an "attractive soft target"—someone whose position and perceived resources make him worth targeting, but whose complete lack of security measures makes him dramatically easier to attack than a protected executive would be.</w:t>
      </w:r>
    </w:p>
    <w:p>
      <w:r>
        <w:br w:type="page"/>
      </w:r>
    </w:p>
    <w:p>
      <w:pPr>
        <w:pStyle w:val="Heading2"/>
      </w:pPr>
      <w:r>
        <w:t xml:space="preserve">The Consequence Analysis</w:t>
      </w:r>
    </w:p>
    <w:p>
      <w:pPr>
        <w:spacing w:after="350"/>
      </w:pPr>
      <w:r>
        <w:t xml:space="preserve">To understand why this risk profile demands immediate action, consider the realistic scenarios that current vulnerabilities enable:</w:t>
      </w:r>
    </w:p>
    <w:p>
      <w:pPr>
        <w:spacing w:after="350"/>
      </w:pPr>
      <w:r>
        <w:rPr>
          <w:b/>
          <w:bCs/>
        </w:rPr>
        <w:t xml:space="preserve">Scenario One: Workplace Confrontation.</w:t>
      </w:r>
      <w:r>
        <w:t xml:space="preserve"> An employee with grievances about the Kinectrics acquisition, overtime policies, or safety concerns decides to confront Mr. MacQuarrie directly. Because his office has no lock, the employee simply walks in during a moment when the executive assistant is away from the desk. What happens next depends entirely on the employee's emotional state and intent. Best case: an uncomfortable confrontation that could have been prevented. Worst case: workplace violence that escalates because there was no physical barrier to create separation or reaction time. In either scenario, the absence of a basic security measure—a locked door—enabled direct access to an executive with decision-making authority over the very issues that created the grievance.</w:t>
      </w:r>
    </w:p>
    <w:p>
      <w:pPr>
        <w:spacing w:after="350"/>
      </w:pPr>
      <w:r>
        <w:rPr>
          <w:b/>
          <w:bCs/>
        </w:rPr>
        <w:t xml:space="preserve">Scenario Two: Residential Targeting During Travel.</w:t>
      </w:r>
      <w:r>
        <w:t xml:space="preserve"> Mr. MacQuarrie travels for business, leaving his spouse alone in a home with no security system. Someone surveilling the residence notes the pattern and strikes when the home is occupied by a single person rather than two. Without an alarm system, cameras, or monitored security, there is no deterrent and no automatic notification to law enforcement. The spouse's safety depends entirely on the intruder's intent and the randomness of when a neighbor might notice something unusual. Even if the spouse can call 911, emergency response time becomes the critical factor rather than immediate alarm company notification with live monitoring confirming an intrusion in progress.</w:t>
      </w:r>
    </w:p>
    <w:p>
      <w:pPr>
        <w:spacing w:after="350"/>
      </w:pPr>
      <w:r>
        <w:rPr>
          <w:b/>
          <w:bCs/>
        </w:rPr>
        <w:t xml:space="preserve">Scenario Three: Targeted Surveillance and Pattern Exploitation.</w:t>
      </w:r>
      <w:r>
        <w:t xml:space="preserve"> Anti-nuclear activists or other adversaries observe that Mr. MacQuarrie follows predictable patterns. Same commute route. Same approximate departure times. Same parking location. Regular attendance at announced industry events. These patterns, which are normal for anyone without threat awareness training, become vulnerabilities when you're the public face of controversial nuclear operations. An adversary can predict where Mr. MacQuarrie will be and when, enabling everything from planned confrontations to more serious targeting. The absence of pattern variation, route randomization, or counter-surveillance awareness makes this surveillance both easy to conduct and reliably actionable.</w:t>
      </w:r>
    </w:p>
    <w:p>
      <w:pPr>
        <w:spacing w:after="400"/>
      </w:pPr>
      <w:r>
        <w:t xml:space="preserve">These scenarios are not speculative fiction. They represent how documented threats translate into real-world risk when protective measures are absent. The probability of these scenarios occurring may be debatable, but their possibility is not—and the current security posture does nothing to prevent them.</w:t>
      </w:r>
    </w:p>
    <w:p>
      <w:pPr>
        <w:pStyle w:val="Heading2"/>
      </w:pPr>
      <w:r>
        <w:t xml:space="preserve">The Mathematical Reality</w:t>
      </w:r>
    </w:p>
    <w:p>
      <w:pPr>
        <w:spacing w:after="350"/>
      </w:pPr>
      <w:r>
        <w:t xml:space="preserve">Using the ASIS International General Design Guidelines for Risk Assessment standard, this assessment calculates risk as the product of three factors: Threat probability, Vulnerability severity, and Impact consequences. Each factor is scored on a 1-5 scale, with the product determining overall risk.</w:t>
      </w:r>
    </w:p>
    <w:p>
      <w:pPr>
        <w:spacing w:before="300" w:after="300"/>
        <w:jc w:val="center"/>
      </w:pPr>
      <w:r>
        <w:rPr>
          <w:b/>
          <w:bCs/>
          <w:sz w:val="28"/>
          <w:szCs w:val="28"/>
        </w:rPr>
        <w:t xml:space="preserve">Threat (4/5) × Vulnerability (4/5) × Impact (4/5) = 64/125</w:t>
      </w:r>
    </w:p>
    <w:p>
      <w:pPr>
        <w:spacing w:after="350"/>
      </w:pPr>
      <w:r>
        <w:rPr>
          <w:b/>
          <w:bCs/>
        </w:rPr>
        <w:t xml:space="preserve">This 64/125 score places Mr. MacQuarrie in the HIGH risk category.</w:t>
      </w:r>
      <w:r>
        <w:t xml:space="preserve"> To provide context: a typical C-suite executive in a non-controversial industry with standard executive protection measures would score in the 20-35 range. Mr. MacQuarrie's score is nearly double that baseline, driven by the unique combination of nuclear industry exposure and complete absence of protective controls.</w:t>
      </w:r>
    </w:p>
    <w:p>
      <w:pPr>
        <w:spacing w:after="350"/>
      </w:pPr>
      <w:r>
        <w:t xml:space="preserve">The Threat score of 4/5 reflects documented opposition from organized activist groups, labor tensions creating insider threat potential, and general opportunistic criminal risk for high-net-worth individuals. This is not speculation—we have names of activist organizations, documented strike mandates, and public visibility that makes targeting feasible.</w:t>
      </w:r>
    </w:p>
    <w:p>
      <w:pPr>
        <w:spacing w:after="350"/>
      </w:pPr>
      <w:r>
        <w:t xml:space="preserve">The Vulnerability score of 4/5 reflects the near-complete absence of protective measures. The unlocked office door, zero residential security, lack of executive protection training, and predictable patterns all contribute to this severe vulnerability rating. A score of 5/5 would represent truly zero security; Mr. MacQuarrie avoids this only because BWXT presumably has some baseline facility security and he is not completely without any awareness of threats.</w:t>
      </w:r>
    </w:p>
    <w:p>
      <w:pPr>
        <w:spacing w:after="400"/>
      </w:pPr>
      <w:r>
        <w:t xml:space="preserve">The Impact score of 4/5 reflects the potential for serious personal harm, family trauma, corporate disruption, and reputational damage. A successful attack could result in injury or death, long-term psychological impact on family members, significant media coverage, legal liability questions, and disruption to BWXT's commercial operations. The Impact score stops short of 5/5 because Mr. MacQuarrie is not a political figure whose targeting would have geopolitical implications, but the consequences of an incident would nevertheless be severe and far-reaching.</w:t>
      </w:r>
    </w:p>
    <w:p>
      <w:r>
        <w:br w:type="page"/>
      </w:r>
    </w:p>
    <w:p>
      <w:pPr>
        <w:pStyle w:val="Heading2"/>
      </w:pPr>
      <w:r>
        <w:t xml:space="preserve">The Path Forward</w:t>
      </w:r>
    </w:p>
    <w:p>
      <w:pPr>
        <w:spacing w:after="350"/>
      </w:pPr>
      <w:r>
        <w:t xml:space="preserve">The recommended controls are neither exotic nor excessive. They represent baseline executive protection measures that would be considered standard for someone at Mr. MacQuarrie's level facing documented threats. The implementation roadmap spans 90 days and requires an investment of approximately $8,500-$25,000—modest compared to executive compensation and trivial compared to the potential consequences of an incident.</w:t>
      </w:r>
    </w:p>
    <w:p>
      <w:pPr>
        <w:spacing w:after="350"/>
      </w:pPr>
      <w:r>
        <w:rPr>
          <w:b/>
          <w:bCs/>
        </w:rPr>
        <w:t xml:space="preserve">Priority 1 must be executed within 48 hours: install a keyed deadbolt on the executive office door.</w:t>
      </w:r>
      <w:r>
        <w:t xml:space="preserve"> This single control, costing perhaps $500-$2,000 depending on the locking mechanism selected, immediately addresses the most severe vulnerability. It provides a physical barrier that creates separation in a confrontation scenario, enables the executive to control access during sensitive conversations, and signals to potential adversaries that the "soft target" status is changing. The urgency is not alarmist—it reflects the reality that an unlocked office in the context of documented labor tensions is an unacceptable risk.</w:t>
      </w:r>
    </w:p>
    <w:p>
      <w:pPr>
        <w:spacing w:after="350"/>
      </w:pPr>
      <w:r>
        <w:rPr>
          <w:b/>
          <w:bCs/>
        </w:rPr>
        <w:t xml:space="preserve">Priority 2 establishes residential security within 30 days.</w:t>
      </w:r>
      <w:r>
        <w:t xml:space="preserve"> A monitored alarm system with entry sensors, security cameras covering key access points, motion detection for nighttime protection, and professional 24/7 monitoring transforms the residence from a completely soft target to a hardened location with detection and response capabilities. The $5,000-$15,000 investment provides coverage not just for Mr. MacQuarrie but for his spouse, who faces identical risks whenever he travels. The psychological benefit of knowing that any intrusion attempt triggers immediate notification and professional response should not be underestimated.</w:t>
      </w:r>
    </w:p>
    <w:p>
      <w:pPr>
        <w:spacing w:after="350"/>
      </w:pPr>
      <w:r>
        <w:rPr>
          <w:b/>
          <w:bCs/>
        </w:rPr>
        <w:t xml:space="preserve">Priority 3 delivers executive protection training within 60 days.</w:t>
      </w:r>
      <w:r>
        <w:t xml:space="preserve"> This training covers threat awareness, surveillance detection, travel security protocols, emergency response procedures, and digital security. The goal is not to make Mr. MacQuarrie paranoid but to make him informed. An executive who can recognize when the same vehicle appears behind him three days in a row, who varies his routes and departure times as routine practice, who knows how to report concerning communications, and who has established emergency procedures is dramatically harder to successfully target than someone operating without this awareness.</w:t>
      </w:r>
    </w:p>
    <w:p>
      <w:pPr>
        <w:spacing w:after="350"/>
      </w:pPr>
      <w:r>
        <w:rPr>
          <w:b/>
          <w:bCs/>
        </w:rPr>
        <w:t xml:space="preserve">Priority 4 implements pattern disruption immediately at zero cost.</w:t>
      </w:r>
      <w:r>
        <w:t xml:space="preserve"> Varying commute routes, randomizing departure times by 30 minutes, alternating parking locations, and limiting real-time social media posting are simple operational changes that significantly increase the difficulty of surveillance and targeting. Predictability is the ally of anyone conducting surveillance; disrupting that predictability forces adversaries to invest significantly more time and resources or abandon their plans entirely.</w:t>
      </w:r>
    </w:p>
    <w:p>
      <w:pPr>
        <w:spacing w:after="400"/>
      </w:pPr>
      <w:r>
        <w:rPr>
          <w:b/>
          <w:bCs/>
        </w:rPr>
        <w:t xml:space="preserve">Priority 5 coordinates with corporate security within 90 days.</w:t>
      </w:r>
      <w:r>
        <w:t xml:space="preserve"> This includes establishing threat reporting mechanisms, training the executive assistant on security awareness, implementing visitor management protocols for the executive floor, and installing a panic button or duress code for emergency situations. These organizational measures ensure that individual protection controls integrate with broader corporate security capabilities.</w:t>
      </w:r>
    </w:p>
    <w:p>
      <w:pPr>
        <w:pStyle w:val="Heading2"/>
      </w:pPr>
      <w:r>
        <w:t xml:space="preserve">The Bottom Line</w:t>
      </w:r>
    </w:p>
    <w:p>
      <w:pPr>
        <w:spacing w:after="350"/>
      </w:pPr>
      <w:r>
        <w:t xml:space="preserve">The current security posture is unsustainable. Mr. MacQuarrie faces documented threats from multiple categories of adversaries while operating with essentially zero protective measures. The confluence of nuclear industry controversy, public visibility, labor tensions, and complete absence of executive protection creates a risk profile that demands immediate attention.</w:t>
      </w:r>
    </w:p>
    <w:p>
      <w:pPr>
        <w:spacing w:after="350"/>
      </w:pPr>
      <w:r>
        <w:t xml:space="preserve">The vulnerability landscape is stark: an office that anyone can enter, a home with no security system, predictable patterns that enable surveillance, and no training or protocols for threat recognition or response. These vulnerabilities are not debatable—they exist as documented facts that create exploitable opportunities for adversaries.</w:t>
      </w:r>
    </w:p>
    <w:p>
      <w:pPr>
        <w:spacing w:after="350"/>
      </w:pPr>
      <w:r>
        <w:t xml:space="preserve">The potential consequences are severe: physical harm to the principal or family members, psychological trauma, corporate disruption, legal liability, and reputational damage. The specific scenario is unpredictable, but the vulnerability to attack is clear.</w:t>
      </w:r>
    </w:p>
    <w:p>
      <w:pPr>
        <w:spacing w:after="350"/>
      </w:pPr>
      <w:r>
        <w:rPr>
          <w:b/>
          <w:bCs/>
        </w:rPr>
        <w:t xml:space="preserve">The office door lock must be installed this week.</w:t>
      </w:r>
      <w:r>
        <w:t xml:space="preserve"> The residential security system must be operational within 30 days. Executive protection training must be completed within 60 days. Pattern disruption should begin immediately. Corporate security coordination should be complete within 90 days.</w:t>
      </w:r>
    </w:p>
    <w:p>
      <w:pPr>
        <w:spacing w:after="350"/>
      </w:pPr>
      <w:r>
        <w:t xml:space="preserve">These recommendations are not excessive—they represent baseline prudence for someone in Mr. MacQuarrie's position facing documented threats. The total investment is modest. The urgency is warranted. The current trajectory is untenable.</w:t>
      </w:r>
    </w:p>
    <w:p>
      <w:pPr>
        <w:spacing w:after="600"/>
      </w:pPr>
      <w:r>
        <w:t xml:space="preserve">The question is not whether protective measures are justified. The question is how quickly they can be implemented.</w:t>
      </w:r>
    </w:p>
    <w:p>
      <w:pPr>
        <w:spacing w:before="600" w:after="400"/>
      </w:pPr>
      <w:r>
        <w:rPr>
          <w:sz w:val="28"/>
          <w:szCs w:val="28"/>
        </w:rPr>
        <w:t xml:space="preserve">* * *</w:t>
      </w:r>
    </w:p>
    <w:p>
      <w:pPr>
        <w:spacing w:before="400" w:after="300"/>
      </w:pPr>
      <w:r>
        <w:rPr>
          <w:i/>
          <w:iCs/>
        </w:rPr>
        <w:t xml:space="preserve">This executive summary provides strategic context for the detailed technical assessment. For specific vulnerability findings, control specifications, implementation procedures, and cost breakdowns, please reference the comprehensive Executive Protection Assessment report.</w:t>
      </w:r>
    </w:p>
    <w:p>
      <w:pPr>
        <w:spacing w:before="600" w:after="200"/>
      </w:pPr>
      <w:r>
        <w:rPr>
          <w:b/>
          <w:bCs/>
          <w:sz w:val="26"/>
          <w:szCs w:val="26"/>
        </w:rPr>
        <w:t xml:space="preserve">ABOUT RISKFIXER</w:t>
      </w:r>
    </w:p>
    <w:p>
      <w:pPr>
        <w:spacing w:after="300"/>
      </w:pPr>
      <w:r>
        <w:t xml:space="preserve">RiskFixer LLC provides mathematically rigorous physical security assessments using the ASIS International GDL-RA standard. Our assessments transform subjective security opinions into audit-defensible risk calculations, enabling organizations to make informed decisions about security investments.</w:t>
      </w:r>
    </w:p>
    <w:p>
      <w:r>
        <w:t xml:space="preserve">www.riskfixer.com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300"/>
      <w:outlineLvl w:val="0"/>
    </w:pPr>
    <w:rPr>
      <w:rFonts w:ascii="Arial" w:cs="Arial" w:eastAsia="Arial" w:hAnsi="Arial"/>
      <w:b/>
      <w:bCs/>
      <w:color w:val="1F4E78"/>
      <w:sz w:val="36"/>
      <w:szCs w:val="36"/>
    </w:rPr>
  </w:style>
  <w:style w:type="paragraph" w:styleId="Heading2">
    <w:name w:val="Heading 2"/>
    <w:basedOn w:val="Normal"/>
    <w:next w:val="Normal"/>
    <w:qFormat/>
    <w:pPr>
      <w:spacing w:before="360" w:after="240"/>
      <w:outlineLvl w:val="1"/>
    </w:pPr>
    <w:rPr>
      <w:rFonts w:ascii="Arial" w:cs="Arial" w:eastAsia="Arial" w:hAnsi="Arial"/>
      <w:b/>
      <w:bCs/>
      <w:color w:val="2E75B5"/>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7962f78360803768a0b77dc971fd4ab0633d37a5.jp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2025-11-28T22:00:44.351Z</dcterms:created>
  <dcterms:modified xsi:type="dcterms:W3CDTF">2025-11-28T22:00:44.352Z</dcterms:modified>
</cp:coreProperties>
</file>

<file path=docProps/custom.xml><?xml version="1.0" encoding="utf-8"?>
<Properties xmlns="http://schemas.openxmlformats.org/officeDocument/2006/custom-properties" xmlns:vt="http://schemas.openxmlformats.org/officeDocument/2006/docPropsVTypes"/>
</file>