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commentRangeStart w:id="1"/>
      <w:r w:rsidR="005A4C15">
        <w:rPr>
          <w:b/>
        </w:rPr>
        <w:t>Stephen W. Ragsdale</w:t>
      </w:r>
      <w:commentRangeEnd w:id="0"/>
      <w:r w:rsidR="008E7561">
        <w:rPr>
          <w:rStyle w:val="CommentReference"/>
          <w:rFonts w:ascii="Calibri" w:hAnsi="Calibri"/>
        </w:rPr>
        <w:commentReference w:id="0"/>
      </w:r>
      <w:r w:rsidR="005A4C15">
        <w:rPr>
          <w:b/>
        </w:rPr>
        <w:t xml:space="preserve">, </w:t>
      </w:r>
      <w:commentRangeEnd w:id="1"/>
      <w:r w:rsidR="00945574">
        <w:rPr>
          <w:rStyle w:val="CommentReference"/>
          <w:rFonts w:ascii="Calibri" w:hAnsi="Calibri"/>
        </w:rPr>
        <w:commentReference w:id="1"/>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proofErr w:type="spellStart"/>
      <w:r w:rsidR="00F51AEF">
        <w:rPr>
          <w:i/>
        </w:rPr>
        <w:t>Methanococcus</w:t>
      </w:r>
      <w:proofErr w:type="spellEnd"/>
      <w:r w:rsidR="00F51AEF">
        <w:rPr>
          <w:i/>
        </w:rPr>
        <w:t xml:space="preserve">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proofErr w:type="spellStart"/>
      <w:r>
        <w:rPr>
          <w:i/>
        </w:rPr>
        <w:t>Methanococcus</w:t>
      </w:r>
      <w:proofErr w:type="spellEnd"/>
      <w:r>
        <w:rPr>
          <w:i/>
        </w:rPr>
        <w:t xml:space="preserve">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28F52650"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2"/>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156A1D">
        <w:t xml:space="preserve"> though much work remains to fully map this complex network through close integration of experimental and computational efforts</w:t>
      </w:r>
      <w:r w:rsidR="000C35D5">
        <w:t>.</w:t>
      </w:r>
      <w:r w:rsidR="002E4EC0">
        <w:t xml:space="preserve"> </w:t>
      </w:r>
      <w:commentRangeEnd w:id="2"/>
      <w:r w:rsidR="009A114F">
        <w:rPr>
          <w:rStyle w:val="CommentReference"/>
          <w:rFonts w:ascii="Calibri" w:hAnsi="Calibri"/>
        </w:rPr>
        <w:commentReference w:id="2"/>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commentRangeStart w:id="3"/>
      <w:r w:rsidR="00C22C00">
        <w:t>these</w:t>
      </w:r>
      <w:commentRangeEnd w:id="3"/>
      <w:r w:rsidR="001C6579">
        <w:rPr>
          <w:rStyle w:val="CommentReference"/>
          <w:rFonts w:ascii="Calibri" w:hAnsi="Calibri"/>
        </w:rPr>
        <w:commentReference w:id="3"/>
      </w:r>
      <w:r w:rsidR="00C22C00">
        <w:t xml:space="preserv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223676"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1A85CB5D"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w:t>
      </w:r>
      <w:proofErr w:type="spellStart"/>
      <w:r w:rsidR="00A86F5B">
        <w:t>freeEnergy</w:t>
      </w:r>
      <w:proofErr w:type="spellEnd"/>
      <w:r w:rsidR="00A86F5B">
        <w:t>” numerical array with length equal that of the “reactions” array. For calculating overall free energy of a flux distribution, we created an “</w:t>
      </w:r>
      <w:proofErr w:type="spellStart"/>
      <w:r w:rsidR="00A86F5B">
        <w:t>optimizeThermoModel.m</w:t>
      </w:r>
      <w:proofErr w:type="spellEnd"/>
      <w:r w:rsidR="00A86F5B">
        <w:t>” code (</w:t>
      </w:r>
      <w:r w:rsidR="00D52762">
        <w:t>Supplementary Materials</w:t>
      </w:r>
      <w:r w:rsidR="00A86F5B">
        <w:t xml:space="preserve">) that </w:t>
      </w:r>
      <w:r w:rsidR="001A5358">
        <w:t xml:space="preserve">is built around </w:t>
      </w:r>
      <w:r w:rsidR="00A86F5B">
        <w:t>the “</w:t>
      </w:r>
      <w:proofErr w:type="spellStart"/>
      <w:r w:rsidR="00A86F5B">
        <w:t>optimizeCbModel.m</w:t>
      </w:r>
      <w:proofErr w:type="spellEnd"/>
      <w:r w:rsidR="00A86F5B">
        <w:t xml:space="preserve">” code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223676"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223676"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223676"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w:t>
      </w:r>
      <w:proofErr w:type="spellStart"/>
      <w:r>
        <w:t>Kbase</w:t>
      </w:r>
      <w:proofErr w:type="spellEnd"/>
      <w:r>
        <w:t xml:space="preserve">, but also include crosslinks to </w:t>
      </w:r>
      <w:proofErr w:type="spellStart"/>
      <w:r>
        <w:t>ChEBI</w:t>
      </w:r>
      <w:proofErr w:type="spellEnd"/>
      <w:r>
        <w:t xml:space="preserve">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12062344"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codes for simulating model growth on different media and gene knockout phenotypes (Supplementary Materials).We have also made our codes and reconstruction available on </w:t>
      </w:r>
      <w:proofErr w:type="spellStart"/>
      <w:r>
        <w:t>Github</w:t>
      </w:r>
      <w:proofErr w:type="spellEnd"/>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4"/>
      <w:r w:rsidR="009C1D8D">
        <w:t xml:space="preserve">econstruction </w:t>
      </w:r>
      <w:r>
        <w:t>s</w:t>
      </w:r>
      <w:r w:rsidR="00920B05">
        <w:t>tatistics</w:t>
      </w:r>
      <w:commentRangeEnd w:id="4"/>
      <w:r w:rsidR="008270DA" w:rsidRPr="00FA2B14">
        <w:rPr>
          <w:rStyle w:val="CommentReference"/>
          <w:rFonts w:ascii="Calibri" w:eastAsia="Calibri" w:hAnsi="Calibri"/>
          <w:b w:val="0"/>
          <w:bCs w:val="0"/>
          <w:color w:val="auto"/>
        </w:rPr>
        <w:commentReference w:id="4"/>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w:t>
      </w:r>
      <w:proofErr w:type="spellStart"/>
      <w:r w:rsidR="00111FA8">
        <w:t>HdrABC</w:t>
      </w:r>
      <w:proofErr w:type="spellEnd"/>
      <w:r w:rsidR="00111FA8">
        <w:t xml:space="preserve"> complex that lacks </w:t>
      </w:r>
      <w:proofErr w:type="spellStart"/>
      <w:r w:rsidR="00111FA8">
        <w:t>heme</w:t>
      </w:r>
      <w:proofErr w:type="spellEnd"/>
      <w:r w:rsidR="00111FA8">
        <w:t xml:space="preserve">, but contains </w:t>
      </w:r>
      <w:proofErr w:type="spellStart"/>
      <w:r w:rsidR="00111FA8">
        <w:t>flavin</w:t>
      </w:r>
      <w:proofErr w:type="spellEnd"/>
      <w:r w:rsidR="00111FA8">
        <w:t xml:space="preserve">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r w:rsidR="00316621">
        <w:rPr>
          <w:rStyle w:val="CommentReference"/>
          <w:rFonts w:ascii="Calibri" w:hAnsi="Calibri"/>
        </w:rPr>
        <w:commentReference w:id="5"/>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B8C788D"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methane produced</w:t>
      </w:r>
      <w:r w:rsidR="00A77DDF">
        <w:t xml:space="preserve"> (Figure 4)</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3CC300CF"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w:t>
      </w:r>
      <w:proofErr w:type="spellStart"/>
      <w:r w:rsidR="003D5830">
        <w:t>methanofuran</w:t>
      </w:r>
      <w:proofErr w:type="spellEnd"/>
      <w:r w:rsidR="003D5830">
        <w:t>,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completely </w:t>
      </w:r>
      <w:r w:rsidR="00BF0803">
        <w:lastRenderedPageBreak/>
        <w:t>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6"/>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commentRangeEnd w:id="6"/>
      <w:r w:rsidR="009F44C4">
        <w:rPr>
          <w:rStyle w:val="CommentReference"/>
          <w:rFonts w:ascii="Calibri" w:hAnsi="Calibri"/>
        </w:rPr>
        <w:commentReference w:id="6"/>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65D9F5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7"/>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7"/>
      <w:r w:rsidR="00616AC1">
        <w:rPr>
          <w:rStyle w:val="CommentReference"/>
          <w:rFonts w:ascii="Calibri" w:hAnsi="Calibri"/>
        </w:rPr>
        <w:commentReference w:id="7"/>
      </w:r>
      <w:r w:rsidR="00F42364">
        <w:t xml:space="preserve">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proofErr w:type="gramStart"/>
      <w:r w:rsidR="00BD779D">
        <w:t>,</w:t>
      </w:r>
      <w:proofErr w:type="gramEnd"/>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w:t>
      </w:r>
      <w:proofErr w:type="spellStart"/>
      <w:r w:rsidR="00946BFB">
        <w:t>formylmethanofuran</w:t>
      </w:r>
      <w:proofErr w:type="spellEnd"/>
      <w:r w:rsidR="00946BFB">
        <w:t xml:space="preserve">,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lastRenderedPageBreak/>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proofErr w:type="spellStart"/>
                  <w:r w:rsidRPr="00B55FE2">
                    <w:rPr>
                      <w:rFonts w:ascii="Calibri" w:eastAsia="Times New Roman" w:hAnsi="Calibri"/>
                      <w:b/>
                      <w:bCs/>
                      <w:i/>
                      <w:iCs/>
                      <w:color w:val="000000"/>
                      <w:sz w:val="22"/>
                    </w:rPr>
                    <w:t>Methanococcus</w:t>
                  </w:r>
                  <w:proofErr w:type="spellEnd"/>
                  <w:r w:rsidRPr="00B55FE2">
                    <w:rPr>
                      <w:rFonts w:ascii="Calibri" w:eastAsia="Times New Roman" w:hAnsi="Calibri"/>
                      <w:b/>
                      <w:bCs/>
                      <w:i/>
                      <w:iCs/>
                      <w:color w:val="000000"/>
                      <w:sz w:val="22"/>
                    </w:rPr>
                    <w:t xml:space="preserve">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w:t>
      </w:r>
      <w:proofErr w:type="spellStart"/>
      <w:r w:rsidR="00EF728B">
        <w:rPr>
          <w:sz w:val="20"/>
          <w:szCs w:val="20"/>
        </w:rPr>
        <w:t>methanofuran</w:t>
      </w:r>
      <w:proofErr w:type="spellEnd"/>
      <w:r w:rsidR="00EF728B">
        <w:rPr>
          <w:sz w:val="20"/>
          <w:szCs w:val="20"/>
        </w:rPr>
        <w:t xml:space="preserve">; </w:t>
      </w:r>
      <w:proofErr w:type="spellStart"/>
      <w:r w:rsidR="00212107">
        <w:rPr>
          <w:sz w:val="20"/>
          <w:szCs w:val="20"/>
        </w:rPr>
        <w:t>HS</w:t>
      </w:r>
      <w:r w:rsidR="00EF728B">
        <w:rPr>
          <w:sz w:val="20"/>
          <w:szCs w:val="20"/>
        </w:rPr>
        <w:t>CoM</w:t>
      </w:r>
      <w:proofErr w:type="spellEnd"/>
      <w:r w:rsidR="00EF728B">
        <w:rPr>
          <w:sz w:val="20"/>
          <w:szCs w:val="20"/>
        </w:rPr>
        <w:t xml:space="preserve">, coenzyme M; </w:t>
      </w:r>
      <w:proofErr w:type="spellStart"/>
      <w:r w:rsidR="00212107">
        <w:rPr>
          <w:sz w:val="20"/>
          <w:szCs w:val="20"/>
        </w:rPr>
        <w:t>HS</w:t>
      </w:r>
      <w:r w:rsidR="00EF728B">
        <w:rPr>
          <w:sz w:val="20"/>
          <w:szCs w:val="20"/>
        </w:rPr>
        <w:t>CoB</w:t>
      </w:r>
      <w:proofErr w:type="spellEnd"/>
      <w:r w:rsidR="00EF728B">
        <w:rPr>
          <w:sz w:val="20"/>
          <w:szCs w:val="20"/>
        </w:rPr>
        <w:t>,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 xml:space="preserve">Hypothetical pathway for </w:t>
      </w:r>
      <w:proofErr w:type="spellStart"/>
      <w:r w:rsidR="00800E69">
        <w:rPr>
          <w:sz w:val="20"/>
          <w:szCs w:val="20"/>
        </w:rPr>
        <w:t>a</w:t>
      </w:r>
      <w:r w:rsidRPr="001426E4">
        <w:rPr>
          <w:sz w:val="20"/>
          <w:szCs w:val="20"/>
        </w:rPr>
        <w:t>ceticlastic</w:t>
      </w:r>
      <w:proofErr w:type="spellEnd"/>
      <w:r w:rsidRPr="001426E4">
        <w:rPr>
          <w:sz w:val="20"/>
          <w:szCs w:val="20"/>
        </w:rPr>
        <w:t xml:space="preserve">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2C635F" w:rsidRDefault="002C635F">
      <w:pPr>
        <w:pStyle w:val="CommentText"/>
      </w:pPr>
      <w:r>
        <w:rPr>
          <w:rStyle w:val="CommentReference"/>
        </w:rPr>
        <w:annotationRef/>
      </w:r>
      <w:r>
        <w:t xml:space="preserve">Pending what Steve thinks; in any case, I’m deeply appreciative of his suggested edits and have strived to incorporate most of them. </w:t>
      </w:r>
    </w:p>
  </w:comment>
  <w:comment w:id="1" w:author="Nathan Price" w:date="2016-05-19T09:30:00Z" w:initials="NP">
    <w:p w14:paraId="4999596B" w14:textId="1AB9F2D9" w:rsidR="002C635F" w:rsidRDefault="002C635F">
      <w:pPr>
        <w:pStyle w:val="CommentText"/>
      </w:pPr>
      <w:r>
        <w:rPr>
          <w:rStyle w:val="CommentReference"/>
        </w:rPr>
        <w:annotationRef/>
      </w:r>
      <w:r>
        <w:t>Yes, Steve – happy to include you (my preference) or not, as you decide.  I think you deserve it based on some really good edits/comments that helped the paper a lot, as well as so much leadership over the past few years that led to the whole thing.</w:t>
      </w:r>
    </w:p>
  </w:comment>
  <w:comment w:id="2" w:author="John Leigh" w:date="2016-05-19T09:32:00Z" w:initials="JL">
    <w:p w14:paraId="0A393E0A" w14:textId="02F64299" w:rsidR="002C635F" w:rsidRDefault="002C635F">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2C635F" w:rsidRDefault="002C635F">
      <w:pPr>
        <w:pStyle w:val="CommentText"/>
      </w:pPr>
    </w:p>
    <w:p w14:paraId="310A0BDC" w14:textId="29223AF3" w:rsidR="002C635F" w:rsidRDefault="002C635F">
      <w:pPr>
        <w:pStyle w:val="CommentText"/>
      </w:pPr>
      <w:r w:rsidRPr="00DD6CD3">
        <w:rPr>
          <w:b/>
        </w:rPr>
        <w:t>NP</w:t>
      </w:r>
      <w:r>
        <w:t>:  Yes, we should make these distinctions crystal clear in the cover letter.  The first reconstruction had many serious deficiencies.</w:t>
      </w:r>
    </w:p>
    <w:p w14:paraId="2512EC5E" w14:textId="77777777" w:rsidR="002C635F" w:rsidRDefault="002C635F">
      <w:pPr>
        <w:pStyle w:val="CommentText"/>
      </w:pPr>
    </w:p>
    <w:p w14:paraId="0BBFA140" w14:textId="4AFC25D8" w:rsidR="002C635F" w:rsidRDefault="002C635F">
      <w:pPr>
        <w:pStyle w:val="CommentText"/>
        <w:rPr>
          <w:b/>
        </w:rPr>
      </w:pPr>
      <w:r>
        <w:rPr>
          <w:b/>
        </w:rPr>
        <w:t xml:space="preserve">MR: Got it; I’m inclined to err on the kind side here and explain the deficiencies in the cover letter. </w:t>
      </w:r>
    </w:p>
    <w:p w14:paraId="5DC8F046" w14:textId="77777777" w:rsidR="002C635F" w:rsidRDefault="002C635F">
      <w:pPr>
        <w:pStyle w:val="CommentText"/>
        <w:rPr>
          <w:b/>
        </w:rPr>
      </w:pPr>
    </w:p>
    <w:p w14:paraId="566EB944" w14:textId="78556D66" w:rsidR="002C635F" w:rsidRPr="00C45463" w:rsidRDefault="002C635F">
      <w:pPr>
        <w:pStyle w:val="CommentText"/>
        <w:rPr>
          <w:b/>
        </w:rPr>
      </w:pPr>
      <w:r>
        <w:rPr>
          <w:b/>
        </w:rPr>
        <w:t xml:space="preserve">NP:  </w:t>
      </w:r>
      <w:r w:rsidRPr="008F7026">
        <w:t>I agree</w:t>
      </w:r>
    </w:p>
  </w:comment>
  <w:comment w:id="3" w:author="Nathan Price" w:date="2016-05-19T09:33:00Z" w:initials="NP">
    <w:p w14:paraId="4D8683F5" w14:textId="48D1E5BC" w:rsidR="002C635F" w:rsidRDefault="002C635F">
      <w:pPr>
        <w:pStyle w:val="CommentText"/>
      </w:pPr>
      <w:r>
        <w:rPr>
          <w:rStyle w:val="CommentReference"/>
        </w:rPr>
        <w:annotationRef/>
      </w:r>
      <w:r>
        <w:t>I want to be a bit careful not to over claim.  I know you developed new code to do this, but the reviewers will know that free energy drop across the whole bioconversion process of an organism must be negative etc. and so I don’t want to emphasize novelty overly much here…just state the approach we use and how it was done</w:t>
      </w:r>
    </w:p>
    <w:p w14:paraId="0A8EB10B" w14:textId="77777777" w:rsidR="002C635F" w:rsidRDefault="002C635F">
      <w:pPr>
        <w:pStyle w:val="CommentText"/>
      </w:pPr>
    </w:p>
    <w:p w14:paraId="14000724" w14:textId="001834F8" w:rsidR="002C635F" w:rsidRDefault="002C635F">
      <w:pPr>
        <w:pStyle w:val="CommentText"/>
        <w:rPr>
          <w:b/>
        </w:rPr>
      </w:pPr>
      <w:r>
        <w:rPr>
          <w:b/>
        </w:rPr>
        <w:t>MR: I went ahead and removed the section from results; there’s a blurb in “Methods” now and another in “Discussion” that suggests how it might be useful down the road for strain design</w:t>
      </w:r>
    </w:p>
    <w:p w14:paraId="09D264FF" w14:textId="77777777" w:rsidR="002C635F" w:rsidRDefault="002C635F">
      <w:pPr>
        <w:pStyle w:val="CommentText"/>
        <w:rPr>
          <w:b/>
        </w:rPr>
      </w:pPr>
    </w:p>
    <w:p w14:paraId="7B3403F9" w14:textId="6119DACD" w:rsidR="002C635F" w:rsidRPr="008E7561" w:rsidRDefault="002C635F">
      <w:pPr>
        <w:pStyle w:val="CommentText"/>
        <w:rPr>
          <w:b/>
        </w:rPr>
      </w:pPr>
      <w:r>
        <w:rPr>
          <w:b/>
        </w:rPr>
        <w:t xml:space="preserve">NP:  </w:t>
      </w:r>
      <w:r w:rsidRPr="008F7026">
        <w:t>Sounds good.</w:t>
      </w:r>
      <w:r>
        <w:t xml:space="preserve">  I agree with this strategy.</w:t>
      </w:r>
    </w:p>
  </w:comment>
  <w:comment w:id="4" w:author="Administrator" w:date="2016-05-16T15:27:00Z" w:initials="A">
    <w:p w14:paraId="7949D5C1" w14:textId="5FAA36C5" w:rsidR="002C635F" w:rsidRDefault="002C635F">
      <w:pPr>
        <w:pStyle w:val="CommentText"/>
      </w:pPr>
      <w:r>
        <w:rPr>
          <w:rStyle w:val="CommentReference"/>
        </w:rPr>
        <w:annotationRef/>
      </w:r>
      <w:r>
        <w:t xml:space="preserve">Note to myself to double check all these numbers and those in Table 1 before submitting. </w:t>
      </w:r>
    </w:p>
  </w:comment>
  <w:comment w:id="5" w:author="Stephen Ragsdale" w:date="2016-05-23T13:55:00Z" w:initials="SR">
    <w:p w14:paraId="70FF9B43" w14:textId="1C377316" w:rsidR="002C635F" w:rsidRDefault="002C635F">
      <w:pPr>
        <w:pStyle w:val="CommentText"/>
      </w:pPr>
      <w:r>
        <w:rPr>
          <w:rStyle w:val="CommentReference"/>
        </w:rPr>
        <w:annotationRef/>
      </w:r>
      <w:r>
        <w:t xml:space="preserve">I think that the equations for the two reactions should be shown here. </w:t>
      </w:r>
    </w:p>
    <w:p w14:paraId="39084415" w14:textId="77777777" w:rsidR="002C635F" w:rsidRDefault="002C635F">
      <w:pPr>
        <w:pStyle w:val="CommentText"/>
      </w:pPr>
    </w:p>
    <w:p w14:paraId="107CBAF2" w14:textId="3A917BBE" w:rsidR="002C635F" w:rsidRDefault="002C635F">
      <w:pPr>
        <w:pStyle w:val="CommentText"/>
        <w:rPr>
          <w:b/>
        </w:rPr>
      </w:pPr>
      <w:r>
        <w:rPr>
          <w:b/>
        </w:rPr>
        <w:t xml:space="preserve">MR: I partially agree; putting the first reaction here makes sense, as it’s the actual reaction resulting from the described pathway. But the second reaction is a different animal; not really the </w:t>
      </w:r>
      <w:proofErr w:type="spellStart"/>
      <w:r>
        <w:rPr>
          <w:b/>
        </w:rPr>
        <w:t>HdrDE</w:t>
      </w:r>
      <w:proofErr w:type="spellEnd"/>
      <w:r>
        <w:rPr>
          <w:b/>
        </w:rPr>
        <w:t xml:space="preserve">, but a hypothetical version of </w:t>
      </w:r>
      <w:proofErr w:type="spellStart"/>
      <w:r>
        <w:rPr>
          <w:b/>
        </w:rPr>
        <w:t>HdrABC</w:t>
      </w:r>
      <w:proofErr w:type="spellEnd"/>
      <w:r>
        <w:rPr>
          <w:b/>
        </w:rPr>
        <w:t xml:space="preserve"> where I’ve removed bifurcation. </w:t>
      </w:r>
    </w:p>
    <w:p w14:paraId="4F2F7C5E" w14:textId="77777777" w:rsidR="002C635F" w:rsidRDefault="002C635F">
      <w:pPr>
        <w:pStyle w:val="CommentText"/>
        <w:rPr>
          <w:b/>
        </w:rPr>
      </w:pPr>
    </w:p>
    <w:p w14:paraId="0FE16B10" w14:textId="72558BC4" w:rsidR="002C635F" w:rsidRDefault="002C635F">
      <w:pPr>
        <w:pStyle w:val="CommentText"/>
        <w:rPr>
          <w:b/>
        </w:rPr>
      </w:pPr>
      <w:r>
        <w:rPr>
          <w:b/>
        </w:rPr>
        <w:t>How do folks feel about the altered placement I’m showing here?</w:t>
      </w:r>
    </w:p>
    <w:p w14:paraId="7CA6F38A" w14:textId="77777777" w:rsidR="002C635F" w:rsidRDefault="002C635F">
      <w:pPr>
        <w:pStyle w:val="CommentText"/>
        <w:rPr>
          <w:b/>
        </w:rPr>
      </w:pPr>
    </w:p>
    <w:p w14:paraId="4BDA15FA" w14:textId="6B68879C" w:rsidR="002C635F" w:rsidRDefault="002C635F">
      <w:pPr>
        <w:pStyle w:val="CommentText"/>
      </w:pPr>
      <w:r>
        <w:rPr>
          <w:b/>
        </w:rPr>
        <w:t xml:space="preserve">NP:  </w:t>
      </w:r>
      <w:r w:rsidRPr="008F7026">
        <w:t>I’m inclined to just show the first one in that case</w:t>
      </w:r>
    </w:p>
    <w:p w14:paraId="69473BBD" w14:textId="77777777" w:rsidR="0053307D" w:rsidRDefault="0053307D">
      <w:pPr>
        <w:pStyle w:val="CommentText"/>
      </w:pPr>
    </w:p>
    <w:p w14:paraId="1EA37F1E" w14:textId="6611CDD6" w:rsidR="0053307D" w:rsidRPr="0053307D" w:rsidRDefault="0053307D">
      <w:pPr>
        <w:pStyle w:val="CommentText"/>
        <w:rPr>
          <w:b/>
        </w:rPr>
      </w:pPr>
      <w:r>
        <w:rPr>
          <w:b/>
        </w:rPr>
        <w:t>MR: Having clarified with Nathan, I think we agree on the placement shown here</w:t>
      </w:r>
    </w:p>
  </w:comment>
  <w:comment w:id="6" w:author="Administrator" w:date="2016-05-02T15:25:00Z" w:initials="A">
    <w:p w14:paraId="78720AD7" w14:textId="67711BD2" w:rsidR="002C635F" w:rsidRDefault="002C635F">
      <w:pPr>
        <w:pStyle w:val="CommentText"/>
      </w:pPr>
      <w:r>
        <w:rPr>
          <w:rStyle w:val="CommentReference"/>
        </w:rPr>
        <w:annotationRef/>
      </w:r>
      <w:r>
        <w:t>This is a review article, but I think it’s probably the most relevant reference here</w:t>
      </w:r>
    </w:p>
  </w:comment>
  <w:comment w:id="7" w:author="Administrator" w:date="2016-05-23T13:57:00Z" w:initials="A">
    <w:p w14:paraId="112390CA" w14:textId="77777777" w:rsidR="002C635F" w:rsidRDefault="002C635F">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2C635F" w:rsidRDefault="002C635F">
      <w:pPr>
        <w:pStyle w:val="CommentText"/>
      </w:pPr>
    </w:p>
    <w:p w14:paraId="3D2DFE3E" w14:textId="77777777" w:rsidR="002C635F" w:rsidRDefault="002C635F">
      <w:pPr>
        <w:pStyle w:val="CommentText"/>
      </w:pPr>
      <w:r>
        <w:t>NP:  I do see your point, but I think this is better in the discussion.</w:t>
      </w:r>
    </w:p>
    <w:p w14:paraId="7DBA007C" w14:textId="77777777" w:rsidR="0053307D" w:rsidRDefault="0053307D">
      <w:pPr>
        <w:pStyle w:val="CommentText"/>
      </w:pPr>
    </w:p>
    <w:p w14:paraId="5332D45D" w14:textId="1A9ED7F6" w:rsidR="0053307D" w:rsidRPr="0053307D" w:rsidRDefault="0053307D">
      <w:pPr>
        <w:pStyle w:val="CommentText"/>
        <w:rPr>
          <w:b/>
        </w:rPr>
      </w:pPr>
      <w:r>
        <w:rPr>
          <w:b/>
        </w:rPr>
        <w:t>MR: Is there any concern that by moving this to discussion, I risk the MCC value being completely without context? I can see where this comes off as discussion-</w:t>
      </w:r>
      <w:proofErr w:type="spellStart"/>
      <w:r>
        <w:rPr>
          <w:b/>
        </w:rPr>
        <w:t>esque</w:t>
      </w:r>
      <w:proofErr w:type="spellEnd"/>
      <w:r>
        <w:rPr>
          <w:b/>
        </w:rPr>
        <w:t xml:space="preserve">, but to me it seems more like properly framing the results rather than drawing conclusions from them. </w:t>
      </w:r>
      <w:bookmarkStart w:id="8" w:name="_GoBack"/>
      <w:bookmarkEnd w:id="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1C480" w14:textId="77777777" w:rsidR="00223676" w:rsidRDefault="00223676" w:rsidP="00516D83">
      <w:pPr>
        <w:spacing w:after="0" w:line="240" w:lineRule="auto"/>
      </w:pPr>
      <w:r>
        <w:separator/>
      </w:r>
    </w:p>
  </w:endnote>
  <w:endnote w:type="continuationSeparator" w:id="0">
    <w:p w14:paraId="0C32B2C6" w14:textId="77777777" w:rsidR="00223676" w:rsidRDefault="00223676"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2C635F" w:rsidRDefault="002C635F">
    <w:pPr>
      <w:pStyle w:val="Footer"/>
      <w:jc w:val="center"/>
    </w:pPr>
    <w:r>
      <w:fldChar w:fldCharType="begin"/>
    </w:r>
    <w:r>
      <w:instrText xml:space="preserve"> PAGE   \* MERGEFORMAT </w:instrText>
    </w:r>
    <w:r>
      <w:fldChar w:fldCharType="separate"/>
    </w:r>
    <w:r w:rsidR="0053307D">
      <w:rPr>
        <w:noProof/>
      </w:rPr>
      <w:t>1</w:t>
    </w:r>
    <w:r>
      <w:rPr>
        <w:noProof/>
      </w:rPr>
      <w:fldChar w:fldCharType="end"/>
    </w:r>
  </w:p>
  <w:p w14:paraId="45C11215" w14:textId="77777777" w:rsidR="002C635F" w:rsidRDefault="002C6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B3BCD" w14:textId="77777777" w:rsidR="00223676" w:rsidRDefault="00223676" w:rsidP="00516D83">
      <w:pPr>
        <w:spacing w:after="0" w:line="240" w:lineRule="auto"/>
      </w:pPr>
      <w:r>
        <w:separator/>
      </w:r>
    </w:p>
  </w:footnote>
  <w:footnote w:type="continuationSeparator" w:id="0">
    <w:p w14:paraId="724C3D43" w14:textId="77777777" w:rsidR="00223676" w:rsidRDefault="00223676"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307D"/>
    <w:rsid w:val="00535032"/>
    <w:rsid w:val="005439A6"/>
    <w:rsid w:val="00546886"/>
    <w:rsid w:val="005519FA"/>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ighj@u.washington.edu" TargetMode="Externa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nprice@systemsbiology.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A4137-F04C-41C5-9E0A-A09B86A8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43942</Words>
  <Characters>250472</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293827</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2016-01-11T07:49:00Z</cp:lastPrinted>
  <dcterms:created xsi:type="dcterms:W3CDTF">2016-05-23T17:23:00Z</dcterms:created>
  <dcterms:modified xsi:type="dcterms:W3CDTF">2016-05-23T21:00:00Z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id="amwrr7QM"/&gt;&lt;style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