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2F0A2850"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676337">
        <w:instrText xml:space="preserve"> ADDIN ZOTERO_ITEM CSL_CITATION {"citationID":"ajcYwuGk","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676337">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676337">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676337">
        <w:instrText xml:space="preserve"> ADDIN ZOTERO_ITEM CSL_CITATION {"citationID":"12d9ngkfcj","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676337">
        <w:instrText xml:space="preserve"> ADDIN ZOTERO_ITEM CSL_CITATION {"citationID":"dSo1xpOJ","properties":{"formattedCitation":"(5, 6)","plainCitation":"(5, 6)"},"citationItems":[{"id":66,"uris":["http://zotero.org/users/2565720/items/UJKJVT7G"],"uri":["http://zotero.org/users/2565720/items/UJKJVT7G"],"itemData":{"id":66,"type":"article-journal","title":"Unusual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S."}],"issued":{"date-parts":[["1990"]]}}},{"id":18,"uris":["http://zotero.org/users/2565720/items/V5G3JM2J"],"uri":["http://zotero.org/users/2565720/items/V5G3JM2J"],"itemData":{"id":18,"type":"article-journal","title":"The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14150D0"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676337">
        <w:instrText xml:space="preserve"> ADDIN ZOTERO_ITEM CSL_CITATION {"citationID":"MZqwmgiM","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7A59E04F"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676337">
        <w:instrText xml:space="preserve"> ADDIN ZOTERO_ITEM CSL_CITATION {"citationID":"CkepUHRZ","properties":{"formattedCitation":"(4, 7)","plainCitation":"(4, 7)"},"citationItems":[{"id":346,"uris":["http://zotero.org/users/2565720/items/HQ625M4X"],"uri":["http://zotero.org/users/2565720/items/HQ625M4X"],"itemData":{"id":346,"type":"article-journal","title":"Purification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04D0D3B3" w:rsidR="00535032" w:rsidRDefault="00535032" w:rsidP="00586344">
      <w:pPr>
        <w:spacing w:line="480" w:lineRule="auto"/>
      </w:pPr>
      <w:r w:rsidRPr="009D0324">
        <w:rPr>
          <w:i/>
        </w:rPr>
        <w:t xml:space="preserve">Methanococcus maripaludis </w:t>
      </w:r>
      <w:r w:rsidR="009626B8">
        <w:fldChar w:fldCharType="begin"/>
      </w:r>
      <w:r w:rsidR="00676337">
        <w:instrText xml:space="preserve"> ADDIN ZOTERO_ITEM CSL_CITATION {"citationID":"RAdXQ6hK","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676337">
        <w:instrText xml:space="preserve"> ADDIN ZOTERO_ITEM CSL_CITATION {"citationID":"1egc061ljo","properties":{"formattedCitation":"(9)","plainCitation":"(9)"},"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676337">
        <w:instrText xml:space="preserve"> ADDIN ZOTERO_ITEM CSL_CITATION {"citationID":"fm08jrqff","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676337">
        <w:instrText xml:space="preserve"> ADDIN ZOTERO_ITEM CSL_CITATION {"citationID":"ji534o37v","properties":{"formattedCitation":"(10)","plainCitation":"(10)"},"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676337">
        <w:rPr>
          <w:i/>
        </w:rPr>
        <w:instrText xml:space="preserve"> ADDIN ZOTERO_ITEM CSL_CITATION {"citationID":"vpeo3racb","properties":{"formattedCitation":"(11)","plainCitation":"(11)"},"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552A03" w:rsidRPr="00552A03">
        <w:rPr>
          <w:rFonts w:cs="Times New Roman"/>
        </w:rPr>
        <w:t>(11)</w:t>
      </w:r>
      <w:r w:rsidR="00552A03">
        <w:rPr>
          <w:i/>
        </w:rPr>
        <w:fldChar w:fldCharType="end"/>
      </w:r>
      <w:r w:rsidR="00EB3C27">
        <w:t xml:space="preserv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2B34E5B3"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676337">
        <w:instrText xml:space="preserve"> ADDIN ZOTERO_ITEM CSL_CITATION {"citationID":"23mmrtdbtu","properties":{"formattedCitation":"(12)","plainCitation":"(12)"},"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552A03" w:rsidRPr="00552A03">
        <w:rPr>
          <w:rFonts w:cs="Times New Roman"/>
        </w:rPr>
        <w:t>(12)</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676337">
        <w:instrText xml:space="preserve"> ADDIN ZOTERO_ITEM CSL_CITATION {"citationID":"gMaZT752","properties":{"formattedCitation":"(13, 14)","plainCitation":"(13, 14)"},"citationItems":[{"id":341,"uris":["http://zotero.org/users/2565720/items/BTGH8QW4"],"uri":["http://zotero.org/users/2565720/items/BTGH8QW4"],"itemData":{"id":341,"type":"article-journal","title":"Genome-scale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552A03" w:rsidRPr="00552A03">
        <w:rPr>
          <w:rFonts w:cs="Times New Roman"/>
        </w:rPr>
        <w:t>(13, 14)</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676337">
        <w:rPr>
          <w:i/>
        </w:rPr>
        <w:instrText xml:space="preserve"> ADDIN ZOTERO_ITEM CSL_CITATION {"citationID":"1af40venu5","properties":{"formattedCitation":"(15)","plainCitation":"(15)"},"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552A03" w:rsidRPr="00552A03">
        <w:rPr>
          <w:rFonts w:cs="Times New Roman"/>
        </w:rPr>
        <w:t>(15)</w:t>
      </w:r>
      <w:r w:rsidR="00DD75BA">
        <w:rPr>
          <w:i/>
        </w:rPr>
        <w:fldChar w:fldCharType="end"/>
      </w:r>
      <w:r w:rsidR="00E76580">
        <w:rPr>
          <w:i/>
        </w:rPr>
        <w:t xml:space="preserve"> </w:t>
      </w:r>
      <w:r w:rsidR="00BA12DD">
        <w:t>and under axenic conditions</w:t>
      </w:r>
      <w:r w:rsidR="00CB5F53">
        <w:t xml:space="preserve"> </w:t>
      </w:r>
      <w:r w:rsidR="00586344">
        <w:fldChar w:fldCharType="begin"/>
      </w:r>
      <w:r w:rsidR="00676337">
        <w:instrText xml:space="preserve"> ADDIN ZOTERO_ITEM CSL_CITATION {"citationID":"Kogtrvcl","properties":{"formattedCitation":"(16)","plainCitation":"(16)"},"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552A03" w:rsidRPr="00552A03">
        <w:rPr>
          <w:rFonts w:cs="Times New Roman"/>
        </w:rPr>
        <w:t>(16)</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676337">
        <w:instrText xml:space="preserve"> ADDIN ZOTERO_ITEM CSL_CITATION {"citationID":"1dltmdo1v","properties":{"formattedCitation":"(15)","plainCitation":"(15)"},"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552A03" w:rsidRPr="00552A03">
        <w:rPr>
          <w:rFonts w:cs="Times New Roman"/>
        </w:rPr>
        <w:t>(15)</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676337">
        <w:instrText xml:space="preserve"> ADDIN ZOTERO_ITEM CSL_CITATION {"citationID":"1sdk81auok","properties":{"formattedCitation":"(16)","plainCitation":"(16)"},"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552A03" w:rsidRPr="00552A03">
        <w:rPr>
          <w:rFonts w:cs="Times New Roman"/>
        </w:rPr>
        <w:t>(16)</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4F787C9F"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w:t>
      </w:r>
      <w:proofErr w:type="spellStart"/>
      <w:r w:rsidR="00F27938">
        <w:t>hydrogenotrophic</w:t>
      </w:r>
      <w:proofErr w:type="spellEnd"/>
      <w:r w:rsidR="00F27938">
        <w:t xml:space="preserve"> methanogens </w:t>
      </w:r>
      <w:r w:rsidR="00F27938">
        <w:fldChar w:fldCharType="begin"/>
      </w:r>
      <w:r w:rsidR="00676337">
        <w:instrText xml:space="preserve"> ADDIN ZOTERO_ITEM CSL_CITATION {"citationID":"1a0pt8kc57","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676337">
        <w:instrText xml:space="preserve"> ADDIN ZOTERO_ITEM CSL_CITATION {"citationID":"1h3qdse1eh","properties":{"formattedCitation":"(17)","plainCitation":"(17)"},"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552A03" w:rsidRPr="00552A03">
        <w:rPr>
          <w:rFonts w:cs="Times New Roman"/>
        </w:rPr>
        <w:t>(17)</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676337">
        <w:instrText xml:space="preserve"> ADDIN ZOTERO_ITEM CSL_CITATION {"citationID":"27j6dj3qma","properties":{"formattedCitation":"(18)","plainCitation":"(18)"},"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552A03" w:rsidRPr="00552A03">
        <w:rPr>
          <w:rFonts w:cs="Times New Roman"/>
        </w:rPr>
        <w:t>(18)</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676337">
        <w:instrText xml:space="preserve"> ADDIN ZOTERO_ITEM CSL_CITATION {"citationID":"25fukdkllf","properties":{"formattedCitation":"(19)","plainCitation":"(19)"},"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552A03" w:rsidRPr="00552A03">
        <w:rPr>
          <w:rFonts w:cs="Times New Roman"/>
        </w:rPr>
        <w:t>(19)</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676337">
        <w:instrText xml:space="preserve"> ADDIN ZOTERO_ITEM CSL_CITATION {"citationID":"3ufgh9csi","properties":{"formattedCitation":"(20)","plainCitation":"(20)"},"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552A03" w:rsidRPr="00552A03">
        <w:rPr>
          <w:rFonts w:cs="Times New Roman"/>
        </w:rPr>
        <w:t>(20)</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676337">
        <w:instrText xml:space="preserve"> ADDIN ZOTERO_ITEM CSL_CITATION {"citationID":"bifkhgkpm","properties":{"formattedCitation":"(21, 22)","plainCitation":"(21, 22)"},"citationItems":[{"id":255,"uris":["http://zotero.org/users/2565720/items/K56TQDNQ"],"uri":["http://zotero.org/users/2565720/items/K56TQDNQ"],"itemData":{"id":255,"type":"article-journal","title":"Thermodynamics-Based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552A03" w:rsidRPr="00552A03">
        <w:rPr>
          <w:rFonts w:cs="Times New Roman"/>
        </w:rPr>
        <w:t>(21, 22)</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01795590"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676337">
        <w:instrText xml:space="preserve"> ADDIN ZOTERO_ITEM CSL_CITATION {"citationID":"s5ikv23n5","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676337">
        <w:instrText xml:space="preserve"> ADDIN ZOTERO_ITEM CSL_CITATION {"citationID":"1p04ht0slc","properties":{"formattedCitation":"{\\rtf (24\\uc0\\u8211{}26)}","plainCitation":"(24–26)"},"citationItems":[{"id":156,"uris":["http://zotero.org/users/2565720/items/NMEMK8QT"],"uri":["http://zotero.org/users/2565720/items/NMEMK8QT"],"itemData":{"id":156,"type":"article-journal","title":"KEGG: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szCs w:val="24"/>
        </w:rPr>
        <w:t>(24–26)</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676337">
        <w:instrText xml:space="preserve"> ADDIN ZOTERO_ITEM CSL_CITATION {"citationID":"fi08jgict","properties":{"formattedCitation":"(26)","plainCitation":"(26)"},"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rPr>
        <w:t>(26)</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03179FA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676337">
        <w:instrText xml:space="preserve"> ADDIN ZOTERO_ITEM CSL_CITATION {"citationID":"2d9n7esulj","properties":{"formattedCitation":"(27)","plainCitation":"(27)"},"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552A03" w:rsidRPr="00552A03">
        <w:rPr>
          <w:rFonts w:cs="Times New Roman"/>
        </w:rPr>
        <w:t>(27)</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8C0DD5"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4B42B25E"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676337">
        <w:instrText xml:space="preserve"> ADDIN ZOTERO_ITEM CSL_CITATION {"citationID":"22fl0p9qes","properties":{"formattedCitation":"(28)","plainCitation":"(28)"},"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552A03" w:rsidRPr="00552A03">
        <w:rPr>
          <w:rFonts w:cs="Times New Roman"/>
        </w:rPr>
        <w:t>(28)</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676337">
        <w:instrText xml:space="preserve"> ADDIN ZOTERO_ITEM CSL_CITATION {"citationID":"1bn2iq8r9d","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552A03" w:rsidRPr="00552A03">
        <w:rPr>
          <w:rFonts w:cs="Times New Roman"/>
        </w:rPr>
        <w:t>(29)</w:t>
      </w:r>
      <w:r w:rsidR="00643EEA">
        <w:fldChar w:fldCharType="end"/>
      </w:r>
      <w:r w:rsidR="00650EC2">
        <w:t xml:space="preserve"> in </w:t>
      </w:r>
      <w:r w:rsidR="00643EEA">
        <w:t>MATLAB [7.14.0.739] (The MathWorks Inc., Natick, MA)</w:t>
      </w:r>
      <w:r w:rsidR="00650EC2">
        <w:t>.</w:t>
      </w:r>
      <w:r w:rsidR="00467AD6">
        <w:t xml:space="preserve"> </w:t>
      </w:r>
    </w:p>
    <w:p w14:paraId="13DF49D2" w14:textId="3172D7FD" w:rsidR="00467AD6" w:rsidRDefault="00D057B6" w:rsidP="007A2129">
      <w:pPr>
        <w:spacing w:line="480" w:lineRule="auto"/>
      </w:pPr>
      <w:r>
        <w:t xml:space="preserve">To encourage model transparency </w:t>
      </w:r>
      <w:r>
        <w:fldChar w:fldCharType="begin"/>
      </w:r>
      <w:r w:rsidR="00676337">
        <w:instrText xml:space="preserve"> ADDIN ZOTERO_ITEM CSL_CITATION {"citationID":"1h957cjtvu","properties":{"formattedCitation":"(30)","plainCitation":"(30)"},"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676337">
        <w:instrText xml:space="preserve"> ADDIN ZOTERO_ITEM CSL_CITATION {"citationID":"r4kr1jhdr","properties":{"formattedCitation":"(31)","plainCitation":"(31)"},"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552A03" w:rsidRPr="00552A03">
        <w:rPr>
          <w:rFonts w:cs="Times New Roman"/>
        </w:rPr>
        <w:t>(31)</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6D242208"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676337">
        <w:instrText xml:space="preserve"> ADDIN ZOTERO_ITEM CSL_CITATION {"citationID":"23arsu02dt","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552A03" w:rsidRPr="00552A03">
        <w:rPr>
          <w:rFonts w:cs="Times New Roman"/>
        </w:rPr>
        <w:t>(29)</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676337">
        <w:instrText xml:space="preserve"> ADDIN ZOTERO_ITEM CSL_CITATION {"citationID":"5q8b5tpu8","properties":{"formattedCitation":"{\\rtf (32\\uc0\\u8211{}37)}","plainCitation":"(32–37)"},"citationItems":[{"id":336,"uris":["http://zotero.org/users/2565720/items/7SS9Q56S"],"uri":["http://zotero.org/users/2565720/items/7SS9Q56S"],"itemData":{"id":336,"type":"article-journal","title":"Disruption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552A03" w:rsidRPr="00552A03">
        <w:rPr>
          <w:rFonts w:cs="Times New Roman"/>
          <w:szCs w:val="24"/>
        </w:rPr>
        <w:t>(32–37)</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676337">
        <w:instrText xml:space="preserve"> ADDIN ZOTERO_ITEM CSL_CITATION {"citationID":"2l8nkmudm4","properties":{"formattedCitation":"(38)","plainCitation":"(38)"},"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552A03" w:rsidRPr="00552A03">
        <w:rPr>
          <w:rFonts w:cs="Times New Roman"/>
        </w:rPr>
        <w:t>(38)</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39B4383C"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676337">
        <w:instrText xml:space="preserve"> ADDIN ZOTERO_ITEM CSL_CITATION {"citationID":"1qrgs5kigv","properties":{"formattedCitation":"(39)","plainCitation":"(39)"},"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552A03" w:rsidRPr="00552A03">
        <w:rPr>
          <w:rFonts w:cs="Times New Roman"/>
        </w:rPr>
        <w:t>(39)</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676337">
        <w:instrText xml:space="preserve"> ADDIN ZOTERO_ITEM CSL_CITATION {"citationID":"2deksjdola","properties":{"formattedCitation":"(40)","plainCitation":"(40)"},"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552A03" w:rsidRPr="00552A03">
        <w:rPr>
          <w:rFonts w:cs="Times New Roman"/>
        </w:rPr>
        <w:t>(40)</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 xml:space="preserve">is built around </w:t>
      </w:r>
      <w:r>
        <w:t>the “</w:t>
      </w:r>
      <w:proofErr w:type="spellStart"/>
      <w:r>
        <w:t>optimizeCbModel.m</w:t>
      </w:r>
      <w:proofErr w:type="spellEnd"/>
      <w:r>
        <w:t xml:space="preserve">” code in the COBRA Toolbox 2.0 </w:t>
      </w:r>
      <w:r>
        <w:fldChar w:fldCharType="begin"/>
      </w:r>
      <w:r w:rsidR="00676337">
        <w:instrText xml:space="preserve"> ADDIN ZOTERO_ITEM CSL_CITATION {"citationID":"25t4h6jo3r","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552A03" w:rsidRPr="00552A03">
        <w:rPr>
          <w:rFonts w:cs="Times New Roman"/>
        </w:rPr>
        <w:t>(29)</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8C0DD5"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8C0DD5"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1D58C012"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676337">
        <w:instrText xml:space="preserve"> ADDIN ZOTERO_ITEM CSL_CITATION {"citationID":"1i23cacc4p","properties":{"formattedCitation":"(11)","plainCitation":"(11)"},"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552A03" w:rsidRPr="00552A03">
        <w:rPr>
          <w:rFonts w:cs="Times New Roman"/>
        </w:rPr>
        <w:t>(11)</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39AB3DC3"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w:t>
      </w:r>
      <w:proofErr w:type="spellStart"/>
      <w:r>
        <w:t>chemostat</w:t>
      </w:r>
      <w:proofErr w:type="spellEnd"/>
      <w:r>
        <w:t xml:space="preserve"> growth experiments </w:t>
      </w:r>
      <w:r>
        <w:fldChar w:fldCharType="begin"/>
      </w:r>
      <w:r w:rsidR="00676337">
        <w:instrText xml:space="preserve"> ADDIN ZOTERO_ITEM CSL_CITATION {"citationID":"fk9tj3jkj","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34D91C02"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676337">
        <w:instrText xml:space="preserve"> ADDIN ZOTERO_ITEM CSL_CITATION {"citationID":"2qram37clk","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4C15BEE4"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676337">
        <w:rPr>
          <w:rFonts w:eastAsiaTheme="minorEastAsia"/>
        </w:rPr>
        <w:instrText xml:space="preserve"> ADDIN ZOTERO_ITEM CSL_CITATION {"citationID":"53r13qfhr","properties":{"formattedCitation":"(41)","plainCitation":"(41)"},"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F5100D" w:rsidRPr="00F5100D">
        <w:rPr>
          <w:rFonts w:cs="Times New Roman"/>
        </w:rPr>
        <w:t>(41)</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8C0DD5"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65C07C3C"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w:t>
      </w:r>
      <w:r>
        <w:lastRenderedPageBreak/>
        <w:t xml:space="preserve">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5A21469"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5EE803B7" w:rsidR="00EF5BC0" w:rsidRPr="00713837" w:rsidRDefault="00713837" w:rsidP="00EF5BC0">
      <w:pPr>
        <w:spacing w:line="480" w:lineRule="auto"/>
        <w:rPr>
          <w:rFonts w:eastAsiaTheme="minorEastAsia"/>
        </w:rPr>
      </w:pPr>
      <w:r>
        <w:t xml:space="preserve">We removed </w:t>
      </w:r>
      <w:r w:rsidR="008C0DD5">
        <w:t xml:space="preserve">bifurcation from this reaction by removing ferredoxin, </w:t>
      </w:r>
      <w:r>
        <w:t>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37C13D4A"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w:t>
      </w:r>
      <w:r w:rsidR="00105926">
        <w:lastRenderedPageBreak/>
        <w:t xml:space="preserve">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676337">
        <w:instrText xml:space="preserve"> ADDIN ZOTERO_ITEM CSL_CITATION {"citationID":"2dljuucmmq","properties":{"formattedCitation":"(33)","plainCitation":"(33)"},"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552A03" w:rsidRPr="00552A03">
        <w:rPr>
          <w:rFonts w:cs="Times New Roman"/>
        </w:rPr>
        <w:t>(33)</w:t>
      </w:r>
      <w:r w:rsidR="00853534">
        <w:fldChar w:fldCharType="end"/>
      </w:r>
      <w:r w:rsidR="00853534">
        <w:t xml:space="preserve">. </w:t>
      </w:r>
    </w:p>
    <w:p w14:paraId="1DE19B1E" w14:textId="26712306"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676337">
        <w:instrText xml:space="preserve"> ADDIN ZOTERO_ITEM CSL_CITATION {"citationID":"mg5us3ref","properties":{"formattedCitation":"(42)","plainCitation":"(42)"},"citationItems":[{"id":79,"uris":["http://zotero.org/users/2565720/items/MVBZ2QJT"],"uri":["http://zotero.org/users/2565720/items/MVBZ2QJT"],"itemData":{"id":79,"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F5100D" w:rsidRPr="00F5100D">
        <w:rPr>
          <w:rFonts w:cs="Times New Roman"/>
        </w:rPr>
        <w:t>(42)</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676337">
        <w:instrText xml:space="preserve"> ADDIN ZOTERO_ITEM CSL_CITATION {"citationID":"1bs1pkv7m0","properties":{"formattedCitation":"(43)","plainCitation":"(43)"},"citationItems":[{"id":60,"uris":["http://zotero.org/users/2565720/items/DB3AGUAB"],"uri":["http://zotero.org/users/2565720/items/DB3AGUAB"],"itemData":{"id":60,"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F5100D" w:rsidRPr="00F5100D">
        <w:rPr>
          <w:rFonts w:cs="Times New Roman"/>
        </w:rPr>
        <w:t>(43)</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w:t>
      </w:r>
      <w:r w:rsidR="005C4FC4">
        <w:lastRenderedPageBreak/>
        <w:t xml:space="preserve">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46623480"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676337">
        <w:instrText xml:space="preserve"> ADDIN ZOTERO_ITEM CSL_CITATION {"citationID":"2g2qvo6ckt","properties":{"formattedCitation":"(44)","plainCitation":"(44)"},"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F5100D" w:rsidRPr="00F5100D">
        <w:rPr>
          <w:rFonts w:cs="Times New Roman"/>
        </w:rPr>
        <w:t>(44)</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4C39443B"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676337">
        <w:instrText xml:space="preserve"> ADDIN ZOTERO_ITEM CSL_CITATION {"citationID":"kesh5maA","properties":{"formattedCitation":"(5)","plainCitation":"(5)"},"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676337">
        <w:instrText xml:space="preserve"> ADDIN ZOTERO_ITEM CSL_CITATION {"citationID":"2i84i863d3","properties":{"formattedCitation":"(45)","plainCitation":"(45)"},"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5100D" w:rsidRPr="00F5100D">
        <w:rPr>
          <w:rFonts w:cs="Times New Roman"/>
        </w:rPr>
        <w:t>(45)</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676337">
        <w:instrText xml:space="preserve"> ADDIN ZOTERO_ITEM CSL_CITATION {"citationID":"1v1bfrvejb","properties":{"formattedCitation":"(46)","plainCitation":"(46)"},"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5100D" w:rsidRPr="00F5100D">
        <w:rPr>
          <w:rFonts w:cs="Times New Roman"/>
        </w:rPr>
        <w:t>(46)</w:t>
      </w:r>
      <w:r w:rsidR="00F45312">
        <w:fldChar w:fldCharType="end"/>
      </w:r>
      <w:r w:rsidR="00F45312">
        <w:t xml:space="preserve">. </w:t>
      </w:r>
      <w:r w:rsidR="00BF0803">
        <w:t xml:space="preserve">None </w:t>
      </w:r>
      <w:r w:rsidR="00BF0803">
        <w:lastRenderedPageBreak/>
        <w:t xml:space="preserve">of these pathways were included in our draft reconstruction and few were completely present in the Model SEED database, thus the bulk of these reactions were </w:t>
      </w:r>
      <w:r w:rsidR="00BF0803">
        <w:t xml:space="preserve">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3A127E2B" w14:textId="30AA2056"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676337">
        <w:instrText xml:space="preserve"> ADDIN ZOTERO_ITEM CSL_CITATION {"citationID":"1pmtfiqdui","properties":{"formattedCitation":"(47)","plainCitation":"(47)"},"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5100D" w:rsidRPr="00F5100D">
        <w:rPr>
          <w:rFonts w:cs="Times New Roman"/>
        </w:rPr>
        <w:t>(47)</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676337">
        <w:instrText xml:space="preserve"> ADDIN ZOTERO_ITEM CSL_CITATION {"citationID":"b0qbtb0ku","properties":{"formattedCitation":"(17)","plainCitation":"(17)"},"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552A03" w:rsidRPr="00552A03">
        <w:rPr>
          <w:rFonts w:cs="Times New Roman"/>
        </w:rPr>
        <w:t>(17)</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3A0A049C" w14:textId="1A6CA3B2" w:rsidR="00B36C33" w:rsidRDefault="00B36C33" w:rsidP="00B36C33">
      <w:pPr>
        <w:pStyle w:val="Heading2"/>
      </w:pPr>
      <w:r>
        <w:t>Model Validation</w:t>
      </w:r>
    </w:p>
    <w:p w14:paraId="137EFBCF" w14:textId="1BF21DA0"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w:t>
      </w:r>
      <w:r>
        <w:lastRenderedPageBreak/>
        <w:t>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676337">
        <w:instrText xml:space="preserve"> ADDIN ZOTERO_ITEM CSL_CITATION {"citationID":"vqfbkr6og","properties":{"formattedCitation":"(41)","plainCitation":"(41)"},"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F5100D" w:rsidRPr="00F5100D">
        <w:rPr>
          <w:rFonts w:cs="Times New Roman"/>
        </w:rPr>
        <w:t>(41)</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676337">
        <w:instrText xml:space="preserve"> ADDIN ZOTERO_ITEM CSL_CITATION {"citationID":"asci2795q","properties":{"formattedCitation":"(34)","plainCitation":"(34)"},"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552A03" w:rsidRPr="00552A03">
        <w:rPr>
          <w:rFonts w:cs="Times New Roman"/>
        </w:rPr>
        <w:t>(34)</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(see Methods) and plotted a new </w:t>
      </w:r>
      <w:r w:rsidR="00966C6C">
        <w:t xml:space="preserve">calibration curve (see </w:t>
      </w:r>
      <w:commentRangeStart w:id="6"/>
      <w:r w:rsidR="00966C6C">
        <w:t xml:space="preserve">Supplementary </w:t>
      </w:r>
      <w:commentRangeEnd w:id="6"/>
      <w:r w:rsidR="00966C6C">
        <w:rPr>
          <w:rStyle w:val="CommentReference"/>
          <w:rFonts w:asciiTheme="minorHAnsi" w:hAnsiTheme="minorHAnsi"/>
        </w:rPr>
        <w:commentReference w:id="6"/>
      </w:r>
      <w:r w:rsidR="00966C6C">
        <w:t>Information)</w:t>
      </w:r>
      <w:r w:rsidR="00FF158A">
        <w:t>, determining</w:t>
      </w:r>
      <w:r w:rsidR="00966C6C">
        <w:t xml:space="preserve">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099196B1"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w:t>
      </w:r>
      <w:proofErr w:type="spellStart"/>
      <w:r w:rsidR="00FF158A">
        <w:t>chemostat</w:t>
      </w:r>
      <w:proofErr w:type="spellEnd"/>
      <w:r w:rsidR="00FF158A">
        <w:t xml:space="preserve">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676337">
        <w:instrText xml:space="preserve"> ADDIN ZOTERO_ITEM CSL_CITATION {"citationID":"uin4blve5","properties":{"formattedCitation":"(48)","plainCitation":"(48)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276128" w:rsidRPr="00276128">
        <w:rPr>
          <w:rFonts w:cs="Times New Roman"/>
        </w:rPr>
        <w:t>(48)</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w:t>
      </w:r>
      <w:r w:rsidR="00B65741">
        <w:lastRenderedPageBreak/>
        <w:t xml:space="preserve">cross validation (LOOCV) on our full dataset (see Methods). As shown by Figure 2, using this 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1BD4D568"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676337">
        <w:rPr>
          <w:i/>
        </w:rPr>
        <w:instrText xml:space="preserve"> ADDIN ZOTERO_ITEM CSL_CITATION {"citationID":"Bcn0Pkvz","properties":{"formattedCitation":"(49)","plainCitation":"(49)"},"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276128" w:rsidRPr="00276128">
        <w:rPr>
          <w:rFonts w:cs="Times New Roman"/>
        </w:rPr>
        <w:t>(49)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676337">
        <w:instrText xml:space="preserve"> ADDIN ZOTERO_ITEM CSL_CITATION {"citationID":"e6tuams2n","properties":{"formattedCitation":"(48)","plainCitation":"(48)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676337" w:rsidRPr="00676337">
        <w:rPr>
          <w:rFonts w:cs="Times New Roman"/>
        </w:rPr>
        <w:t>(48)</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676337">
        <w:rPr>
          <w:i/>
        </w:rPr>
        <w:instrText xml:space="preserve"> ADDIN ZOTERO_ITEM CSL_CITATION {"citationID":"2n2e4ku1kr","properties":{"formattedCitation":"(48)","plainCitation":"(48)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676337" w:rsidRPr="00676337">
        <w:rPr>
          <w:rFonts w:cs="Times New Roman"/>
        </w:rPr>
        <w:t>(48)</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707200A" w14:textId="77777777" w:rsidR="00270704" w:rsidRDefault="00AD6208" w:rsidP="007A2129">
      <w:pPr>
        <w:spacing w:line="480" w:lineRule="auto"/>
      </w:pPr>
      <w:r>
        <w:lastRenderedPageBreak/>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676337">
        <w:rPr>
          <w:i/>
        </w:rPr>
        <w:instrText xml:space="preserve"> ADDIN ZOTERO_ITEM CSL_CITATION {"citationID":"26th8g5t52","properties":{"formattedCitation":"(50)","plainCitation":"(50)"},"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76128" w:rsidRPr="00276128">
        <w:rPr>
          <w:rFonts w:cs="Times New Roman"/>
        </w:rPr>
        <w:t>(50)</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676337">
        <w:rPr>
          <w:i/>
        </w:rPr>
        <w:instrText xml:space="preserve"> ADDIN ZOTERO_ITEM CSL_CITATION {"citationID":"289b8k3usl","properties":{"formattedCitation":"(51)","plainCitation":"(51)"},"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76128" w:rsidRPr="00276128">
        <w:rPr>
          <w:rFonts w:cs="Times New Roman"/>
        </w:rPr>
        <w:t>(51)</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676337">
        <w:t>For chemically defined minimal medium, this</w:t>
      </w:r>
      <w:r w:rsidR="00243CF0">
        <w:t xml:space="preserve"> dataset contained 4 different libraries with gene essentiality predictions, thus </w:t>
      </w:r>
      <w:r w:rsidR="00676337">
        <w:t xml:space="preserve">each gene </w:t>
      </w:r>
      <w:r w:rsidR="00270704">
        <w:t>could be</w:t>
      </w:r>
      <w:r w:rsidR="00243CF0">
        <w:t xml:space="preserve"> predicte</w:t>
      </w:r>
      <w:r w:rsidR="00270704">
        <w:t>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w:t>
      </w:r>
      <w:commentRangeStart w:id="7"/>
      <w:r w:rsidR="00243CF0">
        <w:t xml:space="preserve"> </w:t>
      </w:r>
    </w:p>
    <w:p w14:paraId="353B564A" w14:textId="1DFE6996" w:rsidR="00243CF0" w:rsidRDefault="00243CF0" w:rsidP="007A2129">
      <w:pPr>
        <w:spacing w:line="480" w:lineRule="auto"/>
      </w:pPr>
      <w:r>
        <w:t>The iMR540 reconstruction shared 542 genes with this dataset</w:t>
      </w:r>
      <w:r w:rsidR="00756FF0">
        <w:t xml:space="preserve">, thus we were able to compare gene essentiality predictions across nearly the entire model. </w:t>
      </w:r>
      <w:r w:rsidR="00270704">
        <w:t xml:space="preserve">Figure 3 shows the results of this comparison including classified prediction totals (Figure 3A) and predictive accuracy and Matthew’s Correlation Coefficient (MCC) for each dataset (Figure 3B). As shown, </w:t>
      </w:r>
      <w:r w:rsidR="00756FF0">
        <w:t xml:space="preserve">our model’s predictive accuracy in the four cases ranged from 61.8-65.7% </w:t>
      </w:r>
      <w:r w:rsidR="00270704">
        <w:t>and was maximized in the “3 instances” dataset, whereas MCC ranged from 0.289-0.331</w:t>
      </w:r>
      <w:r w:rsidR="00756FF0">
        <w:t xml:space="preserve"> </w:t>
      </w:r>
      <w:r w:rsidR="00270704">
        <w:t>and was</w:t>
      </w:r>
      <w:r w:rsidR="00756FF0">
        <w:t xml:space="preserve"> highest for “Case 2”</w:t>
      </w:r>
      <w:r w:rsidR="00270704">
        <w:t xml:space="preserve">. </w:t>
      </w:r>
      <w:r w:rsidR="00270704">
        <w:lastRenderedPageBreak/>
        <w:t>Referring to Figure 3A, this</w:t>
      </w:r>
      <w:r w:rsidR="00756FF0">
        <w:t xml:space="preserve"> small discrepancy in metrics reflects less frequent prediction of false negative outcomes when total negative outcomes are increased. </w:t>
      </w:r>
      <w:commentRangeEnd w:id="7"/>
      <w:r w:rsidR="00756FF0">
        <w:rPr>
          <w:rStyle w:val="CommentReference"/>
          <w:rFonts w:asciiTheme="minorHAnsi" w:hAnsiTheme="minorHAnsi"/>
        </w:rPr>
        <w:commentReference w:id="7"/>
      </w:r>
      <w:r w:rsidR="00756FF0">
        <w:t xml:space="preserve">Overall, </w:t>
      </w:r>
      <w:r w:rsidR="00F53CE5">
        <w:t>this analysis</w:t>
      </w:r>
      <w:r w:rsidR="00756FF0">
        <w:t xml:space="preserve"> </w:t>
      </w:r>
      <w:r w:rsidR="00F53CE5">
        <w:t>revealed</w:t>
      </w:r>
      <w:r w:rsidR="00756FF0">
        <w:t xml:space="preserve">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6E8C85E0"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676337">
        <w:instrText xml:space="preserve"> ADDIN ZOTERO_ITEM CSL_CITATION {"citationID":"pNaGrqI1","properties":{"formattedCitation":"{\\rtf (32\\uc0\\u8211{}37)}","plainCitation":"(32–37)"},"citationItems":[{"id":336,"uris":["http://zotero.org/users/2565720/items/7SS9Q56S"],"uri":["http://zotero.org/users/2565720/items/7SS9Q56S"],"itemData":{"id":336,"type":"article-journal","title":"Disruption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552A03" w:rsidRPr="00552A03">
        <w:rPr>
          <w:rFonts w:cs="Times New Roman"/>
          <w:szCs w:val="24"/>
        </w:rPr>
        <w:t>(32–37)</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lastRenderedPageBreak/>
        <w:t xml:space="preserve">loses its ability to generate </w:t>
      </w:r>
      <w:proofErr w:type="spellStart"/>
      <w:r w:rsidR="005652C8">
        <w:t>anaplerotic</w:t>
      </w:r>
      <w:proofErr w:type="spellEnd"/>
      <w:r w:rsidR="005652C8">
        <w:t xml:space="preserve">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w:t>
      </w:r>
      <w:commentRangeStart w:id="8"/>
      <w:r w:rsidR="005652C8">
        <w:t xml:space="preserve">This reverse pathway is made possible by a predicted alternate acetyl-coA synthesis pathway </w:t>
      </w:r>
      <w:r w:rsidR="00557844">
        <w:t xml:space="preserve">from glycine, in which glycine can be converted to acetyl-coA through acetate. </w:t>
      </w:r>
      <w:commentRangeEnd w:id="8"/>
      <w:r w:rsidR="00F53CE5">
        <w:rPr>
          <w:rStyle w:val="CommentReference"/>
          <w:rFonts w:asciiTheme="minorHAnsi" w:hAnsiTheme="minorHAnsi"/>
        </w:rPr>
        <w:commentReference w:id="8"/>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3EF2CB67"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676337">
        <w:instrText xml:space="preserve"> ADDIN ZOTERO_ITEM CSL_CITATION {"citationID":"2p3t5qv1lr","properties":{"formattedCitation":"(21)","plainCitation":"(21)"},"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552A03" w:rsidRPr="00552A03">
        <w:rPr>
          <w:rFonts w:cs="Times New Roman"/>
        </w:rPr>
        <w:t>(21)</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676337">
        <w:instrText xml:space="preserve"> ADDIN ZOTERO_ITEM CSL_CITATION {"citationID":"f23h5d5rc","properties":{"formattedCitation":"(22)","plainCitation":"(22)"},"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552A03" w:rsidRPr="00552A03">
        <w:rPr>
          <w:rFonts w:cs="Times New Roman"/>
        </w:rPr>
        <w:t>(22)</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This additional </w:t>
      </w:r>
      <w:r w:rsidR="00DC26B4">
        <w:lastRenderedPageBreak/>
        <w:t>constraint can be added by</w:t>
      </w:r>
      <w:r w:rsidR="006D6FE3">
        <w:t xml:space="preserve"> restricting overall free energy to be negative, the equivalent of imposing the second law of thermodynamics on the organism </w:t>
      </w:r>
      <w:commentRangeStart w:id="10"/>
      <w:r w:rsidR="006D6FE3">
        <w:t>itself</w:t>
      </w:r>
      <w:commentRangeEnd w:id="10"/>
      <w:r w:rsidR="00967F47">
        <w:rPr>
          <w:rStyle w:val="CommentReference"/>
          <w:rFonts w:asciiTheme="minorHAnsi" w:hAnsiTheme="minorHAnsi"/>
        </w:rPr>
        <w:commentReference w:id="10"/>
      </w:r>
      <w:r w:rsidR="006D6FE3">
        <w:t xml:space="preserve">. </w:t>
      </w:r>
    </w:p>
    <w:p w14:paraId="42919EC9" w14:textId="379B58E9"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676337">
        <w:instrText xml:space="preserve"> ADDIN ZOTERO_ITEM CSL_CITATION {"citationID":"1dpvgoc3al","properties":{"formattedCitation":"(20)","plainCitation":"(20)"},"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552A03" w:rsidRPr="00552A03">
        <w:rPr>
          <w:rFonts w:cs="Times New Roman"/>
        </w:rPr>
        <w:t>(20)</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1"/>
      </w:r>
    </w:p>
    <w:p w14:paraId="3F60C21B" w14:textId="20F26766"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676337">
        <w:instrText xml:space="preserve"> ADDIN ZOTERO_ITEM CSL_CITATION {"citationID":"2q74n3gsc3","properties":{"formattedCitation":"(30)","plainCitation":"(30)"},"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676337">
        <w:instrText xml:space="preserve"> ADDIN ZOTERO_ITEM CSL_CITATION {"citationID":"ousa9qvtq","properties":{"formattedCitation":"(52)","plainCitation":"(52)"},"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276128" w:rsidRPr="00276128">
        <w:rPr>
          <w:rFonts w:cs="Times New Roman"/>
        </w:rPr>
        <w:t>(52)</w:t>
      </w:r>
      <w:r w:rsidR="00557844">
        <w:fldChar w:fldCharType="end"/>
      </w:r>
      <w:r w:rsidR="00557844">
        <w:t xml:space="preserve"> and </w:t>
      </w:r>
      <w:r w:rsidR="00992E1B">
        <w:t>KEGG</w:t>
      </w:r>
      <w:r w:rsidR="00322F94">
        <w:t xml:space="preserve"> identifiers </w:t>
      </w:r>
      <w:r w:rsidR="00322F94">
        <w:fldChar w:fldCharType="begin"/>
      </w:r>
      <w:r w:rsidR="00676337">
        <w:instrText xml:space="preserve"> ADDIN ZOTERO_ITEM CSL_CITATION {"citationID":"1o8214b19b","properties":{"formattedCitation":"(24)","plainCitation":"(24)"},"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552A03" w:rsidRPr="00552A03">
        <w:rPr>
          <w:rFonts w:cs="Times New Roman"/>
        </w:rPr>
        <w:t>(24)</w:t>
      </w:r>
      <w:r w:rsidR="00322F94">
        <w:fldChar w:fldCharType="end"/>
      </w:r>
      <w:r w:rsidR="00322F94">
        <w:t xml:space="preserve">, enzyme commission numbers, and reaction subsystems where available. Each reaction and gene in the </w:t>
      </w:r>
      <w:r w:rsidR="00967F47">
        <w:t>reconstruction</w:t>
      </w:r>
      <w:r w:rsidR="00322F94">
        <w:t xml:space="preserve"> is just</w:t>
      </w:r>
      <w:bookmarkStart w:id="12" w:name="_GoBack"/>
      <w:bookmarkEnd w:id="12"/>
      <w:r w:rsidR="00322F94">
        <w:t>ified and connected to its literature and/or database source (see Supplementary Materials).</w:t>
      </w:r>
      <w:r w:rsidR="00992E1B">
        <w:t xml:space="preserve"> </w:t>
      </w:r>
    </w:p>
    <w:p w14:paraId="0994C86E" w14:textId="630E6498" w:rsidR="00322F94" w:rsidRPr="00516D83" w:rsidRDefault="00992E1B" w:rsidP="00603980">
      <w:pPr>
        <w:spacing w:line="480" w:lineRule="auto"/>
      </w:pPr>
      <w:r>
        <w:lastRenderedPageBreak/>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676337">
        <w:instrText xml:space="preserve"> ADDIN ZOTERO_ITEM CSL_CITATION {"citationID":"mvn2s0n0e","properties":{"formattedCitation":"(53)","plainCitation":"(53)"},"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76128" w:rsidRPr="00276128">
        <w:rPr>
          <w:rFonts w:cs="Times New Roman"/>
        </w:rPr>
        <w:t>(53)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676337">
        <w:instrText xml:space="preserve"> ADDIN ZOTERO_ITEM CSL_CITATION {"citationID":"2or91em3fk","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2A03" w:rsidRPr="00552A03">
        <w:rPr>
          <w:rFonts w:cs="Times New Roman"/>
        </w:rPr>
        <w:t>(29)</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3"/>
      <w:r>
        <w:t>Discussion</w:t>
      </w:r>
      <w:commentRangeEnd w:id="13"/>
      <w:r w:rsidR="003B00CF">
        <w:rPr>
          <w:rStyle w:val="CommentReference"/>
          <w:rFonts w:asciiTheme="minorHAnsi" w:eastAsiaTheme="minorHAnsi" w:hAnsiTheme="minorHAnsi" w:cstheme="minorBidi"/>
          <w:b w:val="0"/>
          <w:bCs w:val="0"/>
          <w:color w:val="auto"/>
        </w:rPr>
        <w:commentReference w:id="13"/>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w:t>
      </w:r>
      <w:r>
        <w:lastRenderedPageBreak/>
        <w:t xml:space="preserve">qualitative accuracy of our </w:t>
      </w:r>
      <w:r w:rsidR="00CF4E3A">
        <w:t xml:space="preserve">reconstruction, but also in the </w:t>
      </w:r>
      <w:r>
        <w:t>formidable quantitative capabilities</w:t>
      </w:r>
      <w:r w:rsidR="00CF4E3A">
        <w:t xml:space="preserve"> of the resulting </w:t>
      </w:r>
      <w:commentRangeStart w:id="14"/>
      <w:r w:rsidR="00CF4E3A">
        <w:t>model</w:t>
      </w:r>
      <w:commentRangeEnd w:id="14"/>
      <w:r w:rsidR="00CF4E3A">
        <w:t xml:space="preserve">. </w:t>
      </w:r>
      <w:r w:rsidR="00CF4E3A">
        <w:rPr>
          <w:rStyle w:val="CommentReference"/>
          <w:rFonts w:asciiTheme="minorHAnsi" w:hAnsiTheme="minorHAnsi"/>
        </w:rPr>
        <w:commentReference w:id="14"/>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w:t>
      </w:r>
      <w:r w:rsidR="00E03BFB">
        <w:lastRenderedPageBreak/>
        <w:t xml:space="preserve">gene knockout lethality. By following this model of reconstruction distribution, we hope to encourage increased transparency and user-friendliness in all metabolic network reconstructions. </w:t>
      </w:r>
    </w:p>
    <w:p w14:paraId="64AA0910" w14:textId="1A8365E7" w:rsidR="00CD20A3" w:rsidRDefault="00CD20A3" w:rsidP="007A2129">
      <w:pPr>
        <w:spacing w:line="480" w:lineRule="auto"/>
      </w:pPr>
      <w:r>
        <w:t xml:space="preserve">Along these lines, it is crucial to recognize that our reconstruction is by no means a finished product and must be expanded and improved in the future. It is a common fallacy to believe that any model, particularly one that focuses solely on one aspect of a biological system, can be relied upon to produce quantitatively accurate </w:t>
      </w:r>
      <w:r w:rsidR="00DA7656">
        <w:t xml:space="preserve">growth </w:t>
      </w:r>
      <w:r>
        <w:t>predi</w:t>
      </w:r>
      <w:r w:rsidR="00DA7656">
        <w:t xml:space="preserve">ctions, particularly when using a model as a platform for strain design. The iMR540 reconstruction contains many of the most crucial areas of metabolism and thus captures the majority of known metabolism, but there is far more about this organism that remains unknown and that therefore remains unpredictable through merely metabolic means. For example, </w:t>
      </w:r>
      <w:r w:rsidR="00DA7656">
        <w:rPr>
          <w:i/>
        </w:rPr>
        <w:t xml:space="preserve">M. maripaludis </w:t>
      </w:r>
      <w:r w:rsidR="00DA7656">
        <w:t>cannot grow on acetate alone, yet it can take up acetate and use it as a supplementary carbon source for growth if also given formate or H</w:t>
      </w:r>
      <w:r w:rsidR="00DA7656" w:rsidRPr="00DA7656">
        <w:rPr>
          <w:vertAlign w:val="subscript"/>
        </w:rPr>
        <w:t>2</w:t>
      </w:r>
      <w:r w:rsidR="00DA7656">
        <w:t>+CO</w:t>
      </w:r>
      <w:r w:rsidR="00DA7656" w:rsidRPr="00DA7656">
        <w:rPr>
          <w:vertAlign w:val="subscript"/>
        </w:rPr>
        <w:t>2</w:t>
      </w:r>
      <w:r w:rsidR="00DA7656">
        <w:t xml:space="preserve">. Through the metabolic lens of iMR540, we predict that </w:t>
      </w:r>
      <w:r w:rsidR="00DA7656">
        <w:rPr>
          <w:i/>
        </w:rPr>
        <w:t xml:space="preserve">M. maripaludis </w:t>
      </w:r>
      <w:r w:rsidR="00DA7656">
        <w:t xml:space="preserve">should be able to achieve </w:t>
      </w:r>
      <w:proofErr w:type="spellStart"/>
      <w:r w:rsidR="00DA7656">
        <w:t>acetotrophic</w:t>
      </w:r>
      <w:proofErr w:type="spellEnd"/>
      <w:r w:rsidR="00DA7656">
        <w:t xml:space="preserve"> growth, yet this plainly goes against empirical evidence to this point. This example illustrates two salient points as they relate to this and other reconstructions. </w:t>
      </w:r>
    </w:p>
    <w:p w14:paraId="70983703" w14:textId="15882FFB" w:rsidR="00DA7656" w:rsidRPr="00DA7656" w:rsidRDefault="00DA7656" w:rsidP="007A2129">
      <w:pPr>
        <w:spacing w:line="480" w:lineRule="auto"/>
      </w:pPr>
      <w:r>
        <w:t xml:space="preserve">Firstly, we emphasize again that this reconstruction is a living network, meant not as a final product but as the first iteration of a malleable entity. The answer to biological quandaries such as the inability of </w:t>
      </w:r>
      <w:r>
        <w:rPr>
          <w:i/>
        </w:rPr>
        <w:t xml:space="preserve">M. maripaludis </w:t>
      </w:r>
      <w:r>
        <w:t xml:space="preserve">to grow on acetate alone may or may not lie in a purely metabolic model, but careful manual additions to our </w:t>
      </w:r>
      <w:r w:rsidR="008314CD">
        <w:t>reconstruction can only enrich</w:t>
      </w:r>
      <w:r>
        <w:t xml:space="preserve"> our understanding of metabolism and help us resolve how this system fits with </w:t>
      </w:r>
      <w:r w:rsidR="008314CD">
        <w:t xml:space="preserve">transcriptional regulation and other systems within the cell. Secondly, we stress that quantitative model predictions should very rarely, if ever, be taken as absolutes in and of themselves. It is particularly tempting to examine predicted model flux distributions and to declare an individual distribution or range of distributions as what is expected out of the actual organism. In reality, a </w:t>
      </w:r>
      <w:r w:rsidR="008314CD">
        <w:lastRenderedPageBreak/>
        <w:t xml:space="preserve">metabolic model’s power lies in predicting the scope of what we believe is metabolically possible, not what will actually happen in a living </w:t>
      </w:r>
      <w:proofErr w:type="gramStart"/>
      <w:r w:rsidR="008314CD">
        <w:t>system.</w:t>
      </w:r>
      <w:proofErr w:type="gramEnd"/>
      <w:r w:rsidR="008314CD">
        <w:t xml:space="preserve"> Thus, we </w:t>
      </w:r>
      <w:r w:rsidR="00347F50">
        <w:t xml:space="preserve">expect that future modelers will </w:t>
      </w:r>
      <w:r w:rsidR="008314CD">
        <w:t xml:space="preserve">our reconstruction and model as tools to generate testable experimental hypotheses and to catalyze elucidation of novel pathways in </w:t>
      </w:r>
      <w:r w:rsidR="008314CD">
        <w:rPr>
          <w:i/>
        </w:rPr>
        <w:t>M. maripaludis</w:t>
      </w:r>
      <w:r w:rsidR="008314CD">
        <w:t xml:space="preserve">. </w:t>
      </w:r>
      <w:r w:rsidR="00347F50">
        <w:t>Above all, the goal of a metabolic network reconstruction is to create a realistic representation of organism metabolism that can then be used to push forward biological discovery and fuel innovations in strain design. With this reconstruction, we have contributed a tool to help understand the unique biochemistry of hydrogenotrophic methanogens and unlock their potential as metabolic engineering targets.</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lastRenderedPageBreak/>
        <w:t>References</w:t>
      </w:r>
    </w:p>
    <w:p w14:paraId="49B5A0CF" w14:textId="77777777" w:rsidR="00676337" w:rsidRDefault="00A40676" w:rsidP="00676337">
      <w:pPr>
        <w:pStyle w:val="Bibliography"/>
      </w:pPr>
      <w:r>
        <w:fldChar w:fldCharType="begin"/>
      </w:r>
      <w:r w:rsidR="00276128">
        <w:instrText xml:space="preserve"> ADDIN ZOTERO_BIBL {"custom":[]} CSL_BIBLIOGRAPHY </w:instrText>
      </w:r>
      <w:r>
        <w:fldChar w:fldCharType="separate"/>
      </w:r>
      <w:r w:rsidR="00676337">
        <w:t xml:space="preserve">1. </w:t>
      </w:r>
      <w:r w:rsidR="00676337">
        <w:tab/>
      </w:r>
      <w:r w:rsidR="00676337">
        <w:rPr>
          <w:b/>
          <w:bCs/>
        </w:rPr>
        <w:t>Haynes CA</w:t>
      </w:r>
      <w:r w:rsidR="00676337">
        <w:t xml:space="preserve">, </w:t>
      </w:r>
      <w:r w:rsidR="00676337">
        <w:rPr>
          <w:b/>
          <w:bCs/>
        </w:rPr>
        <w:t>Gonzalez R</w:t>
      </w:r>
      <w:r w:rsidR="00676337">
        <w:t xml:space="preserve">. 2014. </w:t>
      </w:r>
      <w:proofErr w:type="gramStart"/>
      <w:r w:rsidR="00676337">
        <w:t>Rethinking biological activation of methane and conversion to liquid fuels.</w:t>
      </w:r>
      <w:proofErr w:type="gramEnd"/>
      <w:r w:rsidR="00676337">
        <w:t xml:space="preserve"> Nat </w:t>
      </w:r>
      <w:proofErr w:type="spellStart"/>
      <w:r w:rsidR="00676337">
        <w:t>Chem</w:t>
      </w:r>
      <w:proofErr w:type="spellEnd"/>
      <w:r w:rsidR="00676337">
        <w:t xml:space="preserve"> </w:t>
      </w:r>
      <w:proofErr w:type="spellStart"/>
      <w:r w:rsidR="00676337">
        <w:t>Biol</w:t>
      </w:r>
      <w:proofErr w:type="spellEnd"/>
      <w:r w:rsidR="00676337">
        <w:t xml:space="preserve"> </w:t>
      </w:r>
      <w:r w:rsidR="00676337">
        <w:rPr>
          <w:b/>
          <w:bCs/>
        </w:rPr>
        <w:t>10</w:t>
      </w:r>
      <w:r w:rsidR="00676337">
        <w:t>:331–339.</w:t>
      </w:r>
    </w:p>
    <w:p w14:paraId="57E6FBBE" w14:textId="77777777" w:rsidR="00676337" w:rsidRDefault="00676337" w:rsidP="00676337">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535479FE" w14:textId="77777777" w:rsidR="00676337" w:rsidRDefault="00676337" w:rsidP="00676337">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6AD8FA89" w14:textId="77777777" w:rsidR="00676337" w:rsidRDefault="00676337" w:rsidP="00676337">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21103DE0" w14:textId="77777777" w:rsidR="00676337" w:rsidRDefault="00676337" w:rsidP="00676337">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072287A1" w14:textId="77777777" w:rsidR="00676337" w:rsidRDefault="00676337" w:rsidP="00676337">
      <w:pPr>
        <w:pStyle w:val="Bibliography"/>
      </w:pPr>
      <w:proofErr w:type="gramStart"/>
      <w:r>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Mol </w:t>
      </w:r>
      <w:proofErr w:type="spellStart"/>
      <w:r>
        <w:t>Biol</w:t>
      </w:r>
      <w:proofErr w:type="spellEnd"/>
      <w:r>
        <w:t xml:space="preserve"> </w:t>
      </w:r>
      <w:r>
        <w:rPr>
          <w:b/>
          <w:bCs/>
        </w:rPr>
        <w:t>71</w:t>
      </w:r>
      <w:r>
        <w:t>:223–283.</w:t>
      </w:r>
    </w:p>
    <w:p w14:paraId="52B9E961" w14:textId="77777777" w:rsidR="00676337" w:rsidRDefault="00676337" w:rsidP="00676337">
      <w:pPr>
        <w:pStyle w:val="Bibliography"/>
      </w:pPr>
      <w:r>
        <w:t xml:space="preserve">7.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413B096D" w14:textId="77777777" w:rsidR="00676337" w:rsidRDefault="00676337" w:rsidP="00676337">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10E5769D" w14:textId="77777777" w:rsidR="00676337" w:rsidRDefault="00676337" w:rsidP="00676337">
      <w:pPr>
        <w:pStyle w:val="Bibliography"/>
      </w:pPr>
      <w:r>
        <w:lastRenderedPageBreak/>
        <w:t xml:space="preserve">9.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w:t>
      </w:r>
      <w:proofErr w:type="spellStart"/>
      <w:r>
        <w:t>Hydrogenotrophic</w:t>
      </w:r>
      <w:proofErr w:type="spellEnd"/>
      <w:r>
        <w:t xml:space="preserve"> Methanogen </w:t>
      </w:r>
      <w:r>
        <w:rPr>
          <w:i/>
          <w:iCs/>
        </w:rPr>
        <w:t>Methanococcus maripaludis</w:t>
      </w:r>
      <w:r>
        <w:t xml:space="preserve">. J </w:t>
      </w:r>
      <w:proofErr w:type="spellStart"/>
      <w:r>
        <w:t>Bacteriol</w:t>
      </w:r>
      <w:proofErr w:type="spellEnd"/>
      <w:r>
        <w:t xml:space="preserve"> </w:t>
      </w:r>
      <w:r>
        <w:rPr>
          <w:b/>
          <w:bCs/>
        </w:rPr>
        <w:t>186</w:t>
      </w:r>
      <w:r>
        <w:t>:6956–6969.</w:t>
      </w:r>
    </w:p>
    <w:p w14:paraId="4E041A9C" w14:textId="77777777" w:rsidR="00676337" w:rsidRDefault="00676337" w:rsidP="00676337">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w:t>
      </w:r>
      <w:proofErr w:type="spellStart"/>
      <w:r>
        <w:t>Hydrogenotrophic</w:t>
      </w:r>
      <w:proofErr w:type="spellEnd"/>
      <w:r>
        <w:t xml:space="preserve">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0E7DA7A5" w14:textId="77777777" w:rsidR="00676337" w:rsidRDefault="00676337" w:rsidP="00676337">
      <w:pPr>
        <w:pStyle w:val="Bibliography"/>
      </w:pPr>
      <w:r>
        <w:t xml:space="preserve">11.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w:t>
      </w:r>
      <w:proofErr w:type="spellStart"/>
      <w:r>
        <w:t>Microbiol</w:t>
      </w:r>
      <w:proofErr w:type="spellEnd"/>
      <w:r>
        <w:t xml:space="preserve"> Lett </w:t>
      </w:r>
      <w:r>
        <w:rPr>
          <w:b/>
          <w:bCs/>
        </w:rPr>
        <w:t>238</w:t>
      </w:r>
      <w:r>
        <w:t>:85–91.</w:t>
      </w:r>
    </w:p>
    <w:p w14:paraId="059517AC" w14:textId="77777777" w:rsidR="00676337" w:rsidRDefault="00676337" w:rsidP="00676337">
      <w:pPr>
        <w:pStyle w:val="Bibliography"/>
      </w:pPr>
      <w:r>
        <w:t xml:space="preserve">12.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43B9D3D6" w14:textId="77777777" w:rsidR="00676337" w:rsidRDefault="00676337" w:rsidP="00676337">
      <w:pPr>
        <w:pStyle w:val="Bibliography"/>
      </w:pPr>
      <w:r>
        <w:t xml:space="preserve">13.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4B0094FB" w14:textId="77777777" w:rsidR="00676337" w:rsidRDefault="00676337" w:rsidP="00676337">
      <w:pPr>
        <w:pStyle w:val="Bibliography"/>
      </w:pPr>
      <w:r>
        <w:t xml:space="preserve">14.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70602BA9" w14:textId="77777777" w:rsidR="00676337" w:rsidRDefault="00676337" w:rsidP="00676337">
      <w:pPr>
        <w:pStyle w:val="Bibliography"/>
      </w:pPr>
      <w:r>
        <w:t xml:space="preserve">15.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w:t>
      </w:r>
      <w:proofErr w:type="spellStart"/>
      <w:r>
        <w:t>Syst</w:t>
      </w:r>
      <w:proofErr w:type="spellEnd"/>
      <w:r>
        <w:t xml:space="preserve"> </w:t>
      </w:r>
      <w:proofErr w:type="spellStart"/>
      <w:r>
        <w:t>Biol</w:t>
      </w:r>
      <w:proofErr w:type="spellEnd"/>
      <w:r>
        <w:t xml:space="preserve"> </w:t>
      </w:r>
      <w:r>
        <w:rPr>
          <w:b/>
          <w:bCs/>
        </w:rPr>
        <w:t>3</w:t>
      </w:r>
      <w:r>
        <w:t>:92.</w:t>
      </w:r>
    </w:p>
    <w:p w14:paraId="3477E15D" w14:textId="77777777" w:rsidR="00676337" w:rsidRDefault="00676337" w:rsidP="00676337">
      <w:pPr>
        <w:pStyle w:val="Bibliography"/>
      </w:pPr>
      <w:r>
        <w:lastRenderedPageBreak/>
        <w:t xml:space="preserve">16.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r>
        <w:rPr>
          <w:i/>
          <w:iCs/>
        </w:rPr>
        <w:t>Methanococcus maripaludis S2</w:t>
      </w:r>
      <w:r>
        <w:t xml:space="preserve"> for CO2 capture and conversion to methane.</w:t>
      </w:r>
      <w:proofErr w:type="gramEnd"/>
      <w:r>
        <w:t xml:space="preserve"> Mol </w:t>
      </w:r>
      <w:proofErr w:type="spellStart"/>
      <w:r>
        <w:t>Biosyst</w:t>
      </w:r>
      <w:proofErr w:type="spellEnd"/>
      <w:r>
        <w:t xml:space="preserve"> </w:t>
      </w:r>
      <w:r>
        <w:rPr>
          <w:b/>
          <w:bCs/>
        </w:rPr>
        <w:t>10</w:t>
      </w:r>
      <w:r>
        <w:t>:1043–1054.</w:t>
      </w:r>
    </w:p>
    <w:p w14:paraId="760D8712" w14:textId="77777777" w:rsidR="00676337" w:rsidRDefault="00676337" w:rsidP="00676337">
      <w:pPr>
        <w:pStyle w:val="Bibliography"/>
      </w:pPr>
      <w:r>
        <w:t xml:space="preserve">17.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0003B906" w14:textId="77777777" w:rsidR="00676337" w:rsidRDefault="00676337" w:rsidP="00676337">
      <w:pPr>
        <w:pStyle w:val="Bibliography"/>
      </w:pPr>
      <w:r>
        <w:t xml:space="preserve">18.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29DDDBD8" w14:textId="77777777" w:rsidR="00676337" w:rsidRDefault="00676337" w:rsidP="00676337">
      <w:pPr>
        <w:pStyle w:val="Bibliography"/>
      </w:pPr>
      <w:r>
        <w:t xml:space="preserve">19.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3F47BDF2" w14:textId="77777777" w:rsidR="00676337" w:rsidRDefault="00676337" w:rsidP="00676337">
      <w:pPr>
        <w:pStyle w:val="Bibliography"/>
      </w:pPr>
      <w:r>
        <w:t xml:space="preserve">20.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3E4EB15D" w14:textId="77777777" w:rsidR="00676337" w:rsidRDefault="00676337" w:rsidP="00676337">
      <w:pPr>
        <w:pStyle w:val="Bibliography"/>
      </w:pPr>
      <w:r>
        <w:t xml:space="preserve">21.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6BF700BE" w14:textId="77777777" w:rsidR="00676337" w:rsidRDefault="00676337" w:rsidP="00676337">
      <w:pPr>
        <w:pStyle w:val="Bibliography"/>
      </w:pPr>
      <w:r>
        <w:t xml:space="preserve">22.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7DE46F8E" w14:textId="77777777" w:rsidR="00676337" w:rsidRDefault="00676337" w:rsidP="00676337">
      <w:pPr>
        <w:pStyle w:val="Bibliography"/>
      </w:pPr>
      <w:r>
        <w:t xml:space="preserve">23.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3F98A86D" w14:textId="77777777" w:rsidR="00676337" w:rsidRDefault="00676337" w:rsidP="00676337">
      <w:pPr>
        <w:pStyle w:val="Bibliography"/>
      </w:pPr>
      <w:r>
        <w:lastRenderedPageBreak/>
        <w:t xml:space="preserve">24.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5E823197" w14:textId="77777777" w:rsidR="00676337" w:rsidRDefault="00676337" w:rsidP="00676337">
      <w:pPr>
        <w:pStyle w:val="Bibliography"/>
      </w:pPr>
      <w:r>
        <w:t xml:space="preserve">25.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MetaCyc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43B55F72" w14:textId="77777777" w:rsidR="00676337" w:rsidRDefault="00676337" w:rsidP="00676337">
      <w:pPr>
        <w:pStyle w:val="Bibliography"/>
      </w:pPr>
      <w:r>
        <w:t xml:space="preserve">26.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201B8058" w14:textId="77777777" w:rsidR="00676337" w:rsidRDefault="00676337" w:rsidP="00676337">
      <w:pPr>
        <w:pStyle w:val="Bibliography"/>
      </w:pPr>
      <w:r>
        <w:t xml:space="preserve">27.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5A1760F8" w14:textId="77777777" w:rsidR="00676337" w:rsidRDefault="00676337" w:rsidP="00676337">
      <w:pPr>
        <w:pStyle w:val="Bibliography"/>
      </w:pPr>
      <w:r>
        <w:t xml:space="preserve">28.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4DF0025A" w14:textId="77777777" w:rsidR="00676337" w:rsidRDefault="00676337" w:rsidP="00676337">
      <w:pPr>
        <w:pStyle w:val="Bibliography"/>
      </w:pPr>
      <w:r>
        <w:t xml:space="preserve">29.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0B9724FE" w14:textId="77777777" w:rsidR="00676337" w:rsidRDefault="00676337" w:rsidP="00676337">
      <w:pPr>
        <w:pStyle w:val="Bibliography"/>
      </w:pPr>
      <w:r>
        <w:t xml:space="preserve">30.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4072E623" w14:textId="77777777" w:rsidR="00676337" w:rsidRDefault="00676337" w:rsidP="00676337">
      <w:pPr>
        <w:pStyle w:val="Bibliography"/>
      </w:pPr>
      <w:r>
        <w:lastRenderedPageBreak/>
        <w:t xml:space="preserve">31.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12F39998" w14:textId="77777777" w:rsidR="00676337" w:rsidRDefault="00676337" w:rsidP="00676337">
      <w:pPr>
        <w:pStyle w:val="Bibliography"/>
      </w:pPr>
      <w:r>
        <w:t xml:space="preserve">32.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w:t>
      </w:r>
      <w:r>
        <w:rPr>
          <w:b/>
          <w:bCs/>
        </w:rPr>
        <w:t>188</w:t>
      </w:r>
      <w:r>
        <w:t>:1373–1380.</w:t>
      </w:r>
    </w:p>
    <w:p w14:paraId="26581DA2" w14:textId="77777777" w:rsidR="00676337" w:rsidRDefault="00676337" w:rsidP="00676337">
      <w:pPr>
        <w:pStyle w:val="Bibliography"/>
      </w:pPr>
      <w:r>
        <w:t xml:space="preserve">33.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w:t>
      </w:r>
      <w:proofErr w:type="spellStart"/>
      <w:r>
        <w:t>anaplerotic</w:t>
      </w:r>
      <w:proofErr w:type="spellEnd"/>
      <w:r>
        <w:t xml:space="preserve"> role for the energy-converting hydrogenase </w:t>
      </w:r>
      <w:proofErr w:type="spellStart"/>
      <w:r>
        <w:t>Eha</w:t>
      </w:r>
      <w:proofErr w:type="spellEnd"/>
      <w:r>
        <w:t xml:space="preserve"> in </w:t>
      </w:r>
      <w:proofErr w:type="spellStart"/>
      <w:r>
        <w:t>hydrogenotrophic</w:t>
      </w:r>
      <w:proofErr w:type="spellEnd"/>
      <w:r>
        <w:t xml:space="preserve">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1D759949" w14:textId="77777777" w:rsidR="00676337" w:rsidRDefault="00676337" w:rsidP="00676337">
      <w:pPr>
        <w:pStyle w:val="Bibliography"/>
      </w:pPr>
      <w:r>
        <w:t xml:space="preserve">34.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4386394C" w14:textId="77777777" w:rsidR="00676337" w:rsidRDefault="00676337" w:rsidP="00676337">
      <w:pPr>
        <w:pStyle w:val="Bibliography"/>
      </w:pPr>
      <w:r>
        <w:t xml:space="preserve">35.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w:t>
      </w:r>
      <w:proofErr w:type="spellStart"/>
      <w:r>
        <w:t>Hydrogenotrophic</w:t>
      </w:r>
      <w:proofErr w:type="spellEnd"/>
      <w:r>
        <w:t xml:space="preserve"> Methanogen </w:t>
      </w:r>
      <w:r>
        <w:rPr>
          <w:i/>
          <w:iCs/>
        </w:rPr>
        <w:t>Methanococcus maripaludis</w:t>
      </w:r>
      <w:r>
        <w:t xml:space="preserve">. </w:t>
      </w:r>
      <w:proofErr w:type="spellStart"/>
      <w:proofErr w:type="gramStart"/>
      <w:r>
        <w:t>mBio</w:t>
      </w:r>
      <w:proofErr w:type="spellEnd"/>
      <w:proofErr w:type="gramEnd"/>
      <w:r>
        <w:t xml:space="preserve"> </w:t>
      </w:r>
      <w:r>
        <w:rPr>
          <w:b/>
          <w:bCs/>
        </w:rPr>
        <w:t>4</w:t>
      </w:r>
      <w:r>
        <w:t>:e00062–13.</w:t>
      </w:r>
    </w:p>
    <w:p w14:paraId="0F50DFCB" w14:textId="77777777" w:rsidR="00676337" w:rsidRDefault="00676337" w:rsidP="00676337">
      <w:pPr>
        <w:pStyle w:val="Bibliography"/>
      </w:pPr>
      <w:r>
        <w:t xml:space="preserve">36.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2CA637A7" w14:textId="77777777" w:rsidR="00676337" w:rsidRDefault="00676337" w:rsidP="00676337">
      <w:pPr>
        <w:pStyle w:val="Bibliography"/>
      </w:pPr>
      <w:r>
        <w:t xml:space="preserve">37.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w:t>
      </w:r>
      <w:r>
        <w:lastRenderedPageBreak/>
        <w:t xml:space="preserve">Reduction of F420 and Production of Hydrogen during Methanogenesis. J </w:t>
      </w:r>
      <w:proofErr w:type="spellStart"/>
      <w:r>
        <w:t>Bacteriol</w:t>
      </w:r>
      <w:proofErr w:type="spellEnd"/>
      <w:r>
        <w:t xml:space="preserve"> </w:t>
      </w:r>
      <w:r>
        <w:rPr>
          <w:b/>
          <w:bCs/>
        </w:rPr>
        <w:t>190</w:t>
      </w:r>
      <w:r>
        <w:t>:4818–4821.</w:t>
      </w:r>
    </w:p>
    <w:p w14:paraId="7FB1D163" w14:textId="77777777" w:rsidR="00676337" w:rsidRDefault="00676337" w:rsidP="00676337">
      <w:pPr>
        <w:pStyle w:val="Bibliography"/>
      </w:pPr>
      <w:r>
        <w:t xml:space="preserve">38.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63BACD5B" w14:textId="77777777" w:rsidR="00676337" w:rsidRDefault="00676337" w:rsidP="00676337">
      <w:pPr>
        <w:pStyle w:val="Bibliography"/>
      </w:pPr>
      <w:r>
        <w:t xml:space="preserve">39.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106508C8" w14:textId="77777777" w:rsidR="00676337" w:rsidRDefault="00676337" w:rsidP="00676337">
      <w:pPr>
        <w:pStyle w:val="Bibliography"/>
      </w:pPr>
      <w:r>
        <w:t xml:space="preserve">40.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0F0EA9A4" w14:textId="77777777" w:rsidR="00676337" w:rsidRDefault="00676337" w:rsidP="00676337">
      <w:pPr>
        <w:pStyle w:val="Bibliography"/>
      </w:pPr>
      <w:r>
        <w:t xml:space="preserve">41.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r>
        <w:rPr>
          <w:i/>
          <w:iCs/>
        </w:rPr>
        <w:t>Methanococcus maripaludis</w:t>
      </w:r>
      <w:r>
        <w:t xml:space="preserve">. J </w:t>
      </w:r>
      <w:proofErr w:type="spellStart"/>
      <w:r>
        <w:t>Bacteriol</w:t>
      </w:r>
      <w:proofErr w:type="spellEnd"/>
      <w:r>
        <w:t xml:space="preserve"> </w:t>
      </w:r>
      <w:r>
        <w:rPr>
          <w:b/>
          <w:bCs/>
        </w:rPr>
        <w:t>195</w:t>
      </w:r>
      <w:r>
        <w:t>:1456–1462.</w:t>
      </w:r>
    </w:p>
    <w:p w14:paraId="408EA8E8" w14:textId="77777777" w:rsidR="00676337" w:rsidRDefault="00676337" w:rsidP="00676337">
      <w:pPr>
        <w:pStyle w:val="Bibliography"/>
      </w:pPr>
      <w:r>
        <w:t xml:space="preserve">42.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3BF2AC31" w14:textId="77777777" w:rsidR="00676337" w:rsidRDefault="00676337" w:rsidP="00676337">
      <w:pPr>
        <w:pStyle w:val="Bibliography"/>
      </w:pPr>
      <w:r>
        <w:t xml:space="preserve">43.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r>
        <w:rPr>
          <w:i/>
          <w:iCs/>
        </w:rPr>
        <w:t>Methanosarcina</w:t>
      </w:r>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67C49A75" w14:textId="77777777" w:rsidR="00676337" w:rsidRDefault="00676337" w:rsidP="00676337">
      <w:pPr>
        <w:pStyle w:val="Bibliography"/>
      </w:pPr>
      <w:r>
        <w:t xml:space="preserve">44.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w:t>
      </w:r>
      <w:r>
        <w:lastRenderedPageBreak/>
        <w:t xml:space="preserve">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7C665F5B" w14:textId="77777777" w:rsidR="00676337" w:rsidRDefault="00676337" w:rsidP="00676337">
      <w:pPr>
        <w:pStyle w:val="Bibliography"/>
      </w:pPr>
      <w:r>
        <w:t xml:space="preserve">45.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7E6512A0" w14:textId="77777777" w:rsidR="00676337" w:rsidRDefault="00676337" w:rsidP="00676337">
      <w:pPr>
        <w:pStyle w:val="Bibliography"/>
      </w:pPr>
      <w:r>
        <w:t xml:space="preserve">46.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06888BF9" w14:textId="77777777" w:rsidR="00676337" w:rsidRDefault="00676337" w:rsidP="00676337">
      <w:pPr>
        <w:pStyle w:val="Bibliography"/>
      </w:pPr>
      <w:r>
        <w:t xml:space="preserve">47.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3F6E8F12" w14:textId="77777777" w:rsidR="00676337" w:rsidRDefault="00676337" w:rsidP="00676337">
      <w:pPr>
        <w:pStyle w:val="Bibliography"/>
      </w:pPr>
      <w:r>
        <w:t xml:space="preserve">48.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0F73878C" w14:textId="77777777" w:rsidR="00676337" w:rsidRDefault="00676337" w:rsidP="00676337">
      <w:pPr>
        <w:pStyle w:val="Bibliography"/>
      </w:pPr>
      <w:r>
        <w:t xml:space="preserve">49.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gramStart"/>
      <w:r>
        <w:t xml:space="preserve">Mol </w:t>
      </w:r>
      <w:proofErr w:type="spellStart"/>
      <w:r>
        <w:t>Syst</w:t>
      </w:r>
      <w:proofErr w:type="spellEnd"/>
      <w:r>
        <w:t xml:space="preserve"> </w:t>
      </w:r>
      <w:proofErr w:type="spellStart"/>
      <w:r>
        <w:t>Biol</w:t>
      </w:r>
      <w:proofErr w:type="spellEnd"/>
      <w:r>
        <w:t xml:space="preserve"> </w:t>
      </w:r>
      <w:r>
        <w:rPr>
          <w:b/>
          <w:bCs/>
        </w:rPr>
        <w:t>3</w:t>
      </w:r>
      <w:r>
        <w:t>.</w:t>
      </w:r>
      <w:proofErr w:type="gramEnd"/>
    </w:p>
    <w:p w14:paraId="5E23CFD0" w14:textId="77777777" w:rsidR="00676337" w:rsidRDefault="00676337" w:rsidP="00676337">
      <w:pPr>
        <w:pStyle w:val="Bibliography"/>
      </w:pPr>
      <w:r>
        <w:lastRenderedPageBreak/>
        <w:t xml:space="preserve">50.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Mol </w:t>
      </w:r>
      <w:proofErr w:type="spellStart"/>
      <w:r>
        <w:t>Syst</w:t>
      </w:r>
      <w:proofErr w:type="spellEnd"/>
      <w:r>
        <w:t xml:space="preserve"> </w:t>
      </w:r>
      <w:proofErr w:type="spellStart"/>
      <w:r>
        <w:t>Biol</w:t>
      </w:r>
      <w:proofErr w:type="spellEnd"/>
      <w:r>
        <w:t xml:space="preserve"> </w:t>
      </w:r>
      <w:r>
        <w:rPr>
          <w:b/>
          <w:bCs/>
        </w:rPr>
        <w:t>7</w:t>
      </w:r>
      <w:r>
        <w:t>:535–535.</w:t>
      </w:r>
    </w:p>
    <w:p w14:paraId="1EE8431E" w14:textId="77777777" w:rsidR="00676337" w:rsidRDefault="00676337" w:rsidP="00676337">
      <w:pPr>
        <w:pStyle w:val="Bibliography"/>
      </w:pPr>
      <w:r>
        <w:t xml:space="preserve">51.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w:t>
      </w:r>
      <w:proofErr w:type="spellStart"/>
      <w:r>
        <w:t>hydrogenotrophic</w:t>
      </w:r>
      <w:proofErr w:type="spellEnd"/>
      <w:r>
        <w:t xml:space="preserve">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4F63A698" w14:textId="77777777" w:rsidR="00676337" w:rsidRDefault="00676337" w:rsidP="00676337">
      <w:pPr>
        <w:pStyle w:val="Bibliography"/>
      </w:pPr>
      <w:r>
        <w:t xml:space="preserve">52.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3CFB071C" w14:textId="77777777" w:rsidR="00676337" w:rsidRDefault="00676337" w:rsidP="00676337">
      <w:pPr>
        <w:pStyle w:val="Bibliography"/>
      </w:pPr>
      <w:r>
        <w:t xml:space="preserve">53.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061D1ECB"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58600C0E" w:rsidR="0098443E" w:rsidRDefault="000B27FA" w:rsidP="0098443E">
      <w:pPr>
        <w:keepNext/>
      </w:pPr>
      <w:r>
        <w:rPr>
          <w:noProof/>
        </w:rPr>
        <w:lastRenderedPageBreak/>
        <w:drawing>
          <wp:inline distT="0" distB="0" distL="0" distR="0" wp14:anchorId="5436ABBD" wp14:editId="0B1138F4">
            <wp:extent cx="5830214" cy="36879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9219" t="6184" r="8195" b="3708"/>
                    <a:stretch/>
                  </pic:blipFill>
                  <pic:spPr bwMode="auto">
                    <a:xfrm>
                      <a:off x="0" y="0"/>
                      <a:ext cx="5829052" cy="3687215"/>
                    </a:xfrm>
                    <a:prstGeom prst="rect">
                      <a:avLst/>
                    </a:prstGeom>
                    <a:ln>
                      <a:noFill/>
                    </a:ln>
                    <a:extLst>
                      <a:ext uri="{53640926-AAD7-44D8-BBD7-CCE9431645EC}">
                        <a14:shadowObscured xmlns:a14="http://schemas.microsoft.com/office/drawing/2010/main"/>
                      </a:ext>
                    </a:extLst>
                  </pic:spPr>
                </pic:pic>
              </a:graphicData>
            </a:graphic>
          </wp:inline>
        </w:drawing>
      </w:r>
    </w:p>
    <w:p w14:paraId="479E28A4" w14:textId="4698BB79" w:rsidR="0098443E" w:rsidRPr="000B43BF" w:rsidRDefault="0098443E" w:rsidP="000B43BF">
      <w:pPr>
        <w:pStyle w:val="Caption"/>
        <w:rPr>
          <w:b w:val="0"/>
          <w:color w:val="auto"/>
          <w:sz w:val="20"/>
          <w:szCs w:val="20"/>
        </w:rPr>
      </w:pPr>
      <w:commentRangeStart w:id="15"/>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5"/>
      <w:r w:rsidR="00665411">
        <w:rPr>
          <w:rStyle w:val="CommentReference"/>
          <w:rFonts w:asciiTheme="minorHAnsi" w:hAnsiTheme="minorHAnsi"/>
          <w:b w:val="0"/>
          <w:bCs w:val="0"/>
          <w:color w:val="auto"/>
        </w:rPr>
        <w:commentReference w:id="15"/>
      </w:r>
      <w:r w:rsidRPr="00DB27A6">
        <w:rPr>
          <w:b w:val="0"/>
          <w:color w:val="auto"/>
          <w:sz w:val="20"/>
          <w:szCs w:val="20"/>
        </w:rPr>
        <w:t xml:space="preserve">: Comparing growth yield predictions on hydrogen </w:t>
      </w:r>
      <w:r w:rsidR="005A743B">
        <w:rPr>
          <w:b w:val="0"/>
          <w:color w:val="auto"/>
          <w:sz w:val="20"/>
          <w:szCs w:val="20"/>
        </w:rPr>
        <w:t>to measured data using LOOCV (see Methods).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lastRenderedPageBreak/>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commentRangeStart w:id="16"/>
      <w:r w:rsidRPr="00DB27A6">
        <w:rPr>
          <w:b w:val="0"/>
          <w:color w:val="auto"/>
          <w:sz w:val="20"/>
          <w:szCs w:val="20"/>
        </w:rPr>
        <w:t xml:space="preserve">Figure </w:t>
      </w:r>
      <w:commentRangeEnd w:id="16"/>
      <w:r w:rsidR="00F24EF5">
        <w:rPr>
          <w:rStyle w:val="CommentReference"/>
          <w:rFonts w:asciiTheme="minorHAnsi" w:hAnsiTheme="minorHAnsi"/>
          <w:b w:val="0"/>
          <w:bCs w:val="0"/>
          <w:color w:val="auto"/>
        </w:rPr>
        <w:commentReference w:id="16"/>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8C0DD5" w:rsidRDefault="008C0DD5"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8C0DD5" w:rsidRDefault="008C0DD5">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8C0DD5" w:rsidRDefault="008C0DD5">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8C0DD5" w:rsidRDefault="008C0DD5">
      <w:pPr>
        <w:pStyle w:val="CommentText"/>
      </w:pPr>
      <w:r>
        <w:rPr>
          <w:rStyle w:val="CommentReference"/>
        </w:rPr>
        <w:annotationRef/>
      </w:r>
      <w:r>
        <w:t>New portion talking about acetate assimilation</w:t>
      </w:r>
    </w:p>
  </w:comment>
  <w:comment w:id="4" w:author="Administrator" w:date="2015-11-17T17:16:00Z" w:initials="A">
    <w:p w14:paraId="4B73E84E" w14:textId="259AF0B3" w:rsidR="008C0DD5" w:rsidRDefault="008C0DD5">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8C0DD5" w:rsidRDefault="008C0DD5">
      <w:pPr>
        <w:pStyle w:val="CommentText"/>
      </w:pPr>
      <w:r>
        <w:rPr>
          <w:rStyle w:val="CommentReference"/>
        </w:rPr>
        <w:annotationRef/>
      </w:r>
      <w:r>
        <w:t>Whitman paper…need to look at which one</w:t>
      </w:r>
    </w:p>
  </w:comment>
  <w:comment w:id="6" w:author="Matt" w:date="2015-12-09T16:17:00Z" w:initials="M">
    <w:p w14:paraId="116FEC8D" w14:textId="586AB524" w:rsidR="008C0DD5" w:rsidRDefault="008C0DD5">
      <w:pPr>
        <w:pStyle w:val="CommentText"/>
      </w:pPr>
      <w:r>
        <w:rPr>
          <w:rStyle w:val="CommentReference"/>
        </w:rPr>
        <w:annotationRef/>
      </w:r>
      <w:r>
        <w:t>I think this is probably the best place for this curve, it’s not really a central figure</w:t>
      </w:r>
    </w:p>
  </w:comment>
  <w:comment w:id="7" w:author="Matt" w:date="2015-12-09T17:06:00Z" w:initials="M">
    <w:p w14:paraId="3F9C91D5" w14:textId="7493688D" w:rsidR="008C0DD5" w:rsidRDefault="008C0DD5">
      <w:pPr>
        <w:pStyle w:val="CommentText"/>
      </w:pPr>
      <w:r>
        <w:rPr>
          <w:rStyle w:val="CommentReference"/>
        </w:rPr>
        <w:annotationRef/>
      </w:r>
      <w:r>
        <w:t>Needs some re-wording before getting to John</w:t>
      </w:r>
    </w:p>
  </w:comment>
  <w:comment w:id="8" w:author="Matt" w:date="2015-12-15T18:50:00Z" w:initials="M">
    <w:p w14:paraId="5F653053" w14:textId="47FBCC33" w:rsidR="00F53CE5" w:rsidRDefault="00F53CE5">
      <w:pPr>
        <w:pStyle w:val="CommentText"/>
      </w:pPr>
      <w:r>
        <w:rPr>
          <w:rStyle w:val="CommentReference"/>
        </w:rPr>
        <w:annotationRef/>
      </w:r>
      <w:r w:rsidR="000157F8">
        <w:t>Perhaps I should make a figure here?</w:t>
      </w:r>
    </w:p>
  </w:comment>
  <w:comment w:id="9" w:author="Administrator" w:date="2015-09-08T16:33:00Z" w:initials="A">
    <w:p w14:paraId="6B626597" w14:textId="0674677C" w:rsidR="008C0DD5" w:rsidRDefault="008C0DD5">
      <w:pPr>
        <w:pStyle w:val="CommentText"/>
      </w:pPr>
      <w:r>
        <w:rPr>
          <w:rStyle w:val="CommentReference"/>
        </w:rPr>
        <w:annotationRef/>
      </w:r>
      <w:r>
        <w:t>Is this common sense enough? Do I need a specific source here?</w:t>
      </w:r>
    </w:p>
  </w:comment>
  <w:comment w:id="10" w:author="Administrator" w:date="2015-09-09T12:16:00Z" w:initials="A">
    <w:p w14:paraId="2B29973C" w14:textId="18E14E10" w:rsidR="008C0DD5" w:rsidRDefault="008C0DD5">
      <w:pPr>
        <w:pStyle w:val="CommentText"/>
      </w:pPr>
      <w:r>
        <w:rPr>
          <w:rStyle w:val="CommentReference"/>
        </w:rPr>
        <w:annotationRef/>
      </w:r>
      <w:r>
        <w:t>Should I have a result and figure of running this code here? It seems like that might be missing right now</w:t>
      </w:r>
    </w:p>
  </w:comment>
  <w:comment w:id="11" w:author="Administrator" w:date="2015-09-09T12:18:00Z" w:initials="A">
    <w:p w14:paraId="49F11034" w14:textId="229FD3EA" w:rsidR="008C0DD5" w:rsidRDefault="008C0DD5">
      <w:pPr>
        <w:pStyle w:val="CommentText"/>
      </w:pPr>
      <w:r>
        <w:rPr>
          <w:rStyle w:val="CommentReference"/>
        </w:rPr>
        <w:annotationRef/>
      </w:r>
      <w:r>
        <w:t>This is very much a “Data Availability” type section; perhaps it deserves its own short section separate from Results?</w:t>
      </w:r>
    </w:p>
  </w:comment>
  <w:comment w:id="13" w:author="Matt" w:date="2015-12-09T17:23:00Z" w:initials="M">
    <w:p w14:paraId="6510C95B" w14:textId="5009A15E" w:rsidR="008C0DD5" w:rsidRDefault="008C0DD5">
      <w:pPr>
        <w:pStyle w:val="CommentText"/>
      </w:pPr>
      <w:r>
        <w:rPr>
          <w:rStyle w:val="CommentReference"/>
        </w:rPr>
        <w:annotationRef/>
      </w:r>
      <w:r>
        <w:t>Still needs an overhaul</w:t>
      </w:r>
    </w:p>
  </w:comment>
  <w:comment w:id="14" w:author="Administrator" w:date="2015-09-09T12:19:00Z" w:initials="A">
    <w:p w14:paraId="3FCB8553" w14:textId="2E6241A7" w:rsidR="008C0DD5" w:rsidRDefault="008C0DD5">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5" w:author="Administrator" w:date="2015-09-08T14:21:00Z" w:initials="A">
    <w:p w14:paraId="1E05CE63" w14:textId="2ABCE296" w:rsidR="008C0DD5" w:rsidRDefault="008C0DD5">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6" w:author="Matt" w:date="2015-12-10T14:28:00Z" w:initials="M">
    <w:p w14:paraId="7B7AA8BF" w14:textId="24B434A4" w:rsidR="008C0DD5" w:rsidRDefault="008C0DD5">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E710D" w14:textId="77777777" w:rsidR="000157F8" w:rsidRDefault="000157F8" w:rsidP="00516D83">
      <w:pPr>
        <w:spacing w:after="0" w:line="240" w:lineRule="auto"/>
      </w:pPr>
      <w:r>
        <w:separator/>
      </w:r>
    </w:p>
  </w:endnote>
  <w:endnote w:type="continuationSeparator" w:id="0">
    <w:p w14:paraId="1A59B452" w14:textId="77777777" w:rsidR="000157F8" w:rsidRDefault="000157F8"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8C0DD5" w:rsidRDefault="008C0DD5">
        <w:pPr>
          <w:pStyle w:val="Footer"/>
          <w:jc w:val="center"/>
        </w:pPr>
        <w:r>
          <w:fldChar w:fldCharType="begin"/>
        </w:r>
        <w:r>
          <w:instrText xml:space="preserve"> PAGE   \* MERGEFORMAT </w:instrText>
        </w:r>
        <w:r>
          <w:fldChar w:fldCharType="separate"/>
        </w:r>
        <w:r w:rsidR="00F53CE5">
          <w:rPr>
            <w:noProof/>
          </w:rPr>
          <w:t>25</w:t>
        </w:r>
        <w:r>
          <w:rPr>
            <w:noProof/>
          </w:rPr>
          <w:fldChar w:fldCharType="end"/>
        </w:r>
      </w:p>
    </w:sdtContent>
  </w:sdt>
  <w:p w14:paraId="7DC31E85" w14:textId="77777777" w:rsidR="008C0DD5" w:rsidRDefault="008C0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22FFB" w14:textId="77777777" w:rsidR="000157F8" w:rsidRDefault="000157F8" w:rsidP="00516D83">
      <w:pPr>
        <w:spacing w:after="0" w:line="240" w:lineRule="auto"/>
      </w:pPr>
      <w:r>
        <w:separator/>
      </w:r>
    </w:p>
  </w:footnote>
  <w:footnote w:type="continuationSeparator" w:id="0">
    <w:p w14:paraId="624534F4" w14:textId="77777777" w:rsidR="000157F8" w:rsidRDefault="000157F8"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B27FA"/>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6A45"/>
    <w:rsid w:val="003C7D79"/>
    <w:rsid w:val="003E12B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6333"/>
    <w:rsid w:val="00584373"/>
    <w:rsid w:val="00586344"/>
    <w:rsid w:val="005A6784"/>
    <w:rsid w:val="005A743B"/>
    <w:rsid w:val="005B2988"/>
    <w:rsid w:val="005B4979"/>
    <w:rsid w:val="005C4FC4"/>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76337"/>
    <w:rsid w:val="00681980"/>
    <w:rsid w:val="00692E06"/>
    <w:rsid w:val="006A665D"/>
    <w:rsid w:val="006A723F"/>
    <w:rsid w:val="006B0C00"/>
    <w:rsid w:val="006B3255"/>
    <w:rsid w:val="006C011E"/>
    <w:rsid w:val="006C169C"/>
    <w:rsid w:val="006C2CF1"/>
    <w:rsid w:val="006D6FE3"/>
    <w:rsid w:val="006F6FB4"/>
    <w:rsid w:val="007032A7"/>
    <w:rsid w:val="00713837"/>
    <w:rsid w:val="00723D56"/>
    <w:rsid w:val="00735AAC"/>
    <w:rsid w:val="00737FF9"/>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613A"/>
    <w:rsid w:val="00BD54C7"/>
    <w:rsid w:val="00BF0803"/>
    <w:rsid w:val="00BF22C1"/>
    <w:rsid w:val="00BF524A"/>
    <w:rsid w:val="00C00B12"/>
    <w:rsid w:val="00C043B2"/>
    <w:rsid w:val="00C073FF"/>
    <w:rsid w:val="00C127EB"/>
    <w:rsid w:val="00C22736"/>
    <w:rsid w:val="00C22C00"/>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056C"/>
    <w:rsid w:val="00D35B0B"/>
    <w:rsid w:val="00D414E0"/>
    <w:rsid w:val="00D43FEF"/>
    <w:rsid w:val="00D53674"/>
    <w:rsid w:val="00D547AF"/>
    <w:rsid w:val="00D56916"/>
    <w:rsid w:val="00D64CB4"/>
    <w:rsid w:val="00D71AA7"/>
    <w:rsid w:val="00D74A8B"/>
    <w:rsid w:val="00D74FA7"/>
    <w:rsid w:val="00D926B5"/>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819FC"/>
    <w:rsid w:val="00F846AE"/>
    <w:rsid w:val="00F877E6"/>
    <w:rsid w:val="00F8787B"/>
    <w:rsid w:val="00F9540D"/>
    <w:rsid w:val="00FA05D1"/>
    <w:rsid w:val="00FA45DE"/>
    <w:rsid w:val="00FA60EB"/>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48B47-1ACB-448F-B309-2E7435A9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41</Pages>
  <Words>34664</Words>
  <Characters>197586</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29</cp:revision>
  <dcterms:created xsi:type="dcterms:W3CDTF">2015-11-19T20:52:00Z</dcterms:created>
  <dcterms:modified xsi:type="dcterms:W3CDTF">2015-12-16T02:51:00Z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id="fW4K9XtX"/&gt;&lt;style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