
<file path=[Content_Types].xml><?xml version="1.0" encoding="utf-8"?>
<Types xmlns="http://schemas.openxmlformats.org/package/2006/content-types">
  <Default Extension="rels" ContentType="application/vnd.openxmlformats-package.relationships+xml"/>
  <Default Extension="xml" ContentType="application/xml"/>
  <Default Extension="ti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harts/chart1.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8A6036" w14:textId="511AD246" w:rsidR="00AE62A4" w:rsidRDefault="000C75B4" w:rsidP="00414739">
      <w:pPr>
        <w:pStyle w:val="Title"/>
      </w:pPr>
      <w:r>
        <w:t xml:space="preserve">Exploring </w:t>
      </w:r>
      <w:r w:rsidR="002E5B7E">
        <w:t>Hydrogenotrophic Methanogenesis: A</w:t>
      </w:r>
      <w:r w:rsidR="00277E47">
        <w:t xml:space="preserve"> </w:t>
      </w:r>
      <w:r w:rsidR="00414739">
        <w:t xml:space="preserve">Genome Scale </w:t>
      </w:r>
      <w:r w:rsidR="00467AD6">
        <w:t>Metabolic Reconstruction</w:t>
      </w:r>
      <w:r w:rsidR="00414739">
        <w:t xml:space="preserve"> of </w:t>
      </w:r>
      <w:r w:rsidR="00414739">
        <w:rPr>
          <w:i/>
        </w:rPr>
        <w:t xml:space="preserve">Methanococcus maripaludis S2 </w:t>
      </w:r>
    </w:p>
    <w:p w14:paraId="6499E696" w14:textId="002FC5DB" w:rsidR="00BF524A" w:rsidRPr="003B14E8" w:rsidRDefault="00BF524A" w:rsidP="00BF524A">
      <w:pPr>
        <w:spacing w:line="480" w:lineRule="auto"/>
        <w:rPr>
          <w:rFonts w:cs="Times New Roman"/>
          <w:b/>
        </w:rPr>
      </w:pPr>
      <w:r w:rsidRPr="003B14E8">
        <w:rPr>
          <w:rFonts w:cs="Times New Roman"/>
          <w:b/>
        </w:rPr>
        <w:t>Matthew A. Richards</w:t>
      </w:r>
      <w:r w:rsidRPr="003B14E8">
        <w:rPr>
          <w:rFonts w:cs="Times New Roman"/>
          <w:b/>
          <w:vertAlign w:val="superscript"/>
        </w:rPr>
        <w:t>1</w:t>
      </w:r>
      <w:proofErr w:type="gramStart"/>
      <w:r w:rsidRPr="003B14E8">
        <w:rPr>
          <w:rFonts w:cs="Times New Roman"/>
          <w:b/>
          <w:vertAlign w:val="superscript"/>
        </w:rPr>
        <w:t>,2</w:t>
      </w:r>
      <w:proofErr w:type="gramEnd"/>
      <w:r w:rsidRPr="003B14E8">
        <w:rPr>
          <w:rFonts w:cs="Times New Roman"/>
          <w:b/>
        </w:rPr>
        <w:t xml:space="preserve">, </w:t>
      </w:r>
      <w:r>
        <w:rPr>
          <w:rFonts w:cs="Times New Roman"/>
          <w:b/>
        </w:rPr>
        <w:t>Thomas J. Lie</w:t>
      </w:r>
      <w:r w:rsidR="00A562C0">
        <w:rPr>
          <w:rFonts w:cs="Times New Roman"/>
          <w:b/>
          <w:vertAlign w:val="superscript"/>
        </w:rPr>
        <w:t>3</w:t>
      </w:r>
      <w:r w:rsidRPr="003B14E8">
        <w:rPr>
          <w:rFonts w:cs="Times New Roman"/>
          <w:b/>
        </w:rPr>
        <w:t xml:space="preserve">, </w:t>
      </w:r>
      <w:r w:rsidR="00A562C0">
        <w:rPr>
          <w:rFonts w:cs="Times New Roman"/>
          <w:b/>
        </w:rPr>
        <w:t>Juan Zhang</w:t>
      </w:r>
      <w:r w:rsidR="00A562C0">
        <w:rPr>
          <w:rFonts w:cs="Times New Roman"/>
          <w:b/>
          <w:vertAlign w:val="superscript"/>
        </w:rPr>
        <w:t>4</w:t>
      </w:r>
      <w:r w:rsidR="00A562C0" w:rsidRPr="003B14E8">
        <w:rPr>
          <w:rFonts w:cs="Times New Roman"/>
          <w:b/>
        </w:rPr>
        <w:t xml:space="preserve">, </w:t>
      </w:r>
      <w:r>
        <w:rPr>
          <w:rFonts w:cs="Times New Roman"/>
          <w:b/>
        </w:rPr>
        <w:t>John A. Leigh</w:t>
      </w:r>
      <w:r w:rsidR="00A562C0">
        <w:rPr>
          <w:rFonts w:cs="Times New Roman"/>
          <w:b/>
          <w:vertAlign w:val="superscript"/>
        </w:rPr>
        <w:t>3</w:t>
      </w:r>
      <w:r>
        <w:rPr>
          <w:rFonts w:cs="Times New Roman"/>
          <w:b/>
        </w:rPr>
        <w:t>*</w:t>
      </w:r>
      <w:r w:rsidRPr="003B14E8">
        <w:rPr>
          <w:rFonts w:cs="Times New Roman"/>
          <w:b/>
        </w:rPr>
        <w:t>, Nathan D. Price</w:t>
      </w:r>
      <w:r w:rsidRPr="003B14E8">
        <w:rPr>
          <w:rFonts w:cs="Times New Roman"/>
          <w:b/>
          <w:vertAlign w:val="superscript"/>
        </w:rPr>
        <w:t>2</w:t>
      </w:r>
      <w:r w:rsidRPr="003B14E8">
        <w:rPr>
          <w:rFonts w:cs="Times New Roman"/>
          <w:b/>
        </w:rPr>
        <w:t>*</w:t>
      </w:r>
    </w:p>
    <w:p w14:paraId="7F2FE2C7" w14:textId="77777777" w:rsidR="00BF524A" w:rsidRPr="003B14E8" w:rsidRDefault="00BF524A" w:rsidP="00BF524A">
      <w:pPr>
        <w:spacing w:line="480" w:lineRule="auto"/>
        <w:rPr>
          <w:rFonts w:cs="Times New Roman"/>
          <w:color w:val="000000"/>
          <w:sz w:val="20"/>
          <w:szCs w:val="20"/>
          <w:shd w:val="clear" w:color="auto" w:fill="FFFFFF"/>
        </w:rPr>
      </w:pPr>
      <w:r w:rsidRPr="003B14E8">
        <w:rPr>
          <w:rFonts w:cs="Times New Roman"/>
          <w:sz w:val="20"/>
          <w:szCs w:val="20"/>
          <w:vertAlign w:val="superscript"/>
        </w:rPr>
        <w:t>1</w:t>
      </w:r>
      <w:r w:rsidRPr="003B14E8">
        <w:rPr>
          <w:rFonts w:cs="Times New Roman"/>
          <w:color w:val="000000"/>
          <w:sz w:val="20"/>
          <w:szCs w:val="20"/>
          <w:shd w:val="clear" w:color="auto" w:fill="FFFFFF"/>
        </w:rPr>
        <w:t>Department of Chemical and Biomolecular Engineering, University of Illinois at Urbana-Champaign, Urbana, IL USA</w:t>
      </w:r>
    </w:p>
    <w:p w14:paraId="6B1BE7C6" w14:textId="77777777" w:rsidR="00BF524A" w:rsidRPr="003B14E8" w:rsidRDefault="00BF524A" w:rsidP="00BF524A">
      <w:pPr>
        <w:spacing w:line="480" w:lineRule="auto"/>
        <w:rPr>
          <w:rFonts w:cs="Times New Roman"/>
          <w:color w:val="000000"/>
          <w:sz w:val="20"/>
          <w:szCs w:val="20"/>
          <w:shd w:val="clear" w:color="auto" w:fill="FFFFFF"/>
        </w:rPr>
      </w:pPr>
      <w:r w:rsidRPr="003B14E8">
        <w:rPr>
          <w:rFonts w:cs="Times New Roman"/>
          <w:sz w:val="20"/>
          <w:szCs w:val="20"/>
          <w:vertAlign w:val="superscript"/>
        </w:rPr>
        <w:t>2</w:t>
      </w:r>
      <w:r w:rsidRPr="003B14E8">
        <w:rPr>
          <w:rFonts w:cs="Times New Roman"/>
          <w:color w:val="000000"/>
          <w:sz w:val="20"/>
          <w:szCs w:val="20"/>
          <w:shd w:val="clear" w:color="auto" w:fill="FFFFFF"/>
        </w:rPr>
        <w:t>Institute for Systems Biology, Seattle, WA, USA</w:t>
      </w:r>
    </w:p>
    <w:p w14:paraId="28977DF5" w14:textId="37137109" w:rsidR="00BF524A" w:rsidRDefault="00BF524A" w:rsidP="00BF524A">
      <w:pPr>
        <w:spacing w:line="480" w:lineRule="auto"/>
        <w:rPr>
          <w:rFonts w:cs="Times New Roman"/>
          <w:color w:val="000000"/>
          <w:sz w:val="20"/>
          <w:szCs w:val="20"/>
          <w:shd w:val="clear" w:color="auto" w:fill="FFFFFF"/>
        </w:rPr>
      </w:pPr>
      <w:r w:rsidRPr="003B14E8">
        <w:rPr>
          <w:rFonts w:cs="Times New Roman"/>
          <w:color w:val="000000"/>
          <w:sz w:val="20"/>
          <w:szCs w:val="20"/>
          <w:shd w:val="clear" w:color="auto" w:fill="FFFFFF"/>
          <w:vertAlign w:val="superscript"/>
        </w:rPr>
        <w:t>3</w:t>
      </w:r>
      <w:r w:rsidR="00A562C0">
        <w:rPr>
          <w:rFonts w:cs="Times New Roman"/>
          <w:color w:val="000000"/>
          <w:sz w:val="20"/>
          <w:szCs w:val="20"/>
          <w:shd w:val="clear" w:color="auto" w:fill="FFFFFF"/>
        </w:rPr>
        <w:t>Department of Microbiology, University of Washington, Seattle, WA, USA</w:t>
      </w:r>
    </w:p>
    <w:p w14:paraId="2595660C" w14:textId="1E4879B8" w:rsidR="00A562C0" w:rsidRDefault="00BF524A" w:rsidP="00A562C0">
      <w:pPr>
        <w:spacing w:line="480" w:lineRule="auto"/>
        <w:rPr>
          <w:rFonts w:cs="Times New Roman"/>
          <w:color w:val="000000"/>
          <w:sz w:val="20"/>
          <w:szCs w:val="20"/>
          <w:shd w:val="clear" w:color="auto" w:fill="FFFFFF"/>
        </w:rPr>
      </w:pPr>
      <w:r w:rsidRPr="00BF524A">
        <w:rPr>
          <w:rFonts w:cs="Times New Roman"/>
          <w:color w:val="000000"/>
          <w:sz w:val="20"/>
          <w:szCs w:val="20"/>
          <w:shd w:val="clear" w:color="auto" w:fill="FFFFFF"/>
          <w:vertAlign w:val="superscript"/>
        </w:rPr>
        <w:t>4</w:t>
      </w:r>
      <w:r w:rsidR="00A562C0">
        <w:rPr>
          <w:rFonts w:cs="Times New Roman"/>
          <w:color w:val="000000"/>
          <w:sz w:val="20"/>
          <w:szCs w:val="20"/>
          <w:shd w:val="clear" w:color="auto" w:fill="FFFFFF"/>
        </w:rPr>
        <w:t>Jiangnan University, China</w:t>
      </w:r>
    </w:p>
    <w:p w14:paraId="4F64352D" w14:textId="77777777" w:rsidR="00414739" w:rsidRPr="005B2988" w:rsidRDefault="00BF524A" w:rsidP="005B2988">
      <w:pPr>
        <w:spacing w:line="480" w:lineRule="auto"/>
        <w:rPr>
          <w:rFonts w:cs="Times New Roman"/>
          <w:sz w:val="20"/>
          <w:szCs w:val="20"/>
        </w:rPr>
      </w:pPr>
      <w:r w:rsidRPr="003B14E8">
        <w:rPr>
          <w:rFonts w:cs="Times New Roman"/>
          <w:color w:val="000000"/>
          <w:sz w:val="20"/>
          <w:szCs w:val="20"/>
          <w:shd w:val="clear" w:color="auto" w:fill="FFFFFF"/>
        </w:rPr>
        <w:t>*Corresponding author</w:t>
      </w:r>
      <w:r>
        <w:rPr>
          <w:rFonts w:cs="Times New Roman"/>
          <w:color w:val="000000"/>
          <w:sz w:val="20"/>
          <w:szCs w:val="20"/>
          <w:shd w:val="clear" w:color="auto" w:fill="FFFFFF"/>
        </w:rPr>
        <w:t>s</w:t>
      </w:r>
      <w:r w:rsidRPr="003B14E8">
        <w:rPr>
          <w:rFonts w:cs="Times New Roman"/>
          <w:color w:val="000000"/>
          <w:sz w:val="20"/>
          <w:szCs w:val="20"/>
          <w:shd w:val="clear" w:color="auto" w:fill="FFFFFF"/>
        </w:rPr>
        <w:t xml:space="preserve">: </w:t>
      </w:r>
      <w:hyperlink r:id="rId9" w:history="1">
        <w:r w:rsidRPr="00432CE9">
          <w:rPr>
            <w:rStyle w:val="Hyperlink"/>
            <w:rFonts w:cs="Times New Roman"/>
            <w:sz w:val="20"/>
            <w:szCs w:val="20"/>
            <w:shd w:val="clear" w:color="auto" w:fill="FFFFFF"/>
          </w:rPr>
          <w:t>nprice@systemsbiology.org</w:t>
        </w:r>
      </w:hyperlink>
      <w:r>
        <w:rPr>
          <w:rFonts w:cs="Times New Roman"/>
          <w:color w:val="000000"/>
          <w:sz w:val="20"/>
          <w:szCs w:val="20"/>
          <w:shd w:val="clear" w:color="auto" w:fill="FFFFFF"/>
        </w:rPr>
        <w:t xml:space="preserve">, </w:t>
      </w:r>
      <w:hyperlink r:id="rId10" w:history="1">
        <w:r w:rsidRPr="00432CE9">
          <w:rPr>
            <w:rStyle w:val="Hyperlink"/>
            <w:rFonts w:cs="Times New Roman"/>
            <w:sz w:val="20"/>
            <w:szCs w:val="20"/>
            <w:shd w:val="clear" w:color="auto" w:fill="FFFFFF"/>
          </w:rPr>
          <w:t>leighj@u.washington.edu</w:t>
        </w:r>
      </w:hyperlink>
      <w:r>
        <w:rPr>
          <w:rFonts w:cs="Times New Roman"/>
          <w:color w:val="000000"/>
          <w:sz w:val="20"/>
          <w:szCs w:val="20"/>
          <w:shd w:val="clear" w:color="auto" w:fill="FFFFFF"/>
        </w:rPr>
        <w:t xml:space="preserve"> </w:t>
      </w:r>
      <w:r w:rsidR="00414739">
        <w:br w:type="page"/>
      </w:r>
    </w:p>
    <w:p w14:paraId="0661BDF5" w14:textId="6CF6DD4A" w:rsidR="00D35B0B" w:rsidRDefault="00D35B0B" w:rsidP="00D35B0B">
      <w:pPr>
        <w:pStyle w:val="Heading1"/>
      </w:pPr>
      <w:r>
        <w:lastRenderedPageBreak/>
        <w:t>Abstract</w:t>
      </w:r>
    </w:p>
    <w:p w14:paraId="559443E9" w14:textId="0EA1B8C9" w:rsidR="00D35B0B" w:rsidRPr="00D35B0B" w:rsidRDefault="00D35B0B" w:rsidP="005F2447">
      <w:pPr>
        <w:spacing w:line="480" w:lineRule="auto"/>
      </w:pPr>
      <w:r>
        <w:t xml:space="preserve">Hydrogenotrophic methanogenesis occurs in multiple environments ranging from the rumen of multicellular organisms to marine environments and hot springs. </w:t>
      </w:r>
      <w:r w:rsidR="00651B46">
        <w:t xml:space="preserve">In this work we focus on </w:t>
      </w:r>
      <w:r w:rsidR="00651B46">
        <w:rPr>
          <w:i/>
        </w:rPr>
        <w:t>Methanococcus maripaludis</w:t>
      </w:r>
      <w:r w:rsidR="00651B46">
        <w:t>, a well-studied hydrogenotrophic marine methanogen.</w:t>
      </w:r>
      <w:r w:rsidR="00651B46">
        <w:rPr>
          <w:i/>
        </w:rPr>
        <w:t xml:space="preserve"> </w:t>
      </w:r>
      <w:r w:rsidR="002A1DF2">
        <w:t>Energy c</w:t>
      </w:r>
      <w:r w:rsidR="00B806A5">
        <w:t>onservation in this organism had</w:t>
      </w:r>
      <w:r w:rsidR="002A1DF2">
        <w:t xml:space="preserve"> long been a mystery; o</w:t>
      </w:r>
      <w:r w:rsidR="00651B46">
        <w:t xml:space="preserve">nly recently, it was reported that </w:t>
      </w:r>
      <w:r w:rsidR="002A1DF2">
        <w:t>it</w:t>
      </w:r>
      <w:r w:rsidR="00651B46">
        <w:t xml:space="preserve"> gains </w:t>
      </w:r>
      <w:r w:rsidR="002A1DF2">
        <w:t xml:space="preserve">energy for growth via electron bifurcation, thriving </w:t>
      </w:r>
      <w:r w:rsidR="00651B46">
        <w:t xml:space="preserve">despite the lack of sufficient coupling sites. To better understand its metabolism and compare it with other methanogens that utilize </w:t>
      </w:r>
      <w:r w:rsidR="002A1DF2">
        <w:t>a</w:t>
      </w:r>
      <w:r w:rsidR="00651B46">
        <w:t xml:space="preserve"> traditional chemiosmotic mode of energy conversation, we have built </w:t>
      </w:r>
      <w:r w:rsidR="00B25F12">
        <w:t>iMR540</w:t>
      </w:r>
      <w:r w:rsidR="00651B46">
        <w:t>, a genome scale metab</w:t>
      </w:r>
      <w:r w:rsidR="002A1DF2">
        <w:t>olic reconstruction that account</w:t>
      </w:r>
      <w:r w:rsidR="00651B46">
        <w:t xml:space="preserve">s for 539 of its 1722 protein-coding genes. </w:t>
      </w:r>
      <w:r w:rsidR="002A1DF2">
        <w:t xml:space="preserve">Our reconstructed network uses recent literature to not only portray the central electron bifurcation reaction, but also incorporate vital biosynthesis </w:t>
      </w:r>
      <w:r w:rsidR="005F2447">
        <w:t xml:space="preserve">and assimilation </w:t>
      </w:r>
      <w:r w:rsidR="002A1DF2">
        <w:t xml:space="preserve">pathways, including unique cofactor and coenzyme syntheses. We show that our distinct methanogenic pathway allows us to </w:t>
      </w:r>
      <w:r w:rsidR="00B03AFC">
        <w:t>accurately replicate experimental growth and gene knockout data. Furthermore, we use our reconstruction to probe into</w:t>
      </w:r>
      <w:r w:rsidR="00B806A5">
        <w:t xml:space="preserve"> the implications of bifurcation by showing its essentiality in </w:t>
      </w:r>
      <w:r w:rsidR="005F2447">
        <w:t xml:space="preserve">the absence of membrane-bound coupling sites </w:t>
      </w:r>
      <w:r w:rsidR="00B806A5">
        <w:t>and investigating the effects of ferredoxin</w:t>
      </w:r>
      <w:r w:rsidR="00B03AFC">
        <w:t xml:space="preserve"> </w:t>
      </w:r>
      <w:r w:rsidR="00B806A5">
        <w:t>specificity</w:t>
      </w:r>
      <w:r w:rsidR="005F2447">
        <w:t xml:space="preserve"> on the network</w:t>
      </w:r>
      <w:r w:rsidR="00B806A5">
        <w:t xml:space="preserve">. </w:t>
      </w:r>
      <w:r w:rsidR="00B03AFC">
        <w:t>Additionally, we demonstrate a novel method of applying</w:t>
      </w:r>
      <w:r w:rsidR="009E4183">
        <w:t xml:space="preserve"> thermodynamic constraints </w:t>
      </w:r>
      <w:r w:rsidR="00B03AFC">
        <w:t xml:space="preserve">to a metabolic model to quickly estimate overall organism free energy. Finally, we describe a reconstruction-specific computational toolbox we created to improve usability. Together, our results provide a computational network for exploring hydrogenotrophic methanogenesis and </w:t>
      </w:r>
      <w:r w:rsidR="00B806A5">
        <w:t>confirm the importance of electron bifurcation in this process.</w:t>
      </w:r>
    </w:p>
    <w:p w14:paraId="5512C123" w14:textId="5CEC56D4" w:rsidR="00D35B0B" w:rsidRDefault="00D35B0B" w:rsidP="00D35B0B">
      <w:pPr>
        <w:pStyle w:val="Heading1"/>
      </w:pPr>
      <w:r>
        <w:t>Importance</w:t>
      </w:r>
    </w:p>
    <w:p w14:paraId="3CE84159" w14:textId="53112B7E" w:rsidR="009E4183" w:rsidRPr="001143B5" w:rsidRDefault="001143B5" w:rsidP="005F2447">
      <w:pPr>
        <w:spacing w:line="480" w:lineRule="auto"/>
      </w:pPr>
      <w:r>
        <w:t xml:space="preserve">Understanding and applying hydrogenotrophic methanogenesis could be </w:t>
      </w:r>
      <w:proofErr w:type="gramStart"/>
      <w:r>
        <w:t>key</w:t>
      </w:r>
      <w:proofErr w:type="gramEnd"/>
      <w:r>
        <w:t xml:space="preserve"> to developing new bio-energy technologies around methane gas. </w:t>
      </w:r>
      <w:r w:rsidR="009E4183">
        <w:t xml:space="preserve">Although </w:t>
      </w:r>
      <w:proofErr w:type="gramStart"/>
      <w:r w:rsidR="002A1DF2">
        <w:t>a significant</w:t>
      </w:r>
      <w:proofErr w:type="gramEnd"/>
      <w:r w:rsidR="002A1DF2">
        <w:t xml:space="preserve"> portion</w:t>
      </w:r>
      <w:r w:rsidR="009E4183">
        <w:t xml:space="preserve"> </w:t>
      </w:r>
      <w:r>
        <w:t xml:space="preserve">biological methane </w:t>
      </w:r>
      <w:r>
        <w:lastRenderedPageBreak/>
        <w:t xml:space="preserve">is generated through this pathway, </w:t>
      </w:r>
      <w:r w:rsidR="009E4183">
        <w:t xml:space="preserve">existing methanogen models </w:t>
      </w:r>
      <w:r>
        <w:t xml:space="preserve">portray more traditional energy conservation mechanisms found in other methanogens. We have constructed a genome-scale metabolic network of </w:t>
      </w:r>
      <w:r>
        <w:rPr>
          <w:i/>
        </w:rPr>
        <w:t xml:space="preserve">Methanococcus maripaludis </w:t>
      </w:r>
      <w:r>
        <w:t xml:space="preserve">that explicitly shows this environmentally-ubiquitous process, including energy conservation through electron bifurcation. Our reconstruction demonstrates the importance of bifurcation in central metabolism, providing </w:t>
      </w:r>
      <w:r w:rsidR="002A1DF2">
        <w:t xml:space="preserve">both </w:t>
      </w:r>
      <w:r>
        <w:t xml:space="preserve">a window into </w:t>
      </w:r>
      <w:r w:rsidR="002A1DF2">
        <w:t xml:space="preserve">hydrogenotrophic methanogenesis and a hypothesis-generating platform to fuel metabolic engineering efforts. </w:t>
      </w:r>
    </w:p>
    <w:p w14:paraId="07ECBC06" w14:textId="7E86C931" w:rsidR="00D35B0B" w:rsidRDefault="00414739">
      <w:r>
        <w:br w:type="page"/>
      </w:r>
    </w:p>
    <w:p w14:paraId="6F84DB2F" w14:textId="77777777" w:rsidR="00BF524A" w:rsidRDefault="00414739" w:rsidP="00BF524A">
      <w:pPr>
        <w:pStyle w:val="Heading1"/>
      </w:pPr>
      <w:r>
        <w:lastRenderedPageBreak/>
        <w:t>Introduction</w:t>
      </w:r>
    </w:p>
    <w:p w14:paraId="42DF51AC" w14:textId="452DD7A0" w:rsidR="00C127EB" w:rsidRDefault="00F316DF" w:rsidP="00586344">
      <w:pPr>
        <w:spacing w:line="480" w:lineRule="auto"/>
      </w:pPr>
      <w:r>
        <w:t>Methane</w:t>
      </w:r>
      <w:r w:rsidR="002607EE">
        <w:t xml:space="preserve"> </w:t>
      </w:r>
      <w:r>
        <w:t xml:space="preserve">plays a critical role in the global carbon cycle </w:t>
      </w:r>
      <w:r w:rsidR="00B42019">
        <w:t>and</w:t>
      </w:r>
      <w:r>
        <w:t xml:space="preserve"> </w:t>
      </w:r>
      <w:r w:rsidR="000D63C1">
        <w:t xml:space="preserve">as a greenhouse gas, </w:t>
      </w:r>
      <w:r w:rsidR="0051683C">
        <w:t>is</w:t>
      </w:r>
      <w:r>
        <w:t xml:space="preserve"> </w:t>
      </w:r>
      <w:r w:rsidR="008C0862">
        <w:t>21 times</w:t>
      </w:r>
      <w:r w:rsidR="005B2988">
        <w:t xml:space="preserve"> more potent </w:t>
      </w:r>
      <w:r w:rsidR="00940402">
        <w:t xml:space="preserve">than </w:t>
      </w:r>
      <w:r w:rsidR="005B2988">
        <w:t xml:space="preserve">carbon dioxide </w:t>
      </w:r>
      <w:r w:rsidR="005B2988">
        <w:fldChar w:fldCharType="begin"/>
      </w:r>
      <w:r w:rsidR="00F5100D">
        <w:instrText xml:space="preserve"> ADDIN ZOTERO_ITEM CSL_CITATION {"citationID":"ajcYwuGk","properties":{"formattedCitation":"(1)","plainCitation":"(1)"},"citationItems":[{"id":336,"uris":["http://zotero.org/users/2565720/items/72N8H4IW"],"uri":["http://zotero.org/users/2565720/items/72N8H4IW"],"itemData":{"id":336,"type":"article-journal","title":"Rethinking biological activation of methane and conversion to liquid fuels","container-title":"Nature Chemical Biology","page":"331-339","volume":"10","issue":"5","source":"www.nature.com","abstract":"If methane, the main component of natural gas, can be efficiently converted to liquid fuels, world reserves of methane could satisfy the demand for transportation fuels in addition to use in other sectors. However, the direct activation of strong C-H bonds in methane and conversion to desired products remains a difficult technological challenge. This perspective reveals an opportunity to rethink the logic of biological methane activation and conversion to liquid fuels. We formulate a vision for a new foundation for methane bioconversion and suggest paths to develop technologies for the production of liquid transportation fuels from methane at high carbon yield and high energy efficiency and with low CO2 emissions. These technologies could support natural gas bioconversion facilities with a low capital cost and at small scales, which in turn could monetize the use of natural gas resources that are frequently flared, vented or emitted.","DOI":"10.1038/nchembio.1509","ISSN":"1552-4450","journalAbbreviation":"Nat Chem Biol","language":"en","author":[{"family":"Haynes","given":"Chad A."},{"family":"Gonzalez","given":"Ramon"}],"issued":{"date-parts":[["2014",5]]}}}],"schema":"https://github.com/citation-style-language/schema/raw/master/csl-citation.json"} </w:instrText>
      </w:r>
      <w:r w:rsidR="005B2988">
        <w:fldChar w:fldCharType="separate"/>
      </w:r>
      <w:r w:rsidR="00B65741" w:rsidRPr="00B65741">
        <w:rPr>
          <w:rFonts w:cs="Times New Roman"/>
        </w:rPr>
        <w:t>(1)</w:t>
      </w:r>
      <w:r w:rsidR="005B2988">
        <w:fldChar w:fldCharType="end"/>
      </w:r>
      <w:r w:rsidR="00627847">
        <w:t xml:space="preserve"> in </w:t>
      </w:r>
      <w:r w:rsidR="003512E9">
        <w:t>absorbing and emitting energy</w:t>
      </w:r>
      <w:r w:rsidR="0051683C">
        <w:t>.</w:t>
      </w:r>
      <w:r w:rsidR="00673E4C">
        <w:t xml:space="preserve"> </w:t>
      </w:r>
      <w:r w:rsidR="002670AD">
        <w:t>Additionally</w:t>
      </w:r>
      <w:r w:rsidR="00627847">
        <w:t>, i</w:t>
      </w:r>
      <w:r w:rsidR="00046038">
        <w:t>t is a candidate bridge fuel</w:t>
      </w:r>
      <w:r w:rsidR="0026382C">
        <w:t xml:space="preserve"> </w:t>
      </w:r>
      <w:r w:rsidR="0026382C">
        <w:fldChar w:fldCharType="begin"/>
      </w:r>
      <w:r w:rsidR="00F5100D">
        <w:instrText xml:space="preserve"> ADDIN ZOTERO_ITEM CSL_CITATION {"citationID":"264k9f24me","properties":{"formattedCitation":"(2)","plainCitation":"(2)"},"citationItems":[{"id":440,"uris":["http://zotero.org/users/2565720/items/HM45N4HG"],"uri":["http://zotero.org/users/2565720/items/HM45N4HG"],"itemData":{"id":440,"type":"article-journal","title":"Climate consequences of natural gas as a bridge fuel","container-title":"Climatic Change","page":"609-623","volume":"118","issue":"3-4","source":"link.springer.com","abstract":"Many have recently speculated that natural gas might become a “bridge fuel”, smoothing a transition of the global energy system from fossil fuels to zero carbon energy by temporarily offsetting the decline in coal use. Others have contended that such a bridge is incompatible with oft-discussed climate objectives and that methane leakage from natural gas system may eliminate any advantage that natural gas has over coal. Yet global climate stabilization scenarios where natural gas provides a substantial bridge are generally absent from the literature, making study of gas as a bridge fuel difficult. Here we construct a family of such scenarios and study some of their properties. In the context of the most ambitious stabilization objectives (450 ppm CO2), and absent carbon capture and sequestration, a natural gas bridge is of limited direct emissions-reducing value, since that bridge must be short. Natural gas can, however, play a more important role in the context of more modest but still stringent objectives (550 ppm CO2), which are compatible with longer natural gas bridges. Further, contrary to recent claims, methane leakage from natural gas operations is unlikely to strongly undermine the climate benefits of substituting gas for coal in the context of bridge fuel scenarios.","DOI":"10.1007/s10584-012-0658-3","ISSN":"0165-0009, 1573-1480","journalAbbreviation":"Climatic Change","language":"en","author":[{"family":"Levi","given":"Michael"}],"issued":{"date-parts":[["2013",1,3]]}}}],"schema":"https://github.com/citation-style-language/schema/raw/master/csl-citation.json"} </w:instrText>
      </w:r>
      <w:r w:rsidR="0026382C">
        <w:fldChar w:fldCharType="separate"/>
      </w:r>
      <w:r w:rsidR="00B65741" w:rsidRPr="00B65741">
        <w:rPr>
          <w:rFonts w:cs="Times New Roman"/>
        </w:rPr>
        <w:t>(2)</w:t>
      </w:r>
      <w:r w:rsidR="0026382C">
        <w:fldChar w:fldCharType="end"/>
      </w:r>
      <w:r w:rsidR="00046038">
        <w:t xml:space="preserve"> </w:t>
      </w:r>
      <w:r w:rsidR="002670AD">
        <w:t xml:space="preserve">because </w:t>
      </w:r>
      <w:r w:rsidR="00941981">
        <w:t xml:space="preserve">it burns comparatively cleaner </w:t>
      </w:r>
      <w:r w:rsidR="00046038">
        <w:t>than</w:t>
      </w:r>
      <w:r w:rsidR="002670AD">
        <w:t xml:space="preserve"> traditional</w:t>
      </w:r>
      <w:r w:rsidR="00046038">
        <w:t xml:space="preserve"> fossil fuels</w:t>
      </w:r>
      <w:r w:rsidR="004021BA">
        <w:t>.</w:t>
      </w:r>
      <w:r w:rsidR="00673E4C">
        <w:t xml:space="preserve"> </w:t>
      </w:r>
      <w:r w:rsidR="00A36979">
        <w:t xml:space="preserve"> </w:t>
      </w:r>
      <w:commentRangeStart w:id="0"/>
      <w:r w:rsidR="00A36979">
        <w:t xml:space="preserve">Advancing technology is </w:t>
      </w:r>
      <w:r w:rsidR="002670AD">
        <w:t xml:space="preserve">also </w:t>
      </w:r>
      <w:r w:rsidR="00A36979">
        <w:t xml:space="preserve">enabling this gas to be converted to high energy density liquid fuels </w:t>
      </w:r>
      <w:r w:rsidR="00941981">
        <w:t xml:space="preserve">with a lower carbon footprint </w:t>
      </w:r>
      <w:r w:rsidR="00A36979">
        <w:fldChar w:fldCharType="begin"/>
      </w:r>
      <w:r w:rsidR="00F5100D">
        <w:instrText xml:space="preserve"> ADDIN ZOTERO_ITEM CSL_CITATION {"citationID":"dg3spae36","properties":{"formattedCitation":"(3)","plainCitation":"(3)"},"citationItems":[{"id":326,"uris":["http://zotero.org/users/2565720/items/KBNUMPHH"],"uri":["http://zotero.org/users/2565720/items/KBNUMPHH"],"itemData":{"id":326,"type":"article-journal","title":"Methane oxidation by anaerobic archaea for conversion to liquid fuels","container-title":"Journal of Industrial Microbiology &amp; Biotechnology","page":"391-401","volume":"42","issue":"3","source":"link.springer.com","abstract":"Given the recent increases in natural gas reserves and associated drawbacks of current gas-to-liquids technologies, the development of a bioconversion process to directly convert methane to liquid fuels would generate considerable industrial interest. Several clades of anaerobic methanotrophic archaea (ANME) are capable of performing anaerobic oxidation of methane (AOM). AOM carried out by ANME offers carbon efficiency advantages over aerobic oxidation by conserving the entire carbon flux without losing one out of three carbon atoms to carbon dioxide. This review highlights the recent advances in understanding the key enzymes involved in AOM (i.e., methyl-coenzyme M reductase), the ecological niches of a number of ANME, the putative metabolic pathways for AOM, and the syntrophic consortia that they typically form.","DOI":"10.1007/s10295-014-1548-7","ISSN":"1367-5435, 1476-5535","journalAbbreviation":"J Ind Microbiol Biotechnol","language":"en","author":[{"family":"Mueller","given":"Thomas J."},{"family":"Grisewood","given":"Matthew J."},{"family":"Nazem-Bokaee","given":"Hadi"},{"family":"Gopalakrishnan","given":"Saratram"},{"family":"Ferry","given":"James G."},{"family":"Wood","given":"Thomas K."},{"family":"Maranas","given":"Costas D."}],"issued":{"date-parts":[["2014",11,27]]}}}],"schema":"https://github.com/citation-style-language/schema/raw/master/csl-citation.json"} </w:instrText>
      </w:r>
      <w:r w:rsidR="00A36979">
        <w:fldChar w:fldCharType="separate"/>
      </w:r>
      <w:r w:rsidR="00B65741" w:rsidRPr="00B65741">
        <w:rPr>
          <w:rFonts w:cs="Times New Roman"/>
        </w:rPr>
        <w:t>(3)</w:t>
      </w:r>
      <w:r w:rsidR="00A36979">
        <w:fldChar w:fldCharType="end"/>
      </w:r>
      <w:r w:rsidR="00A447FE">
        <w:t>.</w:t>
      </w:r>
      <w:r w:rsidR="00A36979">
        <w:t xml:space="preserve"> </w:t>
      </w:r>
      <w:r w:rsidR="00CA1420">
        <w:t xml:space="preserve">Methane is </w:t>
      </w:r>
      <w:r w:rsidR="00A36979">
        <w:t>the second</w:t>
      </w:r>
      <w:r w:rsidR="00CA1420">
        <w:t xml:space="preserve"> most abundant greenhouse gas after </w:t>
      </w:r>
      <w:r w:rsidR="007A60D0">
        <w:t>carbon dioxide</w:t>
      </w:r>
      <w:r w:rsidR="00673E4C">
        <w:t xml:space="preserve"> </w:t>
      </w:r>
      <w:r w:rsidR="00641032">
        <w:t>(ref) and</w:t>
      </w:r>
      <w:r w:rsidR="00A36979">
        <w:t xml:space="preserve"> is produced in the e</w:t>
      </w:r>
      <w:r w:rsidR="00941981">
        <w:t>nvironment</w:t>
      </w:r>
      <w:r w:rsidR="00A36979">
        <w:t xml:space="preserve"> </w:t>
      </w:r>
      <w:r w:rsidR="002670AD">
        <w:t>by</w:t>
      </w:r>
      <w:r w:rsidR="00815A63">
        <w:t xml:space="preserve"> biological </w:t>
      </w:r>
      <w:r w:rsidR="00DB0DFC">
        <w:t xml:space="preserve">(refs) </w:t>
      </w:r>
      <w:r w:rsidR="00A87FFD">
        <w:t xml:space="preserve">and non-biological </w:t>
      </w:r>
      <w:r w:rsidR="00815A63">
        <w:t xml:space="preserve">(refs) </w:t>
      </w:r>
      <w:r w:rsidR="00A36979">
        <w:t>sources.</w:t>
      </w:r>
      <w:commentRangeEnd w:id="0"/>
      <w:r w:rsidR="006A665D">
        <w:rPr>
          <w:rStyle w:val="CommentReference"/>
          <w:rFonts w:asciiTheme="minorHAnsi" w:hAnsiTheme="minorHAnsi"/>
        </w:rPr>
        <w:commentReference w:id="0"/>
      </w:r>
      <w:r w:rsidR="00DC2671">
        <w:t>.</w:t>
      </w:r>
      <w:r w:rsidR="009657EA">
        <w:t xml:space="preserve"> </w:t>
      </w:r>
      <w:r w:rsidR="00B92236">
        <w:t>Methanogens</w:t>
      </w:r>
      <w:r w:rsidR="002F7577">
        <w:t xml:space="preserve"> </w:t>
      </w:r>
      <w:r w:rsidR="0084390A">
        <w:t xml:space="preserve">are the largest biological contributors of methane, producing about 1 Gt of methane gas per year </w:t>
      </w:r>
      <w:r w:rsidR="0084390A">
        <w:fldChar w:fldCharType="begin"/>
      </w:r>
      <w:r w:rsidR="00F5100D">
        <w:instrText xml:space="preserve"> ADDIN ZOTERO_ITEM CSL_CITATION {"citationID":"12d9ngkfcj","properties":{"formattedCitation":"(4)","plainCitation":"(4)"},"citationItems":[{"id":178,"uris":["http://zotero.org/users/2565720/items/ZD6TWET9"],"uri":["http://zotero.org/users/2565720/items/ZD6TWET9"],"itemData":{"id":178,"type":"article-journal","title":"Methanogenic archaea: ecologically relevant differences in energy conservation","container-title":"Nature Reviews Microbiology","page":"579-591","volume":"6","issue":"8","source":"www.nature.com","abstract":"Most methanogenic archaea can reduce CO2 with H2 to methane, and it is generally assumed that the reactions and mechanisms of energy conservation that are involved are largely the same in all methanogens. However, this does not take into account the fact that methanogens with cytochromes have considerably higher growth yields and threshold concentrations for H2 than methanogens without cytochromes. These and other differences can be explained by the proposal outlined in this Review that in methanogens with cytochromes, the first and last steps in methanogenesis from CO2 are coupled chemiosmotically, whereas in methanogens without cytochromes, these steps are energetically coupled by a cytoplasmic enzyme complex that mediates flavin-based electron bifurcation.","DOI":"10.1038/nrmicro1931","ISSN":"1740-1526","shortTitle":"Methanogenic archaea","language":"en","author":[{"family":"Thauer","given":"Rudolf K."},{"family":"Kaster","given":"Anne-Kristin"},{"family":"Seedorf","given":"Henning"},{"family":"Buckel","given":"Wolfgang"},{"family":"Hedderich","given":"Reiner"}],"issued":{"date-parts":[["2008",8,1]]}}}],"schema":"https://github.com/citation-style-language/schema/raw/master/csl-citation.json"} </w:instrText>
      </w:r>
      <w:r w:rsidR="0084390A">
        <w:fldChar w:fldCharType="separate"/>
      </w:r>
      <w:r w:rsidR="00B65741" w:rsidRPr="00B65741">
        <w:rPr>
          <w:rFonts w:cs="Times New Roman"/>
        </w:rPr>
        <w:t>(4)</w:t>
      </w:r>
      <w:r w:rsidR="0084390A">
        <w:fldChar w:fldCharType="end"/>
      </w:r>
      <w:r w:rsidR="0084390A">
        <w:t>. This</w:t>
      </w:r>
      <w:r w:rsidR="00B92236">
        <w:t xml:space="preserve"> group of microorganisms </w:t>
      </w:r>
      <w:r w:rsidR="0084390A">
        <w:t xml:space="preserve">are </w:t>
      </w:r>
      <w:r w:rsidR="00B92236">
        <w:t xml:space="preserve">from the domain Archaea </w:t>
      </w:r>
      <w:r w:rsidR="0084390A">
        <w:t>and t</w:t>
      </w:r>
      <w:r w:rsidR="00527D1A">
        <w:t>hey</w:t>
      </w:r>
      <w:r w:rsidR="00B92236">
        <w:t xml:space="preserve"> </w:t>
      </w:r>
      <w:r w:rsidR="00527D1A">
        <w:t>grow</w:t>
      </w:r>
      <w:r w:rsidR="00F14A7D">
        <w:t xml:space="preserve"> on carbon dioxide or one or two carbon comp</w:t>
      </w:r>
      <w:r w:rsidR="002F7577">
        <w:t>o</w:t>
      </w:r>
      <w:r w:rsidR="00F14A7D">
        <w:t xml:space="preserve">unds </w:t>
      </w:r>
      <w:r w:rsidR="00527D1A">
        <w:fldChar w:fldCharType="begin"/>
      </w:r>
      <w:r w:rsidR="00F5100D">
        <w:instrText xml:space="preserve"> ADDIN ZOTERO_ITEM CSL_CITATION {"citationID":"dSo1xpOJ","properties":{"formattedCitation":"(5, 6)","plainCitation":"(5, 6)"},"citationItems":[{"id":166,"uris":["http://zotero.org/users/2565720/items/UJKJVT7G"],"uri":["http://zotero.org/users/2565720/items/UJKJVT7G"],"itemData":{"id":166,"type":"article-journal","title":"Unusual coenzymes of methanogenesis","container-title":"Annual review of biochemistry","page":"355–394","volume":"59","issue":"1","source":"Google Scholar","author":[{"family":"DiMarco","given":"Anthony A."},{"family":"Bobik","given":"Thomas A."},{"family":"Wolfe","given":"Ralph S."}],"issued":{"date-parts":[["1990"]]}}},{"id":170,"uris":["http://zotero.org/users/2565720/items/V5G3JM2J"],"uri":["http://zotero.org/users/2565720/items/V5G3JM2J"],"itemData":{"id":170,"type":"article-journal","title":"The unique biochemistry of methanogenesis","container-title":"Progress in nucleic acid research and molecular biology","page":"223–283","volume":"71","source":"Google Scholar","author":[{"family":"Deppenmeier","given":"Uwe"}],"issued":{"date-parts":[["2002"]]}}}],"schema":"https://github.com/citation-style-language/schema/raw/master/csl-citation.json"} </w:instrText>
      </w:r>
      <w:r w:rsidR="00527D1A">
        <w:fldChar w:fldCharType="separate"/>
      </w:r>
      <w:r w:rsidR="00B65741" w:rsidRPr="00B65741">
        <w:rPr>
          <w:rFonts w:cs="Times New Roman"/>
        </w:rPr>
        <w:t>(5, 6)</w:t>
      </w:r>
      <w:r w:rsidR="00527D1A">
        <w:fldChar w:fldCharType="end"/>
      </w:r>
      <w:r w:rsidR="00527D1A">
        <w:t xml:space="preserve"> </w:t>
      </w:r>
      <w:r w:rsidR="002F7577">
        <w:t xml:space="preserve">using enzymes containing </w:t>
      </w:r>
      <w:r w:rsidR="00941981">
        <w:t>unique biological co-factors (</w:t>
      </w:r>
      <w:proofErr w:type="spellStart"/>
      <w:r w:rsidR="00941981">
        <w:t>Sh</w:t>
      </w:r>
      <w:r w:rsidR="002F7577">
        <w:t>ima</w:t>
      </w:r>
      <w:proofErr w:type="spellEnd"/>
      <w:r w:rsidR="002F7577">
        <w:t xml:space="preserve"> ref)</w:t>
      </w:r>
      <w:r w:rsidR="00073EBE">
        <w:t xml:space="preserve">. </w:t>
      </w:r>
    </w:p>
    <w:p w14:paraId="179584D6" w14:textId="322E861A" w:rsidR="005119EB" w:rsidRDefault="00C510BA" w:rsidP="00586344">
      <w:pPr>
        <w:spacing w:line="480" w:lineRule="auto"/>
      </w:pPr>
      <w:r>
        <w:t>Though</w:t>
      </w:r>
      <w:r w:rsidR="00527D1A">
        <w:t xml:space="preserve"> phylogenetically and metabolically </w:t>
      </w:r>
      <w:r>
        <w:t xml:space="preserve">diverse, </w:t>
      </w:r>
      <w:r w:rsidR="00073EBE">
        <w:t>methanogens</w:t>
      </w:r>
      <w:r>
        <w:t xml:space="preserve"> </w:t>
      </w:r>
      <w:r w:rsidR="00555D72">
        <w:t>are</w:t>
      </w:r>
      <w:r w:rsidR="0034629A">
        <w:t xml:space="preserve"> </w:t>
      </w:r>
      <w:r w:rsidR="00940402">
        <w:t xml:space="preserve">separated </w:t>
      </w:r>
      <w:r w:rsidR="0034629A">
        <w:t>into two groups based on the presence o</w:t>
      </w:r>
      <w:r w:rsidR="00D74FA7">
        <w:t>r</w:t>
      </w:r>
      <w:r w:rsidR="0034629A">
        <w:t xml:space="preserve"> absence of cytochromes </w:t>
      </w:r>
      <w:r w:rsidR="0028794B">
        <w:fldChar w:fldCharType="begin"/>
      </w:r>
      <w:r w:rsidR="00F5100D">
        <w:instrText xml:space="preserve"> ADDIN ZOTERO_ITEM CSL_CITATION {"citationID":"MZqwmgiM","properties":{"formattedCitation":"(4)","plainCitation":"(4)"},"citationItems":[{"id":178,"uris":["http://zotero.org/users/2565720/items/ZD6TWET9"],"uri":["http://zotero.org/users/2565720/items/ZD6TWET9"],"itemData":{"id":178,"type":"article-journal","title":"Methanogenic archaea: ecologically relevant differences in energy conservation","container-title":"Nature Reviews Microbiology","page":"579-591","volume":"6","issue":"8","source":"www.nature.com","abstract":"Most methanogenic archaea can reduce CO2 with H2 to methane, and it is generally assumed that the reactions and mechanisms of energy conservation that are involved are largely the same in all methanogens. However, this does not take into account the fact that methanogens with cytochromes have considerably higher growth yields and threshold concentrations for H2 than methanogens without cytochromes. These and other differences can be explained by the proposal outlined in this Review that in methanogens with cytochromes, the first and last steps in methanogenesis from CO2 are coupled chemiosmotically, whereas in methanogens without cytochromes, these steps are energetically coupled by a cytoplasmic enzyme complex that mediates flavin-based electron bifurcation.","DOI":"10.1038/nrmicro1931","ISSN":"1740-1526","shortTitle":"Methanogenic archaea","language":"en","author":[{"family":"Thauer","given":"Rudolf K."},{"family":"Kaster","given":"Anne-Kristin"},{"family":"Seedorf","given":"Henning"},{"family":"Buckel","given":"Wolfgang"},{"family":"Hedderich","given":"Reiner"}],"issued":{"date-parts":[["2008",8,1]]}}}],"schema":"https://github.com/citation-style-language/schema/raw/master/csl-citation.json"} </w:instrText>
      </w:r>
      <w:r w:rsidR="0028794B">
        <w:fldChar w:fldCharType="separate"/>
      </w:r>
      <w:r w:rsidR="00B65741" w:rsidRPr="00B65741">
        <w:rPr>
          <w:rFonts w:cs="Times New Roman"/>
        </w:rPr>
        <w:t>(4)</w:t>
      </w:r>
      <w:r w:rsidR="0028794B">
        <w:fldChar w:fldCharType="end"/>
      </w:r>
      <w:r w:rsidR="0034629A">
        <w:t xml:space="preserve">. </w:t>
      </w:r>
      <w:r w:rsidR="00527D1A">
        <w:t>T</w:t>
      </w:r>
      <w:r w:rsidR="0034629A">
        <w:t>he cytochrome</w:t>
      </w:r>
      <w:r>
        <w:t>-</w:t>
      </w:r>
      <w:r w:rsidR="009C4505">
        <w:t>lacking</w:t>
      </w:r>
      <w:r w:rsidR="0034629A">
        <w:t xml:space="preserve"> methanogens </w:t>
      </w:r>
      <w:r w:rsidR="009C4505">
        <w:t xml:space="preserve">have a narrow substrate range </w:t>
      </w:r>
      <w:r w:rsidR="00527D1A">
        <w:t>of</w:t>
      </w:r>
      <w:r w:rsidR="009C4505">
        <w:t xml:space="preserve"> only H</w:t>
      </w:r>
      <w:r w:rsidR="009C4505" w:rsidRPr="009F74B8">
        <w:rPr>
          <w:vertAlign w:val="subscript"/>
        </w:rPr>
        <w:t>2</w:t>
      </w:r>
      <w:r w:rsidR="009C4505">
        <w:t xml:space="preserve"> or formate as electron donors that reduce CO</w:t>
      </w:r>
      <w:r w:rsidR="009C4505" w:rsidRPr="009F74B8">
        <w:rPr>
          <w:vertAlign w:val="subscript"/>
        </w:rPr>
        <w:t>2</w:t>
      </w:r>
      <w:r w:rsidR="009C4505">
        <w:t xml:space="preserve"> to methane</w:t>
      </w:r>
      <w:r w:rsidR="00B552F6">
        <w:t xml:space="preserve"> </w:t>
      </w:r>
      <w:r w:rsidR="00B552F6" w:rsidRPr="002F28F6">
        <w:rPr>
          <w:highlight w:val="yellow"/>
        </w:rPr>
        <w:t>(Kyle’s ref)</w:t>
      </w:r>
      <w:r w:rsidR="009C4505">
        <w:t xml:space="preserve">; they are </w:t>
      </w:r>
      <w:r w:rsidR="00555D72">
        <w:t>sometimes</w:t>
      </w:r>
      <w:r w:rsidR="00527D1A">
        <w:t xml:space="preserve"> referred to as </w:t>
      </w:r>
      <w:r w:rsidR="009C4505">
        <w:t xml:space="preserve">hydrogenotrophic methanogens. </w:t>
      </w:r>
      <w:r w:rsidR="00F339FC">
        <w:t>In</w:t>
      </w:r>
      <w:r w:rsidR="009C4505">
        <w:t xml:space="preserve"> contrast, cytochrome</w:t>
      </w:r>
      <w:r w:rsidR="00F45C05">
        <w:t xml:space="preserve">-containing (or </w:t>
      </w:r>
      <w:proofErr w:type="spellStart"/>
      <w:r w:rsidR="00F45C05">
        <w:t>methylotropic</w:t>
      </w:r>
      <w:proofErr w:type="spellEnd"/>
      <w:r w:rsidR="00F45C05">
        <w:t>) methanogens</w:t>
      </w:r>
      <w:r w:rsidR="009C4505">
        <w:t xml:space="preserve"> </w:t>
      </w:r>
      <w:r w:rsidR="003153D3">
        <w:t>utilize acetate</w:t>
      </w:r>
      <w:r>
        <w:t xml:space="preserve"> and</w:t>
      </w:r>
      <w:r w:rsidR="003153D3">
        <w:t xml:space="preserve"> methylated compounds for methanogenic growth </w:t>
      </w:r>
      <w:r w:rsidR="003E4220">
        <w:t xml:space="preserve">with </w:t>
      </w:r>
      <w:r w:rsidR="001E4B82">
        <w:t>a minority</w:t>
      </w:r>
      <w:r w:rsidR="00073EBE">
        <w:t xml:space="preserve"> </w:t>
      </w:r>
      <w:r w:rsidR="001E4B82">
        <w:t>also</w:t>
      </w:r>
      <w:r w:rsidR="00073EBE">
        <w:t xml:space="preserve"> </w:t>
      </w:r>
      <w:r w:rsidR="003E4220">
        <w:t xml:space="preserve">being able to </w:t>
      </w:r>
      <w:r w:rsidR="009F74B8">
        <w:t xml:space="preserve">grow </w:t>
      </w:r>
      <w:proofErr w:type="spellStart"/>
      <w:r w:rsidR="003E4220">
        <w:t>hydrogenotrophically</w:t>
      </w:r>
      <w:proofErr w:type="spellEnd"/>
      <w:r w:rsidR="00571211">
        <w:t xml:space="preserve">. </w:t>
      </w:r>
      <w:r w:rsidR="00314946">
        <w:t>B</w:t>
      </w:r>
      <w:r w:rsidR="00A57176">
        <w:t xml:space="preserve">oth groups have similar </w:t>
      </w:r>
      <w:r w:rsidR="00073EBE">
        <w:t xml:space="preserve">central </w:t>
      </w:r>
      <w:r w:rsidR="00A57176">
        <w:t>pathways of CO</w:t>
      </w:r>
      <w:r w:rsidR="00A57176" w:rsidRPr="00571211">
        <w:rPr>
          <w:vertAlign w:val="subscript"/>
        </w:rPr>
        <w:t>2</w:t>
      </w:r>
      <w:r w:rsidR="00A57176">
        <w:t xml:space="preserve"> reduction</w:t>
      </w:r>
      <w:r w:rsidR="00D03A1C">
        <w:t xml:space="preserve"> as well as one universally conserved membrane bound </w:t>
      </w:r>
      <w:r w:rsidR="00B11429">
        <w:t xml:space="preserve">energy </w:t>
      </w:r>
      <w:r w:rsidR="00D03A1C">
        <w:t>conservation site (</w:t>
      </w:r>
      <w:proofErr w:type="spellStart"/>
      <w:r w:rsidR="00D03A1C">
        <w:t>Mtr</w:t>
      </w:r>
      <w:proofErr w:type="spellEnd"/>
      <w:r w:rsidR="00D03A1C">
        <w:t>)</w:t>
      </w:r>
      <w:r w:rsidR="00A57176">
        <w:t xml:space="preserve">, </w:t>
      </w:r>
      <w:r w:rsidR="00314946">
        <w:t xml:space="preserve">but </w:t>
      </w:r>
      <w:r w:rsidR="00D03A1C">
        <w:t xml:space="preserve">they </w:t>
      </w:r>
      <w:r w:rsidR="00F47CF8">
        <w:t xml:space="preserve">also possess </w:t>
      </w:r>
      <w:r w:rsidR="00021362">
        <w:t>additional differing</w:t>
      </w:r>
      <w:r w:rsidR="00F47CF8">
        <w:t xml:space="preserve"> modes of energy conversation</w:t>
      </w:r>
      <w:r w:rsidR="00966787">
        <w:t>.</w:t>
      </w:r>
      <w:r w:rsidR="00CA15A3">
        <w:t xml:space="preserve"> </w:t>
      </w:r>
    </w:p>
    <w:p w14:paraId="3F663E8A" w14:textId="57373B2D" w:rsidR="00073EBE" w:rsidRDefault="00A31547" w:rsidP="00586344">
      <w:pPr>
        <w:spacing w:line="480" w:lineRule="auto"/>
      </w:pPr>
      <w:r>
        <w:t>In the last step of methylotrophic methanogenesis, a traditional membrane-bound electron transport via cytochromes serves as the mechanism of energy conservation. Reducing equivalents are transferred to a membrane bound heterodisulfide complex</w:t>
      </w:r>
      <w:r w:rsidR="00334FFD">
        <w:t xml:space="preserve"> (</w:t>
      </w:r>
      <w:proofErr w:type="spellStart"/>
      <w:r w:rsidR="00334FFD">
        <w:t>HdrDE</w:t>
      </w:r>
      <w:proofErr w:type="spellEnd"/>
      <w:r w:rsidR="00334FFD">
        <w:t>)</w:t>
      </w:r>
      <w:r>
        <w:t xml:space="preserve"> via </w:t>
      </w:r>
      <w:r>
        <w:lastRenderedPageBreak/>
        <w:t xml:space="preserve">cytochromes or methanophenazine </w:t>
      </w:r>
      <w:r w:rsidR="00351533">
        <w:t xml:space="preserve">resulting in the </w:t>
      </w:r>
      <w:r>
        <w:t xml:space="preserve">generation of an ion </w:t>
      </w:r>
      <w:r w:rsidRPr="000F6195">
        <w:t>gradient</w:t>
      </w:r>
      <w:r w:rsidR="00214692">
        <w:t xml:space="preserve"> for ATP synthesis</w:t>
      </w:r>
      <w:r>
        <w:t xml:space="preserve"> </w:t>
      </w:r>
      <w:r w:rsidRPr="000F6195">
        <w:fldChar w:fldCharType="begin"/>
      </w:r>
      <w:r w:rsidR="00F5100D">
        <w:instrText xml:space="preserve"> ADDIN ZOTERO_ITEM CSL_CITATION {"citationID":"CkepUHRZ","properties":{"formattedCitation":"(4, 7)","plainCitation":"(4, 7)"},"citationItems":[{"id":366,"uris":["http://zotero.org/users/2565720/items/HQ625M4X"],"uri":["http://zotero.org/users/2565720/items/HQ625M4X"],"itemData":{"id":366,"type":"article-journal","title":"Purification of a cytochrome b containing H2:heterodisulfide oxidoreductase complex from membranes of &lt;i&gt;Methanosarcina barkeri&lt;/i&gt;","container-title":"European Journal of Biochemistry","page":"529-535","volume":"213","issue":"1","source":"Wiley Online Library","abstract":"The reduction of CoM-S-S-HTP, the heterodisulfide of coenzyme M (H-S-CoM) and N-7-mercaptoheptanoylthreonine phosphate (H-S-HTP), with H2 is an energy-conserving step in methanogenic archaea. We report here that in Methanosarcina barkeri this reaction is catalyzed by a membrane-bound multienzyme complex, designated H2:heterodisulfide oxidoreductase complex, which was purified to apparent homogeneity. The preparation was found to be composed of nine polypeptides of apparent molecular masses 46 kDa, 39 kDa, 28 kDa, 25 kDa, 23 kDa, 21 kDa, 20 kDa, 16 kDa, and 15 kDa and to contain 3.2 nmol cytochrome b, 70 to 80 nmol non-heme iron and acidlabile sulfur, 5 nmol Ni, and 0.6 nmol FAD per mg protein. The 23 kDa polypeptide possessed heme-derived peroxidase activity indicating that this polypeptide is the cytochrome b. The purified H2:heterodisulfide oxidoreductase complex catalyzed the reduction of CoM-S-S-HTP with H2 at a specific activity of 6 U/mg protein (1 U = 1 μmol · min−1), the reduction of benzylviologen with H2 at a specific activity of 66 U/mg protein and the reduction of CoM-S-S-HTP with reduced benzylviologen at a specific activity of 24 U/mg protein. The complex did not mediate the reduction of coenzyme F420 with H2 nor the oxidation of reduced coenzyme F420 with CoM-S-S-HTP. The reduced cytochrome b in the enzyme complex could be oxidized by CoM-S-S-HTP and re-reduced by H2. The specific rates of cytochrome oxidation and reduction were too high to be resolved under our experimental conditions. The findings suggest that the H2: heterodisulfide oxidoreductase complex is composed of a F420-non-reducing hydrogenase, a cytochrome b and heterodisulfide reductase and that cytochrome b is a redox carrier in the electron transport chain involved in CoM-S-S-HTP reduction with H2.","DOI":"10.1111/j.1432-1033.1993.tb17791.x","ISSN":"1432-1033","shortTitle":"Purification of a cytochrome b containing H2","language":"en","author":[{"family":"Heiden","given":"Stefanie"},{"family":"Hedderich","given":"Reiner"},{"family":"Setzke","given":"Edgar"},{"family":"Thauer","given":"Rudolf K."}],"issued":{"date-parts":[["1993",4,1]]}}},{"id":178,"uris":["http://zotero.org/users/2565720/items/ZD6TWET9"],"uri":["http://zotero.org/users/2565720/items/ZD6TWET9"],"itemData":{"id":178,"type":"article-journal","title":"Methanogenic archaea: ecologically relevant differences in energy conservation","container-title":"Nature Reviews Microbiology","page":"579-591","volume":"6","issue":"8","source":"www.nature.com","abstract":"Most methanogenic archaea can reduce CO2 with H2 to methane, and it is generally assumed that the reactions and mechanisms of energy conservation that are involved are largely the same in all methanogens. However, this does not take into account the fact that methanogens with cytochromes have considerably higher growth yields and threshold concentrations for H2 than methanogens without cytochromes. These and other differences can be explained by the proposal outlined in this Review that in methanogens with cytochromes, the first and last steps in methanogenesis from CO2 are coupled chemiosmotically, whereas in methanogens without cytochromes, these steps are energetically coupled by a cytoplasmic enzyme complex that mediates flavin-based electron bifurcation.","DOI":"10.1038/nrmicro1931","ISSN":"1740-1526","shortTitle":"Methanogenic archaea","language":"en","author":[{"family":"Thauer","given":"Rudolf K."},{"family":"Kaster","given":"Anne-Kristin"},{"family":"Seedorf","given":"Henning"},{"family":"Buckel","given":"Wolfgang"},{"family":"Hedderich","given":"Reiner"}],"issued":{"date-parts":[["2008",8,1]]}}}],"schema":"https://github.com/citation-style-language/schema/raw/master/csl-citation.json"} </w:instrText>
      </w:r>
      <w:r w:rsidRPr="000F6195">
        <w:fldChar w:fldCharType="separate"/>
      </w:r>
      <w:r w:rsidR="00B65741" w:rsidRPr="00B65741">
        <w:rPr>
          <w:rFonts w:cs="Times New Roman"/>
        </w:rPr>
        <w:t>(4, 7)</w:t>
      </w:r>
      <w:r w:rsidRPr="000F6195">
        <w:fldChar w:fldCharType="end"/>
      </w:r>
      <w:r w:rsidRPr="000F6195">
        <w:t>.</w:t>
      </w:r>
      <w:r w:rsidR="00C540C6">
        <w:t xml:space="preserve"> </w:t>
      </w:r>
      <w:r w:rsidR="00B11429">
        <w:t>In hydrogenotrophi</w:t>
      </w:r>
      <w:r w:rsidR="00F47CF8">
        <w:t xml:space="preserve">c methanogenesis </w:t>
      </w:r>
      <w:r w:rsidR="00966787">
        <w:t xml:space="preserve">however, </w:t>
      </w:r>
      <w:r w:rsidR="00214692">
        <w:t xml:space="preserve">energy is conserved via </w:t>
      </w:r>
      <w:proofErr w:type="spellStart"/>
      <w:r w:rsidR="00F47CF8">
        <w:t>flavin</w:t>
      </w:r>
      <w:proofErr w:type="spellEnd"/>
      <w:r w:rsidR="00F47CF8">
        <w:t>-linked electron-bifurcation</w:t>
      </w:r>
      <w:r w:rsidR="00214692">
        <w:t xml:space="preserve"> </w:t>
      </w:r>
      <w:r w:rsidR="00214692" w:rsidRPr="002F28F6">
        <w:rPr>
          <w:highlight w:val="yellow"/>
        </w:rPr>
        <w:t>(ref)</w:t>
      </w:r>
      <w:r w:rsidR="00214692">
        <w:t xml:space="preserve"> </w:t>
      </w:r>
      <w:r w:rsidR="00941ECA">
        <w:t>in lieu of chemiosmosis</w:t>
      </w:r>
      <w:r w:rsidR="00F47CF8">
        <w:t>.</w:t>
      </w:r>
      <w:r w:rsidR="00AC43A6">
        <w:t xml:space="preserve"> Without cytochromes, these organisms </w:t>
      </w:r>
      <w:r w:rsidR="00681980">
        <w:t>use the energy</w:t>
      </w:r>
      <w:r w:rsidR="00AC43A6">
        <w:t xml:space="preserve"> of an energetically exergonic </w:t>
      </w:r>
      <w:r w:rsidR="00214692">
        <w:t>heterodisulfide reduction to</w:t>
      </w:r>
      <w:r w:rsidR="00F9540D">
        <w:t xml:space="preserve"> drive</w:t>
      </w:r>
      <w:r w:rsidR="00214692">
        <w:t xml:space="preserve"> the endergonic r</w:t>
      </w:r>
      <w:r w:rsidR="00021362">
        <w:t>eductio</w:t>
      </w:r>
      <w:r w:rsidR="003F2775">
        <w:t>n</w:t>
      </w:r>
      <w:r w:rsidR="00214692">
        <w:t xml:space="preserve"> of the ferredoxin associated with the </w:t>
      </w:r>
      <w:r w:rsidR="00FD7D2E">
        <w:t>first ste</w:t>
      </w:r>
      <w:r w:rsidR="00941ECA">
        <w:t>p of carbon dioxide reduction (</w:t>
      </w:r>
      <w:proofErr w:type="spellStart"/>
      <w:r w:rsidR="00941ECA">
        <w:t>Fwd</w:t>
      </w:r>
      <w:proofErr w:type="spellEnd"/>
      <w:r w:rsidR="00941ECA">
        <w:t>).</w:t>
      </w:r>
      <w:r w:rsidR="00E362C0">
        <w:t xml:space="preserve"> </w:t>
      </w:r>
      <w:r w:rsidR="00EF2C48">
        <w:t xml:space="preserve">Donor electrons from hydrogen or formate oxidation </w:t>
      </w:r>
      <w:r w:rsidR="003F2775">
        <w:t xml:space="preserve">bifurcate at the </w:t>
      </w:r>
      <w:proofErr w:type="spellStart"/>
      <w:r w:rsidR="003F2775">
        <w:t>flavin</w:t>
      </w:r>
      <w:proofErr w:type="spellEnd"/>
      <w:r w:rsidR="003F2775">
        <w:t xml:space="preserve"> containing subunit A</w:t>
      </w:r>
      <w:r w:rsidR="00E362C0">
        <w:t xml:space="preserve"> of the heterodisulfide reductase </w:t>
      </w:r>
      <w:r w:rsidR="00F819FC">
        <w:t xml:space="preserve">to the high and low potential paths of heterodisulfide and ferredoxin </w:t>
      </w:r>
      <w:r w:rsidR="00021362">
        <w:t xml:space="preserve">reduction </w:t>
      </w:r>
      <w:r w:rsidR="00F819FC">
        <w:t xml:space="preserve">respectively </w:t>
      </w:r>
      <w:r w:rsidR="00F819FC" w:rsidRPr="002F28F6">
        <w:rPr>
          <w:highlight w:val="yellow"/>
        </w:rPr>
        <w:t>(ref)</w:t>
      </w:r>
      <w:r w:rsidR="00F819FC">
        <w:t>.</w:t>
      </w:r>
      <w:r w:rsidR="00941ECA">
        <w:t xml:space="preserve"> Thus, the last </w:t>
      </w:r>
      <w:r w:rsidR="00021362">
        <w:t xml:space="preserve">exergonic </w:t>
      </w:r>
      <w:r w:rsidR="00941ECA">
        <w:t xml:space="preserve">methanogenic step drives the first </w:t>
      </w:r>
      <w:r w:rsidR="00021362">
        <w:t xml:space="preserve">endergonic </w:t>
      </w:r>
      <w:r w:rsidR="00941ECA">
        <w:t xml:space="preserve">reaction step in a </w:t>
      </w:r>
      <w:r w:rsidR="00966787">
        <w:t>cycle</w:t>
      </w:r>
      <w:r w:rsidR="00941ECA">
        <w:t xml:space="preserve"> </w:t>
      </w:r>
      <w:r w:rsidR="00941ECA" w:rsidRPr="002F28F6">
        <w:rPr>
          <w:highlight w:val="yellow"/>
        </w:rPr>
        <w:t>(reference to the Wolfe cycle)</w:t>
      </w:r>
      <w:r w:rsidR="00941ECA">
        <w:t xml:space="preserve">. </w:t>
      </w:r>
      <w:r w:rsidR="00F819FC">
        <w:t>This</w:t>
      </w:r>
      <w:r w:rsidR="00941ECA">
        <w:t xml:space="preserve"> </w:t>
      </w:r>
      <w:r w:rsidR="00021362">
        <w:t xml:space="preserve">type of energy conservation </w:t>
      </w:r>
      <w:r w:rsidR="00941ECA">
        <w:t xml:space="preserve">is not membrane associated </w:t>
      </w:r>
      <w:r w:rsidR="00941ECA" w:rsidRPr="002F28F6">
        <w:rPr>
          <w:highlight w:val="yellow"/>
        </w:rPr>
        <w:t>(ref).</w:t>
      </w:r>
    </w:p>
    <w:p w14:paraId="73B5D656" w14:textId="4688492F" w:rsidR="00535032" w:rsidRDefault="00535032" w:rsidP="00586344">
      <w:pPr>
        <w:spacing w:line="480" w:lineRule="auto"/>
      </w:pPr>
      <w:proofErr w:type="spellStart"/>
      <w:r w:rsidRPr="009D0324">
        <w:rPr>
          <w:i/>
        </w:rPr>
        <w:t>Methanococcus</w:t>
      </w:r>
      <w:proofErr w:type="spellEnd"/>
      <w:r w:rsidRPr="009D0324">
        <w:rPr>
          <w:i/>
        </w:rPr>
        <w:t xml:space="preserve"> maripaludis </w:t>
      </w:r>
      <w:r w:rsidR="009626B8">
        <w:fldChar w:fldCharType="begin"/>
      </w:r>
      <w:r w:rsidR="00F5100D">
        <w:instrText xml:space="preserve"> ADDIN ZOTERO_ITEM CSL_CITATION {"citationID":"RAdXQ6hK","properties":{"formattedCitation":"(8)","plainCitation":"(8)"},"citationItems":[{"id":5,"uris":["http://zotero.org/users/2565720/items/V5622QPW"],"uri":["http://zotero.org/users/2565720/items/V5622QPW"],"itemData":{"id":5,"type":"article-journal","title":"Characterization of &lt;i&gt;Methanococcus maripaludis&lt;/i&gt; sp. nov., a new methanogen isolated from salt marsh sediment","container-title":"Archives of Microbiology","page":"91-97","volume":"135","issue":"2","source":"link.springer.com.proxy2.library.illinois.edu","abstract":"A predominant methanogenic bacterium was isolated from salt-marsh sediment near Pawley's Island, South Carolina. A habitat-simulating medium with H2:CO2 as substrate was used for enrichment and isolation. The methanogen is strictly anaerobic, weakly-motile, non-sporeforming, Gram negative, and a pleomorphic coccoid-rod averaging 1.2 by 1.6 μm. Colonies are circular, translucent, pale yellow, and have a smooth surface and an entire edge. The organism is a mesophile, growing between 18 and 47°C, with an optimum near 38°C. The pH optimum for growth is 6.8–7.2, and only formate or a mixture of H2 plus CO2 serve as substrates. Seawater (20–70% v/v) is required, but it can be replaced by 15 mM, or greater, magnesium. Optimal growth occurs with 110 mM sodium. Growth rate is stimulated by selenium (10 μM) but organic compounds (acetate, vitamins, amino acids) are neither stimulatory nor required. The methanogen grows well in autotrophic medium with a doubling time of about 2h. Cells are fragile, are lysed by aqueous solutions of low osmolality and by detergents, and the lack muramic acid. The cell wall is a single electron dense layer. The DNA base composition is 33 mol % guanine plus cytosine. Antigenic relationship of cells and the 16S ribosomal RNA catalog indicate that the salt marsh methanogen is a unique species of Methanococcus, for which we propose the name Methanococcus maripaludis sp. nov.","DOI":"10.1007/BF00408015","ISSN":"0302-8933, 1432-072X","journalAbbreviation":"Arch. Microbiol.","language":"en","author":[{"family":"Jones","given":"W. Jack"},{"family":"Paynter","given":"M. J. B."},{"family":"Gupta","given":"R."}],"issued":{"date-parts":[["1983",8]]}}}],"schema":"https://github.com/citation-style-language/schema/raw/master/csl-citation.json"} </w:instrText>
      </w:r>
      <w:r w:rsidR="009626B8">
        <w:fldChar w:fldCharType="separate"/>
      </w:r>
      <w:r w:rsidR="00B65741" w:rsidRPr="00B65741">
        <w:rPr>
          <w:rFonts w:cs="Times New Roman"/>
        </w:rPr>
        <w:t>(8)</w:t>
      </w:r>
      <w:r w:rsidR="009626B8">
        <w:fldChar w:fldCharType="end"/>
      </w:r>
      <w:r w:rsidR="009626B8">
        <w:t xml:space="preserve"> </w:t>
      </w:r>
      <w:r w:rsidR="00966787">
        <w:t>belongs to this</w:t>
      </w:r>
      <w:r w:rsidR="009626B8">
        <w:t xml:space="preserve"> group of hydrogenotrophic methanogens. </w:t>
      </w:r>
      <w:r w:rsidR="00D11FBC">
        <w:t>Compared to the larger genome of methylotrophic methanogens, its genome</w:t>
      </w:r>
      <w:r w:rsidR="00D71AA7">
        <w:t xml:space="preserve"> is relatively small and</w:t>
      </w:r>
      <w:r w:rsidR="00D11FBC">
        <w:t xml:space="preserve"> </w:t>
      </w:r>
      <w:r w:rsidR="00D71AA7">
        <w:t xml:space="preserve">contains </w:t>
      </w:r>
      <w:r w:rsidR="00D11FBC">
        <w:t xml:space="preserve">for </w:t>
      </w:r>
      <w:r w:rsidR="001B65A0">
        <w:t xml:space="preserve">only 1722 protein coding genes </w:t>
      </w:r>
      <w:r w:rsidR="001B65A0">
        <w:fldChar w:fldCharType="begin"/>
      </w:r>
      <w:r w:rsidR="00F5100D">
        <w:instrText xml:space="preserve"> ADDIN ZOTERO_ITEM CSL_CITATION {"citationID":"1egc061ljo","properties":{"formattedCitation":"(9)","plainCitation":"(9)"},"citationItems":[{"id":11,"uris":["http://zotero.org/users/2565720/items/96U2HCBI"],"uri":["http://zotero.org/users/2565720/items/96U2HCBI"],"itemData":{"id":11,"type":"article-journal","title":"Complete Genome Sequence of the Genetically Tractable Hydrogenotrophic Methanogen &lt;i&gt;Methanococcus maripaludis&lt;/i&gt;","container-title":"Journal of Bacteriology","page":"6956-6969","volume":"186","issue":"20","source":"jb.asm.org","abstract":"The genome sequence of the genetically tractable, mesophilic, hydrogenotrophic methanogen Methanococcus maripaludis contains 1,722 protein-coding genes in a single circular chromosome of 1,661,137 bp. Of the protein-coding genes (open reading frames [ORFs]), 44% were assigned a function, 48% were conserved but had unknown or uncertain functions, and 7.5% (129 ORFs) were unique to M. maripaludis. Of the unique ORFs, 27 were confirmed to encode proteins by the mass spectrometric identification of unique peptides. Genes for most known functions and pathways were identified. For example, a full complement of hydrogenases and methanogenesis enzymes was identified, including eight selenocysteine-containing proteins, with each being paralogous to a cysteine-containing counterpart. At least 59 proteins were predicted to contain iron-sulfur centers, including ferredoxins, polyferredoxins, and subunits of enzymes with various redox functions. Unusual features included the absence of a Cdc6 homolog, implying a variation in replication initiation, and the presence of a bacterial-like RNase HI as well as an RNase HII typical of the Archaea. The presence of alanine dehydrogenase and alanine racemase, which are uniquely present among the Archaea, explained the ability of the organism to use l- and d-alanine as nitrogen sources. Features that contrasted with the related organism Methanocaldococcus jannaschii included the absence of inteins, even though close homologs of most intein-containing proteins were encoded. Although two-thirds of the ORFs had their highest Blastp hits in Methanocaldococcus jannaschii, lateral gene transfer or gene loss has apparently resulted in genes, which are often clustered, with top Blastp hits in more distantly related groups.","DOI":"10.1128/JB.186.20.6956-6969.2004","ISSN":"0021-9193, 1098-5530","note":"PMID: 15466049","journalAbbreviation":"J. Bacteriol.","language":"en","author":[{"family":"Hendrickson","given":"E. L."},{"family":"Kaul","given":"R."},{"family":"Zhou","given":"Y."},{"family":"Bovee","given":"D."},{"family":"Chapman","given":"P."},{"family":"Chung","given":"J."},{"family":"Macario","given":"E. Conway","dropping-particle":"de"},{"family":"Dodsworth","given":"J. A."},{"family":"Gillett","given":"W."},{"family":"Graham","given":"D. E."},{"family":"Hackett","given":"M."},{"family":"Haydock","given":"A. K."},{"family":"Kang","given":"A."},{"family":"Land","given":"M. L."},{"family":"Levy","given":"R."},{"family":"Lie","given":"T. J."},{"family":"Major","given":"T. A."},{"family":"Moore","given":"B. C."},{"family":"Porat","given":"I."},{"family":"Palmeiri","given":"A."},{"family":"Rouse","given":"G."},{"family":"Saenphimmachak","given":"C."},{"family":"Söll","given":"D."},{"family":"Dien","given":"S. Van"},{"family":"Wang","given":"T."},{"family":"Whitman","given":"W. B."},{"family":"Xia","given":"Q."},{"family":"Zhang","given":"Y."},{"family":"Larimer","given":"F. W."},{"family":"Olson","given":"M. V."},{"family":"Leigh","given":"J. A."}],"issued":{"date-parts":[["2004",10,15]]},"PMID":"15466049"}}],"schema":"https://github.com/citation-style-language/schema/raw/master/csl-citation.json"} </w:instrText>
      </w:r>
      <w:r w:rsidR="001B65A0">
        <w:fldChar w:fldCharType="separate"/>
      </w:r>
      <w:r w:rsidR="00B65741" w:rsidRPr="00B65741">
        <w:rPr>
          <w:rFonts w:cs="Times New Roman"/>
        </w:rPr>
        <w:t>(9)</w:t>
      </w:r>
      <w:r w:rsidR="001B65A0">
        <w:fldChar w:fldCharType="end"/>
      </w:r>
      <w:r w:rsidR="00D11FBC">
        <w:t>.</w:t>
      </w:r>
      <w:r w:rsidR="001B65A0">
        <w:t xml:space="preserve"> </w:t>
      </w:r>
      <w:r w:rsidR="00D11FBC">
        <w:t>However, it</w:t>
      </w:r>
      <w:r w:rsidR="001B65A0">
        <w:t xml:space="preserve"> grows </w:t>
      </w:r>
      <w:r w:rsidR="00D11FBC">
        <w:t xml:space="preserve">robustly </w:t>
      </w:r>
      <w:r w:rsidR="00DA124D">
        <w:t xml:space="preserve">with a </w:t>
      </w:r>
      <w:r w:rsidR="007A2B72">
        <w:t>doubling</w:t>
      </w:r>
      <w:r w:rsidR="00DA124D">
        <w:t xml:space="preserve"> time of 2 hours</w:t>
      </w:r>
      <w:r w:rsidR="007A2B72">
        <w:t xml:space="preserve"> </w:t>
      </w:r>
      <w:r w:rsidR="007A2B72">
        <w:fldChar w:fldCharType="begin"/>
      </w:r>
      <w:r w:rsidR="00F5100D">
        <w:instrText xml:space="preserve"> ADDIN ZOTERO_ITEM CSL_CITATION {"citationID":"fm08jrqff","properties":{"formattedCitation":"(8)","plainCitation":"(8)"},"citationItems":[{"id":5,"uris":["http://zotero.org/users/2565720/items/V5622QPW"],"uri":["http://zotero.org/users/2565720/items/V5622QPW"],"itemData":{"id":5,"type":"article-journal","title":"Characterization of &lt;i&gt;Methanococcus maripaludis&lt;/i&gt; sp. nov., a new methanogen isolated from salt marsh sediment","container-title":"Archives of Microbiology","page":"91-97","volume":"135","issue":"2","source":"link.springer.com.proxy2.library.illinois.edu","abstract":"A predominant methanogenic bacterium was isolated from salt-marsh sediment near Pawley's Island, South Carolina. A habitat-simulating medium with H2:CO2 as substrate was used for enrichment and isolation. The methanogen is strictly anaerobic, weakly-motile, non-sporeforming, Gram negative, and a pleomorphic coccoid-rod averaging 1.2 by 1.6 μm. Colonies are circular, translucent, pale yellow, and have a smooth surface and an entire edge. The organism is a mesophile, growing between 18 and 47°C, with an optimum near 38°C. The pH optimum for growth is 6.8–7.2, and only formate or a mixture of H2 plus CO2 serve as substrates. Seawater (20–70% v/v) is required, but it can be replaced by 15 mM, or greater, magnesium. Optimal growth occurs with 110 mM sodium. Growth rate is stimulated by selenium (10 μM) but organic compounds (acetate, vitamins, amino acids) are neither stimulatory nor required. The methanogen grows well in autotrophic medium with a doubling time of about 2h. Cells are fragile, are lysed by aqueous solutions of low osmolality and by detergents, and the lack muramic acid. The cell wall is a single electron dense layer. The DNA base composition is 33 mol % guanine plus cytosine. Antigenic relationship of cells and the 16S ribosomal RNA catalog indicate that the salt marsh methanogen is a unique species of Methanococcus, for which we propose the name Methanococcus maripaludis sp. nov.","DOI":"10.1007/BF00408015","ISSN":"0302-8933, 1432-072X","journalAbbreviation":"Arch. Microbiol.","language":"en","author":[{"family":"Jones","given":"W. Jack"},{"family":"Paynter","given":"M. J. B."},{"family":"Gupta","given":"R."}],"issued":{"date-parts":[["1983",8]]}}}],"schema":"https://github.com/citation-style-language/schema/raw/master/csl-citation.json"} </w:instrText>
      </w:r>
      <w:r w:rsidR="007A2B72">
        <w:fldChar w:fldCharType="separate"/>
      </w:r>
      <w:r w:rsidR="00B65741" w:rsidRPr="00B65741">
        <w:rPr>
          <w:rFonts w:cs="Times New Roman"/>
        </w:rPr>
        <w:t>(8)</w:t>
      </w:r>
      <w:r w:rsidR="007A2B72">
        <w:fldChar w:fldCharType="end"/>
      </w:r>
      <w:r w:rsidR="00DA124D">
        <w:t xml:space="preserve"> </w:t>
      </w:r>
      <w:r w:rsidR="00D11FBC">
        <w:t xml:space="preserve">and </w:t>
      </w:r>
      <w:r w:rsidR="00DA124D">
        <w:t xml:space="preserve">is genetically tractable </w:t>
      </w:r>
      <w:r w:rsidR="00E1148F">
        <w:fldChar w:fldCharType="begin"/>
      </w:r>
      <w:r w:rsidR="00F5100D">
        <w:instrText xml:space="preserve"> ADDIN ZOTERO_ITEM CSL_CITATION {"citationID":"ji534o37v","properties":{"formattedCitation":"(10)","plainCitation":"(10)"},"citationItems":[{"id":374,"uris":["http://zotero.org/users/2565720/items/T3J7D9VQ"],"uri":["http://zotero.org/users/2565720/items/T3J7D9VQ"],"itemData":{"id":374,"type":"chapter","title":"Chapter three - Genetic Systems for Hydrogenotrophic Methanogens","container-title":"Methods in Enzymology","collection-title":"Methods in Methane Metabolism, Part A","publisher":"Academic Press","page":"43-73","volume":"494","source":"ScienceDirect","abstract":"Methanogens are obligate anaerobic Archaea that produce energy from the biosynthesis of methane. These lithotrophic microorganisms are widely distributed in oxygen-free environments and participate actively in the carbon cycle. Indeed, methanogenesis plays a major role in the last step of the anoxic degradation of organic substances, transforming acetate, CO2, and H2 to methane. The vast majority of the known methanogens are classified as hydrogenotrophic because they use principally H2 as the electron donor to drive the reduction of CO2. Unlike many other cultured Archaea, many methanogens thrive in neutral pH, low salinity, and temperate environments. This has been a great advantage in cultivating these organisms in laboratory conditions and in the development of genetic tools. Moreover, the hydrogenotroph Methanococcus maripaludis is currently a model organism among Archaea, not only for its utility in genetic but also for biochemical and physiological studies. Over time, a broad spectrum of genetic tools and techniques has been developed for methanococci, such as site-directed mutagenesis, selectable markers, transformation methods, and reporter genes. These tools have contributed greatly to the overall understanding of this group of microorganisms and the processes that govern its life style. In this chapter, we describe in detail the available genetic tools for the hydrogenotrophic methanogens.","URL":"http://www.sciencedirect.com/science/article/pii/B9780123851123000032","author":[{"family":"Sarmiento","given":"Felipe B."},{"family":"Leigh","given":"John A."},{"family":"Whitman","given":"William B."}],"editor":[{"family":"Ragsdale","given":"Amy C. Rosenzweig and Stephen W."}],"issued":{"date-parts":[["2011"]]},"accessed":{"date-parts":[["2015",9,4]]}}}],"schema":"https://github.com/citation-style-language/schema/raw/master/csl-citation.json"} </w:instrText>
      </w:r>
      <w:r w:rsidR="00E1148F">
        <w:fldChar w:fldCharType="separate"/>
      </w:r>
      <w:r w:rsidR="00B65741" w:rsidRPr="00B65741">
        <w:rPr>
          <w:rFonts w:cs="Times New Roman"/>
        </w:rPr>
        <w:t>(10)</w:t>
      </w:r>
      <w:r w:rsidR="00E1148F">
        <w:fldChar w:fldCharType="end"/>
      </w:r>
      <w:r w:rsidR="00C510BA">
        <w:t>,</w:t>
      </w:r>
      <w:r w:rsidR="00D11FBC">
        <w:t xml:space="preserve"> and thus, has been an ideal candidate for </w:t>
      </w:r>
      <w:r w:rsidR="001B65A0">
        <w:t>studying methanogenesis</w:t>
      </w:r>
      <w:r w:rsidR="00D11FBC">
        <w:t xml:space="preserve"> (</w:t>
      </w:r>
      <w:r w:rsidR="00D11FBC" w:rsidRPr="00C747FB">
        <w:rPr>
          <w:highlight w:val="yellow"/>
        </w:rPr>
        <w:t>ref</w:t>
      </w:r>
      <w:r w:rsidR="00D11FBC">
        <w:t xml:space="preserve">), </w:t>
      </w:r>
      <w:r w:rsidR="00EB3C27">
        <w:t xml:space="preserve">unique </w:t>
      </w:r>
      <w:r w:rsidR="00D11FBC">
        <w:t>co-factor</w:t>
      </w:r>
      <w:r w:rsidR="00FD7D2E">
        <w:t>s</w:t>
      </w:r>
      <w:r w:rsidR="00EB3C27">
        <w:t xml:space="preserve"> and their</w:t>
      </w:r>
      <w:r w:rsidR="00D11FBC">
        <w:t xml:space="preserve"> biosynthesis (</w:t>
      </w:r>
      <w:r w:rsidR="00EB3C27" w:rsidRPr="002F28F6">
        <w:rPr>
          <w:highlight w:val="yellow"/>
        </w:rPr>
        <w:t xml:space="preserve">Robert white </w:t>
      </w:r>
      <w:r w:rsidR="00D11FBC" w:rsidRPr="002F28F6">
        <w:rPr>
          <w:highlight w:val="yellow"/>
        </w:rPr>
        <w:t>ref</w:t>
      </w:r>
      <w:r w:rsidR="00D11FBC">
        <w:t xml:space="preserve">), </w:t>
      </w:r>
      <w:r w:rsidR="00EB3C27">
        <w:t xml:space="preserve">and </w:t>
      </w:r>
      <w:r w:rsidR="00D11FBC">
        <w:t>novel systems of gene regulation (</w:t>
      </w:r>
      <w:r w:rsidR="00D11FBC" w:rsidRPr="002F28F6">
        <w:rPr>
          <w:highlight w:val="yellow"/>
        </w:rPr>
        <w:t xml:space="preserve">reference </w:t>
      </w:r>
      <w:r w:rsidR="00552A03">
        <w:rPr>
          <w:highlight w:val="yellow"/>
        </w:rPr>
        <w:t>to</w:t>
      </w:r>
      <w:r w:rsidR="00D11FBC" w:rsidRPr="002F28F6">
        <w:rPr>
          <w:highlight w:val="yellow"/>
        </w:rPr>
        <w:t xml:space="preserve"> </w:t>
      </w:r>
      <w:proofErr w:type="spellStart"/>
      <w:r w:rsidR="00D11FBC" w:rsidRPr="002F28F6">
        <w:rPr>
          <w:highlight w:val="yellow"/>
        </w:rPr>
        <w:t>selenocysteine</w:t>
      </w:r>
      <w:proofErr w:type="spellEnd"/>
      <w:r w:rsidR="00D11FBC" w:rsidRPr="002F28F6">
        <w:rPr>
          <w:highlight w:val="yellow"/>
        </w:rPr>
        <w:t xml:space="preserve"> biosynthesis</w:t>
      </w:r>
      <w:r w:rsidR="00D11FBC">
        <w:t>)</w:t>
      </w:r>
      <w:r w:rsidR="00EB3C27">
        <w:t xml:space="preserve">.To avoid environmental fluctuations that can affect gene regulation, a system for continuous culture of </w:t>
      </w:r>
      <w:r w:rsidR="00EB3C27">
        <w:rPr>
          <w:i/>
        </w:rPr>
        <w:t xml:space="preserve">M. maripaludis </w:t>
      </w:r>
      <w:r w:rsidR="00552A03">
        <w:rPr>
          <w:i/>
        </w:rPr>
        <w:fldChar w:fldCharType="begin"/>
      </w:r>
      <w:r w:rsidR="00F5100D">
        <w:rPr>
          <w:i/>
        </w:rPr>
        <w:instrText xml:space="preserve"> ADDIN ZOTERO_ITEM CSL_CITATION {"citationID":"vpeo3racb","properties":{"formattedCitation":"(11)","plainCitation":"(11)"},"citationItems":[{"id":21,"uris":["http://zotero.org/users/2565720/items/DQ6NM29D"],"uri":["http://zotero.org/users/2565720/items/DQ6NM29D"],"itemData":{"id":21,"type":"article-journal","title":"Continuous culture of &lt;i&gt;Methanococcus maripaludis&lt;/i&gt; under defined nutrient conditions","container-title":"FEMS Microbiology Letters","page":"85-91","volume":"238","issue":"1","source":"femsle.oxfordjournals.org","abstract":"To study global regulation in the methanogenic archaeon Methanococcus maripaludis, we devised a system for steady-state growth in chemostats. New Brunswick Bioflo 110 bioreactors were equipped with controlled delivery of hydrogen, nitrogen, carbon dioxide, hydrogen sulfide, and anaerobic medium. We determined conditions and media compositions for growth with three different limiting nutrients, hydrogen, phosphate, and leucine. To investigate leucine limitation we constructed and characterized a mutant in the leuA gene for 2-isopropylmalate synthase, demonstrating for the first time the function of this gene in the Archaea. Steady state specific growth rates in these studies ranged from 0.042 to 0.24 h−1. Plots of culture density vs. growth rate for each condition showed the behavior predicted by growth modeling. The results show that growth behavior is normal and reproducible and validate the use of the chemostat system for metabolic and global regulation studies in M. maripaludis.","DOI":"10.1111/j.1574-6968.2004.tb09741.x","ISSN":"0378-1097, 1574-6968","note":"PMID: 15336407","language":"en","author":[{"family":"Haydock","given":"Andrew K."},{"family":"Porat","given":"Iris"},{"family":"Whitman","given":"William B."},{"family":"Leigh","given":"John A."}],"issued":{"date-parts":[["2004",9,1]]},"PMID":"15336407"}}],"schema":"https://github.com/citation-style-language/schema/raw/master/csl-citation.json"} </w:instrText>
      </w:r>
      <w:r w:rsidR="00552A03">
        <w:rPr>
          <w:i/>
        </w:rPr>
        <w:fldChar w:fldCharType="separate"/>
      </w:r>
      <w:r w:rsidR="00552A03" w:rsidRPr="00552A03">
        <w:rPr>
          <w:rFonts w:cs="Times New Roman"/>
        </w:rPr>
        <w:t>(11)</w:t>
      </w:r>
      <w:r w:rsidR="00552A03">
        <w:rPr>
          <w:i/>
        </w:rPr>
        <w:fldChar w:fldCharType="end"/>
      </w:r>
      <w:r w:rsidR="00EB3C27">
        <w:t xml:space="preserve"> has been established for steady state transcriptomic (</w:t>
      </w:r>
      <w:r w:rsidR="00EB3C27" w:rsidRPr="002F28F6">
        <w:rPr>
          <w:highlight w:val="yellow"/>
        </w:rPr>
        <w:t>ref</w:t>
      </w:r>
      <w:r w:rsidR="00EB3C27">
        <w:t>), proteomic (</w:t>
      </w:r>
      <w:r w:rsidR="00EB3C27" w:rsidRPr="002F28F6">
        <w:rPr>
          <w:highlight w:val="yellow"/>
        </w:rPr>
        <w:t>ref</w:t>
      </w:r>
      <w:r w:rsidR="00EB3C27">
        <w:t>) studies</w:t>
      </w:r>
      <w:r w:rsidR="0003090D">
        <w:t xml:space="preserve"> of </w:t>
      </w:r>
      <w:r w:rsidR="00635FDE">
        <w:rPr>
          <w:i/>
        </w:rPr>
        <w:t>M. maripaludis</w:t>
      </w:r>
      <w:r w:rsidR="0003090D">
        <w:t xml:space="preserve"> strains</w:t>
      </w:r>
      <w:r w:rsidR="00EB3C27">
        <w:t>.</w:t>
      </w:r>
      <w:r w:rsidR="00673E4C">
        <w:t xml:space="preserve"> </w:t>
      </w:r>
      <w:r w:rsidR="00552A03">
        <w:t>Several groups have also employed</w:t>
      </w:r>
      <w:r w:rsidR="0003090D">
        <w:t xml:space="preserve"> larger system</w:t>
      </w:r>
      <w:r w:rsidR="00552A03">
        <w:t>s biology</w:t>
      </w:r>
      <w:r w:rsidR="0003090D">
        <w:t xml:space="preserve"> approach</w:t>
      </w:r>
      <w:r w:rsidR="00552A03">
        <w:t>es</w:t>
      </w:r>
      <w:r w:rsidR="0003090D">
        <w:t xml:space="preserve"> </w:t>
      </w:r>
      <w:r w:rsidR="00552A03">
        <w:t>to perform</w:t>
      </w:r>
      <w:r w:rsidR="0003090D">
        <w:t xml:space="preserve"> predictive studies </w:t>
      </w:r>
      <w:r w:rsidR="00552A03">
        <w:t xml:space="preserve">using </w:t>
      </w:r>
      <w:r w:rsidR="0003090D">
        <w:t>this organism</w:t>
      </w:r>
      <w:r w:rsidR="00552A03">
        <w:t xml:space="preserve"> (</w:t>
      </w:r>
      <w:r w:rsidR="00552A03" w:rsidRPr="002F28F6">
        <w:rPr>
          <w:highlight w:val="yellow"/>
        </w:rPr>
        <w:t>refs</w:t>
      </w:r>
      <w:r w:rsidR="00552A03">
        <w:t>)</w:t>
      </w:r>
      <w:r w:rsidR="0003090D">
        <w:t>.</w:t>
      </w:r>
      <w:r w:rsidR="00673E4C">
        <w:t xml:space="preserve"> </w:t>
      </w:r>
      <w:r w:rsidR="0003090D">
        <w:t xml:space="preserve">With these tools in place, and the ability for expression of </w:t>
      </w:r>
      <w:r w:rsidR="00FD7D2E">
        <w:t xml:space="preserve">heterologous genes </w:t>
      </w:r>
      <w:r w:rsidR="0003090D">
        <w:t>into M. maripaludis (</w:t>
      </w:r>
      <w:r w:rsidR="0003090D" w:rsidRPr="002F28F6">
        <w:rPr>
          <w:highlight w:val="yellow"/>
        </w:rPr>
        <w:t xml:space="preserve">Lie refs and also </w:t>
      </w:r>
      <w:proofErr w:type="spellStart"/>
      <w:r w:rsidR="0003090D" w:rsidRPr="002F28F6">
        <w:rPr>
          <w:highlight w:val="yellow"/>
        </w:rPr>
        <w:t>Biswarup</w:t>
      </w:r>
      <w:proofErr w:type="spellEnd"/>
      <w:r w:rsidR="0003090D" w:rsidRPr="002F28F6">
        <w:rPr>
          <w:highlight w:val="yellow"/>
        </w:rPr>
        <w:t xml:space="preserve">, for </w:t>
      </w:r>
      <w:proofErr w:type="spellStart"/>
      <w:r w:rsidR="0003090D" w:rsidRPr="002F28F6">
        <w:rPr>
          <w:highlight w:val="yellow"/>
        </w:rPr>
        <w:t>eg</w:t>
      </w:r>
      <w:proofErr w:type="spellEnd"/>
      <w:r w:rsidR="0003090D" w:rsidRPr="002F28F6">
        <w:rPr>
          <w:highlight w:val="yellow"/>
        </w:rPr>
        <w:t>.</w:t>
      </w:r>
      <w:r w:rsidR="0003090D">
        <w:t xml:space="preserve">), the metabolic </w:t>
      </w:r>
      <w:r w:rsidR="00AD1E85">
        <w:t>engineering</w:t>
      </w:r>
      <w:r w:rsidR="0003090D">
        <w:t xml:space="preserve"> of M. maripaludis for various industrial use is the obvious next step. </w:t>
      </w:r>
    </w:p>
    <w:p w14:paraId="4743D036" w14:textId="20533741" w:rsidR="007F0F45" w:rsidRDefault="00467AD6" w:rsidP="00586344">
      <w:pPr>
        <w:spacing w:line="480" w:lineRule="auto"/>
      </w:pPr>
      <w:r>
        <w:lastRenderedPageBreak/>
        <w:t>Genome scale metabolic reconstructions</w:t>
      </w:r>
      <w:r w:rsidR="00535032">
        <w:t xml:space="preserve"> are powerful tools that </w:t>
      </w:r>
      <w:r w:rsidR="00AE21C1">
        <w:t>map</w:t>
      </w:r>
      <w:r w:rsidR="009D0324">
        <w:t xml:space="preserve"> </w:t>
      </w:r>
      <w:r w:rsidR="00966787">
        <w:t xml:space="preserve">and elucidate </w:t>
      </w:r>
      <w:r w:rsidR="009D0324">
        <w:t>metabolic pathways</w:t>
      </w:r>
      <w:r w:rsidR="00966787">
        <w:t xml:space="preserve">. </w:t>
      </w:r>
      <w:r w:rsidR="00172424">
        <w:t>T</w:t>
      </w:r>
      <w:r w:rsidR="009D0324">
        <w:t xml:space="preserve">hey </w:t>
      </w:r>
      <w:r w:rsidR="003523DD">
        <w:t>are</w:t>
      </w:r>
      <w:r w:rsidR="00535032">
        <w:t xml:space="preserve"> organism</w:t>
      </w:r>
      <w:r w:rsidR="002F28F6">
        <w:t>-specific</w:t>
      </w:r>
      <w:r w:rsidR="00535032">
        <w:t xml:space="preserve"> knowledge bases </w:t>
      </w:r>
      <w:r w:rsidR="00F239B0">
        <w:t xml:space="preserve">that can be used for simulating steady-state growth via flux balance analysis (FBA) </w:t>
      </w:r>
      <w:r w:rsidR="00F239B0">
        <w:fldChar w:fldCharType="begin"/>
      </w:r>
      <w:r w:rsidR="00F5100D">
        <w:instrText xml:space="preserve"> ADDIN ZOTERO_ITEM CSL_CITATION {"citationID":"23mmrtdbtu","properties":{"formattedCitation":"(12)","plainCitation":"(12)"},"citationItems":[{"id":134,"uris":["http://zotero.org/users/2565720/items/ZR2D57BQ"],"uri":["http://zotero.org/users/2565720/items/ZR2D57BQ"],"itemData":{"id":134,"type":"article-journal","title":"Advances in flux balance analysis","container-title":"Current Opinion in Biotechnology","page":"491-496","volume":"14","issue":"5","source":"ScienceDirect","abstract":"Biology is going through a paradigm shift from reductionist to holistic, systems-based approaches. The complete genome sequence for a number of organisms is available and the analysis of genome sequence data is proving very useful. Thus, genome sequencing projects and bioinformatic analyses are leading to a complete ‘parts catalog’ of the molecular components in many organisms. The next challenge will be to reconstruct and simulate overall cellular functions based on the extensive reductionist information. Recent advances have been made in the area of flux balance analysis, a mathematical modeling approach often utilized by metabolic engineers to quantitatively simulate microbial metabolism.","DOI":"10.1016/j.copbio.2003.08.001","ISSN":"0958-1669","journalAbbreviation":"Current Opinion in Biotechnology","author":[{"family":"Kauffman","given":"Kenneth J"},{"family":"Prakash","given":"Purusharth"},{"family":"Edwards","given":"Jeremy S"}],"issued":{"date-parts":[["2003",10]]}}}],"schema":"https://github.com/citation-style-language/schema/raw/master/csl-citation.json"} </w:instrText>
      </w:r>
      <w:r w:rsidR="00F239B0">
        <w:fldChar w:fldCharType="separate"/>
      </w:r>
      <w:r w:rsidR="00552A03" w:rsidRPr="00552A03">
        <w:rPr>
          <w:rFonts w:cs="Times New Roman"/>
        </w:rPr>
        <w:t>(12)</w:t>
      </w:r>
      <w:r w:rsidR="00F239B0">
        <w:fldChar w:fldCharType="end"/>
      </w:r>
      <w:r w:rsidR="003840C4">
        <w:t xml:space="preserve"> b</w:t>
      </w:r>
      <w:r w:rsidR="00F239B0">
        <w:t>y generating</w:t>
      </w:r>
      <w:r>
        <w:t xml:space="preserve"> </w:t>
      </w:r>
      <w:r w:rsidR="00172424">
        <w:t xml:space="preserve">constraint-based </w:t>
      </w:r>
      <w:r>
        <w:t>models</w:t>
      </w:r>
      <w:r w:rsidR="00005CD4">
        <w:t xml:space="preserve">. </w:t>
      </w:r>
      <w:r w:rsidR="002670AD">
        <w:t>Using</w:t>
      </w:r>
      <w:r w:rsidR="00005CD4">
        <w:t xml:space="preserve"> these</w:t>
      </w:r>
      <w:r w:rsidR="002670AD">
        <w:t xml:space="preserve"> models</w:t>
      </w:r>
      <w:r w:rsidR="00005CD4">
        <w:t xml:space="preserve">, </w:t>
      </w:r>
      <w:r w:rsidR="002670AD">
        <w:t xml:space="preserve">we can hypothesize </w:t>
      </w:r>
      <w:r w:rsidR="00005CD4">
        <w:t>different metabolic scenarios</w:t>
      </w:r>
      <w:r w:rsidR="002670AD">
        <w:t xml:space="preserve"> that can then be</w:t>
      </w:r>
      <w:r w:rsidR="00005CD4">
        <w:t xml:space="preserve"> tested experimentally</w:t>
      </w:r>
      <w:r w:rsidR="00AD1E85">
        <w:t xml:space="preserve">. </w:t>
      </w:r>
      <w:r w:rsidR="004345D8">
        <w:t>They have</w:t>
      </w:r>
      <w:r w:rsidR="00586344">
        <w:t xml:space="preserve"> helped guide metabolic engineering efforts for production of industrial </w:t>
      </w:r>
      <w:proofErr w:type="spellStart"/>
      <w:r w:rsidR="00586344">
        <w:t>biochemical</w:t>
      </w:r>
      <w:r w:rsidR="00AE21C1">
        <w:t>s</w:t>
      </w:r>
      <w:proofErr w:type="spellEnd"/>
      <w:r w:rsidR="00586344">
        <w:t xml:space="preserve"> in multiple organisms </w:t>
      </w:r>
      <w:r w:rsidR="00586344">
        <w:fldChar w:fldCharType="begin"/>
      </w:r>
      <w:r w:rsidR="00F5100D">
        <w:instrText xml:space="preserve"> ADDIN ZOTERO_ITEM CSL_CITATION {"citationID":"gMaZT752","properties":{"formattedCitation":"(13, 14)","plainCitation":"(13, 14)"},"citationItems":[{"id":378,"uris":["http://zotero.org/users/2565720/items/BTGH8QW4"],"uri":["http://zotero.org/users/2565720/items/BTGH8QW4"],"itemData":{"id":378,"type":"article-journal","title":"Genome-scale modeling for metabolic engineering","container-title":"Journal of Industrial Microbiology &amp; Biotechnology","page":"327-338","volume":"42","issue":"3","source":"link.springer.com.proxy2.library.illinois.edu","DOI":"10.1007/s10295-014-1576-3","ISSN":"1367-5435, 1476-5535","journalAbbreviation":"J Ind Microbiol Biotechnol","language":"en","author":[{"family":"Simeonidis","given":"Evangelos"},{"family":"Price","given":"Nathan D."}],"issued":{"date-parts":[["2015",1,13]]}}},{"id":46,"uris":["http://zotero.org/users/2565720/items/WHP5DFE9"],"uri":["http://zotero.org/users/2565720/items/WHP5DFE9"],"itemData":{"id":46,"type":"article-journal","title":"Accomplishments in genome-scale in silico modeling for industrial and medical biotechnology","container-title":"Biotechnology Journal","page":"1653-1670","volume":"4","issue":"12","source":"Wiley Online Library","abstract":"Driven by advancements in high-throughput biological technologies and the growing number of sequenced genomes, the construction of in silico models at the genome scale has provided powerful tools to investigate a vast array of biological systems and applications. Here, we review comprehensively the uses of such models in industrial and medical biotechnology, including biofuel generation, food production, and drug development. While the use of in silico models is still in its early stages for delivering to industry, significant initial successes have been achieved. For the cases presented here, genome-scale models predict engineering strategies to enhance properties of interest in an organism or to inhibit harmful mechanisms of pathogens. Going forward, genome-scale in silico models promise to extend their application and analysis scope to become a transformative tool in biotechnology.","DOI":"10.1002/biot.200900234","ISSN":"1860-7314","journalAbbreviation":"Biotechnology Journal","language":"en","author":[{"family":"Milne","given":"Caroline B."},{"family":"Kim","given":"Pan-Jun"},{"family":"Eddy","given":"James A."},{"family":"Price","given":"Nathan D."}],"issued":{"date-parts":[["2009",12,1]]}}}],"schema":"https://github.com/citation-style-language/schema/raw/master/csl-citation.json"} </w:instrText>
      </w:r>
      <w:r w:rsidR="00586344">
        <w:fldChar w:fldCharType="separate"/>
      </w:r>
      <w:r w:rsidR="00552A03" w:rsidRPr="00552A03">
        <w:rPr>
          <w:rFonts w:cs="Times New Roman"/>
        </w:rPr>
        <w:t>(13, 14)</w:t>
      </w:r>
      <w:r w:rsidR="00586344">
        <w:fldChar w:fldCharType="end"/>
      </w:r>
      <w:r w:rsidR="00586344">
        <w:t xml:space="preserve">. </w:t>
      </w:r>
      <w:r w:rsidR="00CB5F53">
        <w:t>Similarly, a</w:t>
      </w:r>
      <w:r w:rsidR="009D0324">
        <w:t xml:space="preserve"> genome scale metabolic reconstruction for </w:t>
      </w:r>
      <w:r w:rsidR="009D0324">
        <w:rPr>
          <w:i/>
        </w:rPr>
        <w:t xml:space="preserve">M. maripaludis </w:t>
      </w:r>
      <w:r w:rsidR="009D0324">
        <w:t xml:space="preserve">would </w:t>
      </w:r>
      <w:r w:rsidR="00CB5F53">
        <w:t>not only provide for a</w:t>
      </w:r>
      <w:r w:rsidR="00535032">
        <w:t xml:space="preserve"> </w:t>
      </w:r>
      <w:r w:rsidR="009D0324">
        <w:t>better understanding methanogenesis</w:t>
      </w:r>
      <w:r w:rsidR="00CB5F53">
        <w:t xml:space="preserve"> but also for</w:t>
      </w:r>
      <w:r w:rsidR="009D0324">
        <w:t xml:space="preserve"> </w:t>
      </w:r>
      <w:r w:rsidR="00535032">
        <w:t xml:space="preserve">guiding metabolic engineering efforts </w:t>
      </w:r>
      <w:r w:rsidR="009D0324">
        <w:t xml:space="preserve">that </w:t>
      </w:r>
      <w:r w:rsidR="00CB5F53">
        <w:t xml:space="preserve">could </w:t>
      </w:r>
      <w:r w:rsidR="009D0324">
        <w:t>harness</w:t>
      </w:r>
      <w:r w:rsidR="00535032">
        <w:t xml:space="preserve"> the unique metabolism of </w:t>
      </w:r>
      <w:r w:rsidR="003523DD">
        <w:t>this</w:t>
      </w:r>
      <w:r w:rsidR="00535032">
        <w:t xml:space="preserve"> hydrogenotrophic methanogen. </w:t>
      </w:r>
      <w:r w:rsidR="00CB5F53">
        <w:t xml:space="preserve">Other groups have already created </w:t>
      </w:r>
      <w:r w:rsidR="00BA12DD">
        <w:t>metabolic models</w:t>
      </w:r>
      <w:r w:rsidR="00CB5F53">
        <w:t xml:space="preserve"> of </w:t>
      </w:r>
      <w:r w:rsidR="00DD75BA">
        <w:rPr>
          <w:i/>
        </w:rPr>
        <w:t>M. maripaludis</w:t>
      </w:r>
      <w:r w:rsidR="00CB5F53">
        <w:t xml:space="preserve">; </w:t>
      </w:r>
      <w:r w:rsidR="00DD75BA">
        <w:t xml:space="preserve">as part of a mutualistic community model with </w:t>
      </w:r>
      <w:r w:rsidR="00DD75BA">
        <w:rPr>
          <w:i/>
        </w:rPr>
        <w:t xml:space="preserve">D. vulgaris </w:t>
      </w:r>
      <w:r w:rsidR="00DD75BA">
        <w:rPr>
          <w:i/>
        </w:rPr>
        <w:fldChar w:fldCharType="begin"/>
      </w:r>
      <w:r w:rsidR="00F5100D">
        <w:rPr>
          <w:i/>
        </w:rPr>
        <w:instrText xml:space="preserve"> ADDIN ZOTERO_ITEM CSL_CITATION {"citationID":"1af40venu5","properties":{"formattedCitation":"(15)","plainCitation":"(15)"},"citationItems":[{"id":302,"uris":["http://zotero.org/users/2565720/items/6F246S9P"],"uri":["http://zotero.org/users/2565720/items/6F246S9P"],"itemData":{"id":302,"type":"article-journal","title":"Metabolic modeling of a mutualistic microbial community","container-title":"Molecular Systems Biology","page":"92","volume":"3","source":"PubMed","abstract":"The rate of production of methane in many environments depends upon mutualistic interactions between sulfate-reducing bacteria and methanogens. To enhance our understanding of these relationships, we took advantage of the fully sequenced genomes of Desulfovibrio vulgaris and Methanococcus maripaludis to produce and analyze the first multispecies stoichiometric metabolic model. Model results were compared to data on growth of the co-culture on lactate in the absence of sulfate. The model accurately predicted several ecologically relevant characteristics, including the flux of metabolites and the ratio of D. vulgaris to M. maripaludis cells during growth. In addition, the model and our data suggested that it was possible to eliminate formate as an interspecies electron shuttle, but hydrogen transfer was essential for syntrophic growth. Our work demonstrated that reconstructed metabolic networks and stoichiometric models can serve not only to predict metabolic fluxes and growth phenotypes of single organisms, but also to capture growth parameters and community composition of simple bacterial communities.","DOI":"10.1038/msb4100131","ISSN":"1744-4292","note":"PMID: 17353934\nPMCID: PMC1847946","journalAbbreviation":"Mol. Syst. Biol.","language":"eng","author":[{"family":"Stolyar","given":"Sergey"},{"family":"Dien","given":"Steve","non-dropping-particle":"Van"},{"family":"Hillesland","given":"Kristina Linnea"},{"family":"Pinel","given":"Nicolas"},{"family":"Lie","given":"Thomas J."},{"family":"Leigh","given":"John A."},{"family":"Stahl","given":"David A."}],"issued":{"date-parts":[["2007"]]},"PMID":"17353934","PMCID":"PMC1847946"}}],"schema":"https://github.com/citation-style-language/schema/raw/master/csl-citation.json"} </w:instrText>
      </w:r>
      <w:r w:rsidR="00DD75BA">
        <w:rPr>
          <w:i/>
        </w:rPr>
        <w:fldChar w:fldCharType="separate"/>
      </w:r>
      <w:r w:rsidR="00552A03" w:rsidRPr="00552A03">
        <w:rPr>
          <w:rFonts w:cs="Times New Roman"/>
        </w:rPr>
        <w:t>(15)</w:t>
      </w:r>
      <w:r w:rsidR="00DD75BA">
        <w:rPr>
          <w:i/>
        </w:rPr>
        <w:fldChar w:fldCharType="end"/>
      </w:r>
      <w:r w:rsidR="00E76580">
        <w:rPr>
          <w:i/>
        </w:rPr>
        <w:t xml:space="preserve"> </w:t>
      </w:r>
      <w:r w:rsidR="00BA12DD">
        <w:t>and under axenic conditions</w:t>
      </w:r>
      <w:r w:rsidR="00CB5F53">
        <w:t xml:space="preserve"> </w:t>
      </w:r>
      <w:r w:rsidR="00586344">
        <w:fldChar w:fldCharType="begin"/>
      </w:r>
      <w:r w:rsidR="00F5100D">
        <w:instrText xml:space="preserve"> ADDIN ZOTERO_ITEM CSL_CITATION {"citationID":"Kogtrvcl","properties":{"formattedCitation":"(16)","plainCitation":"(16)"},"citationItems":[{"id":15,"uris":["http://zotero.org/users/2565720/items/WKTSDSE2"],"uri":["http://zotero.org/users/2565720/items/WKTSDSE2"],"itemData":{"id":15,"type":"article-journal","title":"A genome-scale metabolic model of &lt;i&gt;Methanococcus maripaludis S2&lt;/i&gt; for CO2 capture and conversion to methane","container-title":"Molecular bioSystems","page":"1043-1054","volume":"10","issue":"5","source":"PubMed","abstract":"Methane is a major energy source for heating and electricity. Its production by methanogenic bacteria is widely known in nature. M. maripaludis S2 is a fully sequenced hydrogenotrophic methanogen and an excellent laboratory strain with robust genetic tools. However, a quantitative systems biology model to complement these tools is absent in the literature. To understand and enhance its methanogenesis from CO2, this work presents the first constraint-based genome-scale metabolic model (iMM518). It comprises 570 reactions, 556 distinct metabolites, and 518 genes along with gene-protein-reaction (GPR) associations, and covers 30% of open reading frames (ORFs). The model was validated using biomass growth data and experimental phenotypic studies from the literature. Its comparison with the in silico models of Methanosarcina barkeri, Methanosarcina acetivorans, and Sulfolobus solfataricus P2 shows M. maripaludis S2 to be a better organism for producing methane. Using the model, genes essential for growth were identified, and the efficacies of alternative carbon, hydrogen and nitrogen sources were studied. The model can predict the effects of reengineering M. maripaludis S2 to guide or expedite experimental efforts.","DOI":"10.1039/c3mb70421a","ISSN":"1742-2051","note":"PMID: 24553424","journalAbbreviation":"Mol Biosyst","language":"eng","author":[{"family":"Goyal","given":"Nishu"},{"family":"Widiastuti","given":"Hanifah"},{"family":"Karimi","given":"I. A."},{"family":"Zhou","given":"Zhi"}],"issued":{"date-parts":[["2014",5]]},"PMID":"24553424"}}],"schema":"https://github.com/citation-style-language/schema/raw/master/csl-citation.json"} </w:instrText>
      </w:r>
      <w:r w:rsidR="00586344">
        <w:fldChar w:fldCharType="separate"/>
      </w:r>
      <w:r w:rsidR="00552A03" w:rsidRPr="00552A03">
        <w:rPr>
          <w:rFonts w:cs="Times New Roman"/>
        </w:rPr>
        <w:t>(16)</w:t>
      </w:r>
      <w:r w:rsidR="00586344">
        <w:fldChar w:fldCharType="end"/>
      </w:r>
      <w:r w:rsidR="00586344">
        <w:t xml:space="preserve">. </w:t>
      </w:r>
      <w:r w:rsidR="00E76580">
        <w:t xml:space="preserve">In the former case, the model of </w:t>
      </w:r>
      <w:r w:rsidR="00E76580">
        <w:rPr>
          <w:i/>
        </w:rPr>
        <w:t xml:space="preserve">M. maripaludis </w:t>
      </w:r>
      <w:r w:rsidR="00E76580">
        <w:t xml:space="preserve">represented only core metabolism and was used primarily to investigate interactions between the two different species rather than probe the depths of </w:t>
      </w:r>
      <w:r w:rsidR="009C1745">
        <w:t xml:space="preserve">the </w:t>
      </w:r>
      <w:r w:rsidR="00E76580">
        <w:t xml:space="preserve">organism’s metabolism </w:t>
      </w:r>
      <w:r w:rsidR="00E76580">
        <w:fldChar w:fldCharType="begin"/>
      </w:r>
      <w:r w:rsidR="00F5100D">
        <w:instrText xml:space="preserve"> ADDIN ZOTERO_ITEM CSL_CITATION {"citationID":"1dltmdo1v","properties":{"formattedCitation":"(15)","plainCitation":"(15)"},"citationItems":[{"id":302,"uris":["http://zotero.org/users/2565720/items/6F246S9P"],"uri":["http://zotero.org/users/2565720/items/6F246S9P"],"itemData":{"id":302,"type":"article-journal","title":"Metabolic modeling of a mutualistic microbial community","container-title":"Molecular Systems Biology","page":"92","volume":"3","source":"PubMed","abstract":"The rate of production of methane in many environments depends upon mutualistic interactions between sulfate-reducing bacteria and methanogens. To enhance our understanding of these relationships, we took advantage of the fully sequenced genomes of Desulfovibrio vulgaris and Methanococcus maripaludis to produce and analyze the first multispecies stoichiometric metabolic model. Model results were compared to data on growth of the co-culture on lactate in the absence of sulfate. The model accurately predicted several ecologically relevant characteristics, including the flux of metabolites and the ratio of D. vulgaris to M. maripaludis cells during growth. In addition, the model and our data suggested that it was possible to eliminate formate as an interspecies electron shuttle, but hydrogen transfer was essential for syntrophic growth. Our work demonstrated that reconstructed metabolic networks and stoichiometric models can serve not only to predict metabolic fluxes and growth phenotypes of single organisms, but also to capture growth parameters and community composition of simple bacterial communities.","DOI":"10.1038/msb4100131","ISSN":"1744-4292","note":"PMID: 17353934\nPMCID: PMC1847946","journalAbbreviation":"Mol. Syst. Biol.","language":"eng","author":[{"family":"Stolyar","given":"Sergey"},{"family":"Dien","given":"Steve","non-dropping-particle":"Van"},{"family":"Hillesland","given":"Kristina Linnea"},{"family":"Pinel","given":"Nicolas"},{"family":"Lie","given":"Thomas J."},{"family":"Leigh","given":"John A."},{"family":"Stahl","given":"David A."}],"issued":{"date-parts":[["2007"]]},"PMID":"17353934","PMCID":"PMC1847946"}}],"schema":"https://github.com/citation-style-language/schema/raw/master/csl-citation.json"} </w:instrText>
      </w:r>
      <w:r w:rsidR="00E76580">
        <w:fldChar w:fldCharType="separate"/>
      </w:r>
      <w:r w:rsidR="00552A03" w:rsidRPr="00552A03">
        <w:rPr>
          <w:rFonts w:cs="Times New Roman"/>
        </w:rPr>
        <w:t>(15)</w:t>
      </w:r>
      <w:r w:rsidR="00E76580">
        <w:fldChar w:fldCharType="end"/>
      </w:r>
      <w:r w:rsidR="00E76580">
        <w:t xml:space="preserve">. The latter case was the first genome-scale metabolic reconstruction of </w:t>
      </w:r>
      <w:r w:rsidR="00E76580">
        <w:rPr>
          <w:i/>
        </w:rPr>
        <w:t>M</w:t>
      </w:r>
      <w:r w:rsidR="007F0F45">
        <w:rPr>
          <w:i/>
        </w:rPr>
        <w:t xml:space="preserve">. maripaludis </w:t>
      </w:r>
      <w:r w:rsidR="00E76580" w:rsidRPr="00FC7166">
        <w:fldChar w:fldCharType="begin"/>
      </w:r>
      <w:r w:rsidR="00F5100D">
        <w:instrText xml:space="preserve"> ADDIN ZOTERO_ITEM CSL_CITATION {"citationID":"1sdk81auok","properties":{"formattedCitation":"(16)","plainCitation":"(16)"},"citationItems":[{"id":15,"uris":["http://zotero.org/users/2565720/items/WKTSDSE2"],"uri":["http://zotero.org/users/2565720/items/WKTSDSE2"],"itemData":{"id":15,"type":"article-journal","title":"A genome-scale metabolic model of &lt;i&gt;Methanococcus maripaludis S2&lt;/i&gt; for CO2 capture and conversion to methane","container-title":"Molecular bioSystems","page":"1043-1054","volume":"10","issue":"5","source":"PubMed","abstract":"Methane is a major energy source for heating and electricity. Its production by methanogenic bacteria is widely known in nature. M. maripaludis S2 is a fully sequenced hydrogenotrophic methanogen and an excellent laboratory strain with robust genetic tools. However, a quantitative systems biology model to complement these tools is absent in the literature. To understand and enhance its methanogenesis from CO2, this work presents the first constraint-based genome-scale metabolic model (iMM518). It comprises 570 reactions, 556 distinct metabolites, and 518 genes along with gene-protein-reaction (GPR) associations, and covers 30% of open reading frames (ORFs). The model was validated using biomass growth data and experimental phenotypic studies from the literature. Its comparison with the in silico models of Methanosarcina barkeri, Methanosarcina acetivorans, and Sulfolobus solfataricus P2 shows M. maripaludis S2 to be a better organism for producing methane. Using the model, genes essential for growth were identified, and the efficacies of alternative carbon, hydrogen and nitrogen sources were studied. The model can predict the effects of reengineering M. maripaludis S2 to guide or expedite experimental efforts.","DOI":"10.1039/c3mb70421a","ISSN":"1742-2051","note":"PMID: 24553424","journalAbbreviation":"Mol Biosyst","language":"eng","author":[{"family":"Goyal","given":"Nishu"},{"family":"Widiastuti","given":"Hanifah"},{"family":"Karimi","given":"I. A."},{"family":"Zhou","given":"Zhi"}],"issued":{"date-parts":[["2014",5]]},"PMID":"24553424"}}],"schema":"https://github.com/citation-style-language/schema/raw/master/csl-citation.json"} </w:instrText>
      </w:r>
      <w:r w:rsidR="00E76580" w:rsidRPr="00FC7166">
        <w:fldChar w:fldCharType="separate"/>
      </w:r>
      <w:r w:rsidR="00552A03" w:rsidRPr="00552A03">
        <w:rPr>
          <w:rFonts w:cs="Times New Roman"/>
        </w:rPr>
        <w:t>(16)</w:t>
      </w:r>
      <w:r w:rsidR="00E76580" w:rsidRPr="00FC7166">
        <w:fldChar w:fldCharType="end"/>
      </w:r>
      <w:r w:rsidR="00FC7166" w:rsidRPr="00FC7166">
        <w:t>,</w:t>
      </w:r>
      <w:r w:rsidR="00983F37">
        <w:t xml:space="preserve"> </w:t>
      </w:r>
      <w:r w:rsidR="00E76580">
        <w:t xml:space="preserve">an important step towards understanding </w:t>
      </w:r>
      <w:r w:rsidR="00E76580">
        <w:rPr>
          <w:i/>
        </w:rPr>
        <w:t xml:space="preserve">M. maripaludis </w:t>
      </w:r>
      <w:r w:rsidR="00F134C6">
        <w:t>metabolism</w:t>
      </w:r>
      <w:r w:rsidR="000C35D5">
        <w:t>.</w:t>
      </w:r>
      <w:r w:rsidR="002E4EC0">
        <w:t xml:space="preserve"> </w:t>
      </w:r>
    </w:p>
    <w:p w14:paraId="4BFAB246" w14:textId="3BB65A14" w:rsidR="00414739" w:rsidRPr="0077549E" w:rsidRDefault="009C1745" w:rsidP="00B042B4">
      <w:pPr>
        <w:spacing w:line="480" w:lineRule="auto"/>
      </w:pPr>
      <w:r>
        <w:t>In our model,</w:t>
      </w:r>
      <w:r w:rsidR="007F0F45">
        <w:t xml:space="preserve"> </w:t>
      </w:r>
      <w:r w:rsidR="00B25F12">
        <w:t>iMR540</w:t>
      </w:r>
      <w:r w:rsidR="007F0F45">
        <w:t xml:space="preserve">, </w:t>
      </w:r>
      <w:r>
        <w:t xml:space="preserve">we made </w:t>
      </w:r>
      <w:r w:rsidR="00F819FC">
        <w:t>important</w:t>
      </w:r>
      <w:r>
        <w:t xml:space="preserve"> refinements by updating various pathways</w:t>
      </w:r>
      <w:r w:rsidR="007F0F45">
        <w:rPr>
          <w:i/>
        </w:rPr>
        <w:t xml:space="preserve"> </w:t>
      </w:r>
      <w:r w:rsidR="007F0F45">
        <w:t xml:space="preserve">based on </w:t>
      </w:r>
      <w:r>
        <w:t xml:space="preserve">recent </w:t>
      </w:r>
      <w:r w:rsidR="007F0F45">
        <w:t>literature</w:t>
      </w:r>
      <w:r w:rsidR="007F0F45">
        <w:rPr>
          <w:i/>
        </w:rPr>
        <w:t>.</w:t>
      </w:r>
      <w:r>
        <w:t xml:space="preserve"> </w:t>
      </w:r>
      <w:r w:rsidR="00F819FC">
        <w:t>The most critical was the</w:t>
      </w:r>
      <w:r>
        <w:t xml:space="preserve"> </w:t>
      </w:r>
      <w:r w:rsidR="00F819FC">
        <w:t>critical electron bifurcation step</w:t>
      </w:r>
      <w:r>
        <w:t xml:space="preserve"> that has been </w:t>
      </w:r>
      <w:r w:rsidR="00F819FC">
        <w:t>described above as it</w:t>
      </w:r>
      <w:r w:rsidRPr="009C1745">
        <w:t xml:space="preserve"> </w:t>
      </w:r>
      <w:r w:rsidR="00F819FC">
        <w:t>e</w:t>
      </w:r>
      <w:r w:rsidR="00E90ACA">
        <w:t>xplain</w:t>
      </w:r>
      <w:r w:rsidR="00FD7D2E">
        <w:t>s</w:t>
      </w:r>
      <w:r w:rsidR="00E90ACA">
        <w:t xml:space="preserve"> the ability for this organism to grow despite the lack of </w:t>
      </w:r>
      <w:r w:rsidR="00A24003">
        <w:t xml:space="preserve">additional </w:t>
      </w:r>
      <w:r w:rsidR="00E90ACA">
        <w:t>membrane related energy coupling sites</w:t>
      </w:r>
      <w:r w:rsidR="00F819FC">
        <w:t xml:space="preserve"> (</w:t>
      </w:r>
      <w:r w:rsidR="00F819FC" w:rsidRPr="002F28F6">
        <w:rPr>
          <w:highlight w:val="yellow"/>
        </w:rPr>
        <w:t>ref</w:t>
      </w:r>
      <w:r w:rsidR="00F819FC">
        <w:t>)</w:t>
      </w:r>
      <w:r w:rsidR="007F0F45">
        <w:t>.</w:t>
      </w:r>
      <w:r w:rsidR="00F27938">
        <w:t xml:space="preserve"> </w:t>
      </w:r>
      <w:r w:rsidR="004B6D79">
        <w:t>This also includes eliminating</w:t>
      </w:r>
      <w:r w:rsidR="00F27938">
        <w:t xml:space="preserve"> methanophenazine utilization</w:t>
      </w:r>
      <w:r w:rsidR="004B6D79">
        <w:t xml:space="preserve"> and synthesis</w:t>
      </w:r>
      <w:r w:rsidR="002F28F6">
        <w:t>,</w:t>
      </w:r>
      <w:r w:rsidR="004B6D79">
        <w:t xml:space="preserve"> which is part of the membrane bound </w:t>
      </w:r>
      <w:r w:rsidR="007E1FB5">
        <w:t xml:space="preserve">electron transport </w:t>
      </w:r>
      <w:r w:rsidR="004B6D79">
        <w:t xml:space="preserve">system of the methylotrophic methanogens and absent </w:t>
      </w:r>
      <w:r w:rsidR="00F27938">
        <w:t xml:space="preserve">in hydrogenotrophic methanogens </w:t>
      </w:r>
      <w:r w:rsidR="00F27938">
        <w:fldChar w:fldCharType="begin"/>
      </w:r>
      <w:r w:rsidR="00F5100D">
        <w:instrText xml:space="preserve"> ADDIN ZOTERO_ITEM CSL_CITATION {"citationID":"1a0pt8kc57","properties":{"formattedCitation":"(4)","plainCitation":"(4)"},"citationItems":[{"id":178,"uris":["http://zotero.org/users/2565720/items/ZD6TWET9"],"uri":["http://zotero.org/users/2565720/items/ZD6TWET9"],"itemData":{"id":178,"type":"article-journal","title":"Methanogenic archaea: ecologically relevant differences in energy conservation","container-title":"Nature Reviews Microbiology","page":"579-591","volume":"6","issue":"8","source":"www.nature.com","abstract":"Most methanogenic archaea can reduce CO2 with H2 to methane, and it is generally assumed that the reactions and mechanisms of energy conservation that are involved are largely the same in all methanogens. However, this does not take into account the fact that methanogens with cytochromes have considerably higher growth yields and threshold concentrations for H2 than methanogens without cytochromes. These and other differences can be explained by the proposal outlined in this Review that in methanogens with cytochromes, the first and last steps in methanogenesis from CO2 are coupled chemiosmotically, whereas in methanogens without cytochromes, these steps are energetically coupled by a cytoplasmic enzyme complex that mediates flavin-based electron bifurcation.","DOI":"10.1038/nrmicro1931","ISSN":"1740-1526","shortTitle":"Methanogenic archaea","language":"en","author":[{"family":"Thauer","given":"Rudolf K."},{"family":"Kaster","given":"Anne-Kristin"},{"family":"Seedorf","given":"Henning"},{"family":"Buckel","given":"Wolfgang"},{"family":"Hedderich","given":"Reiner"}],"issued":{"date-parts":[["2008",8,1]]}}}],"schema":"https://github.com/citation-style-language/schema/raw/master/csl-citation.json"} </w:instrText>
      </w:r>
      <w:r w:rsidR="00F27938">
        <w:fldChar w:fldCharType="separate"/>
      </w:r>
      <w:r w:rsidR="00B65741" w:rsidRPr="00B65741">
        <w:rPr>
          <w:rFonts w:cs="Times New Roman"/>
        </w:rPr>
        <w:t>(4)</w:t>
      </w:r>
      <w:r w:rsidR="00F27938">
        <w:fldChar w:fldCharType="end"/>
      </w:r>
      <w:r w:rsidR="004B6D79">
        <w:t xml:space="preserve">. Additional changes include </w:t>
      </w:r>
      <w:r w:rsidR="00FD7D2E">
        <w:t xml:space="preserve">a corrected </w:t>
      </w:r>
      <w:r w:rsidR="007F0F45">
        <w:t xml:space="preserve">sulfur assimilation </w:t>
      </w:r>
      <w:r w:rsidR="00FD7D2E">
        <w:t xml:space="preserve">pathway </w:t>
      </w:r>
      <w:r w:rsidR="0008303F">
        <w:fldChar w:fldCharType="begin"/>
      </w:r>
      <w:r w:rsidR="00F5100D">
        <w:instrText xml:space="preserve"> ADDIN ZOTERO_ITEM CSL_CITATION {"citationID":"1h3qdse1eh","properties":{"formattedCitation":"(17)","plainCitation":"(17)"},"citationItems":[{"id":190,"uris":["http://zotero.org/users/2565720/items/3FHVI5Z6"],"uri":["http://zotero.org/users/2565720/items/3FHVI5Z6"],"itemData":{"id":190,"type":"article-journal","title":"An Intertwined Evolutionary History of Methanogenic Archaea and Sulfate Reduction","container-title":"PLoS ONE","page":"e45313","volume":"7","issue":"9","source":"PLoS Journals","abstract":"Hydrogenotrophic methanogenesis and dissimilatory sulfate reduction, two of the oldest energy conserving respiratory systems on Earth, apparently could not have evolved in the same host, as sulfite, an intermediate of sulfate reduction, inhibits methanogenesis. However, certain methanogenic archaea metabolize sulfite employing a deazaflavin cofactor (F420)-dependent sulfite reductase (Fsr) where N- and C-terminal halves (Fsr-N and Fsr-C) are homologs of F420H2 dehydrogenase and dissimilatory sulfite reductase (Dsr), respectively. From genome analysis we found that Fsr was likely assembled from freestanding Fsr-N homologs and Dsr-like proteins (Dsr-LP), both being abundant in methanogens. Dsr-LPs fell into two groups defined by following sequence features: Group I (simplest), carrying a coupled siroheme-[Fe4-S4] cluster and sulfite-binding Arg/Lys residues; Group III (most complex), with group I features, a Dsr-type peripheral [Fe4-S4] cluster and an additional [Fe4-S4] cluster. Group II Dsr-LPs with group I features and a Dsr-type peripheral [Fe4-S4] cluster were proposed as evolutionary intermediates. Group III is the precursor of Fsr-C. The freestanding Fsr-N homologs serve as F420H2 dehydrogenase unit of a putative novel glutamate synthase, previously described membrane-bound electron transport system in methanogens and of assimilatory type sulfite reductases in certain haloarchaea. Among archaea, only methanogens carried Dsr-LPs. They also possessed homologs of sulfate activation and reduction enzymes. This suggested a shared evolutionary history for methanogenesis and sulfate reduction, and Dsr-LPs could have been the source of the oldest (3.47-Gyr ago) biologically produced sulfide deposit.","DOI":"10.1371/journal.pone.0045313","journalAbbreviation":"PLoS ONE","author":[{"family":"Susanti","given":"Dwi"},{"family":"Mukhopadhyay","given":"Biswarup"}],"issued":{"date-parts":[["2012",9,21]]}}}],"schema":"https://github.com/citation-style-language/schema/raw/master/csl-citation.json"} </w:instrText>
      </w:r>
      <w:r w:rsidR="0008303F">
        <w:fldChar w:fldCharType="separate"/>
      </w:r>
      <w:r w:rsidR="00552A03" w:rsidRPr="00552A03">
        <w:rPr>
          <w:rFonts w:cs="Times New Roman"/>
        </w:rPr>
        <w:t>(17)</w:t>
      </w:r>
      <w:r w:rsidR="0008303F">
        <w:fldChar w:fldCharType="end"/>
      </w:r>
      <w:r w:rsidR="00166CBF">
        <w:t xml:space="preserve">, and </w:t>
      </w:r>
      <w:r w:rsidR="007E1FB5">
        <w:t xml:space="preserve">the addition of </w:t>
      </w:r>
      <w:r w:rsidR="00FD7D2E">
        <w:t xml:space="preserve">various </w:t>
      </w:r>
      <w:r w:rsidR="00166CBF">
        <w:t xml:space="preserve">biosynthesis pathways for all of the unique coenzymes involved in methanogenesis </w:t>
      </w:r>
      <w:r w:rsidR="00166CBF">
        <w:fldChar w:fldCharType="begin"/>
      </w:r>
      <w:r w:rsidR="00F5100D">
        <w:instrText xml:space="preserve"> ADDIN ZOTERO_ITEM CSL_CITATION {"citationID":"27j6dj3qma","properties":{"formattedCitation":"(18)","plainCitation":"(18)"},"citationItems":[{"id":112,"uris":["http://zotero.org/users/2565720/items/HMTZVJ9H"],"uri":["http://zotero.org/users/2565720/items/HMTZVJ9H"],"itemData":{"id":112,"type":"article-journal","title":"Elucidation of methanogenic coenzyme biosyntheses: from spectroscopy to genomics","container-title":"Natural Product Reports","page":"133-147","volume":"19","issue":"2","source":"pubs.rsc.org","abstract":"Covering: 1971–2001","DOI":"10.1039/B103714P","ISSN":"1460-4752","shortTitle":"Elucidation of methanogenic coenzyme biosyntheses","journalAbbreviation":"Nat. Prod. Rep.","language":"en","author":[{"family":"Graham","given":"David E."},{"family":"White","given":"Robert H."}],"issued":{"date-parts":[["2002",3,15]]}}}],"schema":"https://github.com/citation-style-language/schema/raw/master/csl-citation.json"} </w:instrText>
      </w:r>
      <w:r w:rsidR="00166CBF">
        <w:fldChar w:fldCharType="separate"/>
      </w:r>
      <w:r w:rsidR="00552A03" w:rsidRPr="00552A03">
        <w:rPr>
          <w:rFonts w:cs="Times New Roman"/>
        </w:rPr>
        <w:t>(18)</w:t>
      </w:r>
      <w:r w:rsidR="00166CBF">
        <w:fldChar w:fldCharType="end"/>
      </w:r>
      <w:r w:rsidR="00166CBF">
        <w:t xml:space="preserve">. </w:t>
      </w:r>
      <w:r w:rsidR="00037BDF">
        <w:t xml:space="preserve">We </w:t>
      </w:r>
      <w:r w:rsidR="00FD7D2E">
        <w:t xml:space="preserve">also </w:t>
      </w:r>
      <w:r w:rsidR="00037BDF">
        <w:lastRenderedPageBreak/>
        <w:t>increased genome coverage and homology by employing likelihood-based gap</w:t>
      </w:r>
      <w:r w:rsidR="00BB4897">
        <w:t xml:space="preserve"> </w:t>
      </w:r>
      <w:r w:rsidR="00037BDF">
        <w:t xml:space="preserve">filling, a technique that fills reaction gaps based on probability rather than on parsimony </w:t>
      </w:r>
      <w:r w:rsidR="00037BDF">
        <w:fldChar w:fldCharType="begin"/>
      </w:r>
      <w:r w:rsidR="00F5100D">
        <w:instrText xml:space="preserve"> ADDIN ZOTERO_ITEM CSL_CITATION {"citationID":"25fukdkllf","properties":{"formattedCitation":"(19)","plainCitation":"(19)"},"citationItems":[{"id":315,"uris":["http://zotero.org/users/2565720/items/5VCW6ZB7"],"uri":["http://zotero.org/users/2565720/items/5VCW6ZB7"],"itemData":{"id":315,"type":"article-journal","title":"Likelihood-Based Gene Annotations for Gap Filling and Quality Assessment in Genome-Scale Metabolic Models","container-title":"PLoS Comput Biol","page":"e1003882","volume":"10","issue":"10","source":"PLoS Journals","abstract":"Author Summary Genome-scale metabolic modeling is a powerful approach that allows one to computationally simulate a variety of metabolic phenotypes. However, manually constructing accurate metabolic networks is extremely time intensive and it is thus desirable to have automated computational methods for providing high-quality metabolic networks. Incomplete knowledge of biological chemistries leads to missing, ambiguous, or inaccurate gene annotations, and thus gives rise to incomplete metabolic networks. Computational algorithms for filling these gaps in a metabolic model rely on network topology based approaches that can result in solutions that are inconsistent with existing genomic data. We developed an algorithm that directly incorporates genomic evidence into the decision-making process for gap filling reactions. This algorithm both maximizes the consistency of gap filled reactions with available genomic data and identifies candidate genes for gap filled reactions. The algorithm has been integrated into KBase's metabolic modeling service, an automated metabolic network reconstruction framework that includes the ModelSEED automated metabolic reconstruction tools.","DOI":"10.1371/journal.pcbi.1003882","journalAbbreviation":"PLoS Comput Biol","author":[{"family":"Benedict","given":"Matthew N."},{"family":"Mundy","given":"Michael B."},{"family":"Henry","given":"Christopher S."},{"family":"Chia","given":"Nicholas"},{"family":"Price","given":"Nathan D."}],"issued":{"date-parts":[["2014",10,16]]}}}],"schema":"https://github.com/citation-style-language/schema/raw/master/csl-citation.json"} </w:instrText>
      </w:r>
      <w:r w:rsidR="00037BDF">
        <w:fldChar w:fldCharType="separate"/>
      </w:r>
      <w:r w:rsidR="00552A03" w:rsidRPr="00552A03">
        <w:rPr>
          <w:rFonts w:cs="Times New Roman"/>
        </w:rPr>
        <w:t>(19)</w:t>
      </w:r>
      <w:r w:rsidR="00037BDF">
        <w:fldChar w:fldCharType="end"/>
      </w:r>
      <w:r w:rsidR="00037BDF">
        <w:t xml:space="preserve">. </w:t>
      </w:r>
      <w:r w:rsidR="00B042B4">
        <w:t>Our reconstruction is the first manually-curated genome scale reconstruction to emplo</w:t>
      </w:r>
      <w:r w:rsidR="007F0F45">
        <w:t>y likelihood based gap filling.</w:t>
      </w:r>
      <w:r w:rsidR="00FA60EB">
        <w:t xml:space="preserve"> Furthermore, we expanded the scope of our reconstruction beyond stoichiometry by </w:t>
      </w:r>
      <w:r w:rsidR="00C31A11">
        <w:t xml:space="preserve">creating a new method to approximate overall model free energy. </w:t>
      </w:r>
      <w:r w:rsidR="00BC613A">
        <w:t xml:space="preserve">This is an especially salient consideration for methanogenic archaea, which can grow close to the thermodynamic limits that support life </w:t>
      </w:r>
      <w:r w:rsidR="00BC613A">
        <w:fldChar w:fldCharType="begin"/>
      </w:r>
      <w:r w:rsidR="00F5100D">
        <w:instrText xml:space="preserve"> ADDIN ZOTERO_ITEM CSL_CITATION {"citationID":"3ufgh9csi","properties":{"formattedCitation":"(20)","plainCitation":"(20)"},"citationItems":[{"id":312,"uris":["http://zotero.org/users/2565720/items/RRE8QV7S"],"uri":["http://zotero.org/users/2565720/items/RRE8QV7S"],"itemData":{"id":312,"type":"article-journal","title":"Anaerobic microbial metabolism can proceed close to thermodynamic limits","container-title":"Nature","page":"454-456","volume":"415","issue":"6870","source":"www.nature.com.proxy2.library.illinois.edu","abstract":"Many fermentative bacteria obtain energy for growth by reactions in which the change in free energy (G') is less than that needed to synthesize ATP. These bacteria couple substrate metabolism directly to ATP synthesis, however, by classical phosphoryl transfer reactions. An explanation for the energy economy of these organisms is that biological systems conserve energy in discrete amounts, with a minimum, biochemically convertible energy value of about -20 kJ mol-1 (refs 1, 2, 3). This concept predicts that anaerobic substrate decay ceases before the minimum free energy value is reached, and several studies support this prediction. Here we show that metabolism by syntrophic associations, in which the degradation of a substrate by one species is thermodynamically possible only through removal of the end product by another species, can occur at values close to thermodynamic equilibrium (G' 0 kJ mol-1). The free energy remaining when substrate metabolism halts is not constant; it depends on the terminal electron-accepting reaction and the amount of energy required for substrate activation. Syntrophic associations metabolize near thermodynamic equilibrium, indicating that bacteria operate extremely efficient catabolic systems.","DOI":"10.1038/415454a","ISSN":"0028-0836","journalAbbreviation":"Nature","author":[{"family":"Jackson","given":"Bradley E."},{"family":"McInerney","given":"Michael J."}],"issued":{"date-parts":[["2002",1,24]]}}}],"schema":"https://github.com/citation-style-language/schema/raw/master/csl-citation.json"} </w:instrText>
      </w:r>
      <w:r w:rsidR="00BC613A">
        <w:fldChar w:fldCharType="separate"/>
      </w:r>
      <w:r w:rsidR="00552A03" w:rsidRPr="00552A03">
        <w:rPr>
          <w:rFonts w:cs="Times New Roman"/>
        </w:rPr>
        <w:t>(20)</w:t>
      </w:r>
      <w:r w:rsidR="00BC613A">
        <w:fldChar w:fldCharType="end"/>
      </w:r>
      <w:r w:rsidR="00BC613A">
        <w:t xml:space="preserve">. </w:t>
      </w:r>
      <w:r w:rsidR="00C073FF">
        <w:t xml:space="preserve">A well-established method of applying </w:t>
      </w:r>
      <w:r w:rsidR="00AE21C1">
        <w:t>free energy</w:t>
      </w:r>
      <w:r w:rsidR="00C073FF">
        <w:t xml:space="preserve"> constraints involves applying the second law of thermodynamics to metabolic models to restrict reaction directionalities in the direction of negative free energy generation </w:t>
      </w:r>
      <w:r w:rsidR="00C073FF">
        <w:fldChar w:fldCharType="begin"/>
      </w:r>
      <w:r w:rsidR="00F5100D">
        <w:instrText xml:space="preserve"> ADDIN ZOTERO_ITEM CSL_CITATION {"citationID":"bifkhgkpm","properties":{"formattedCitation":"(21, 22)","plainCitation":"(21, 22)"},"citationItems":[{"id":147,"uris":["http://zotero.org/users/2565720/items/K56TQDNQ"],"uri":["http://zotero.org/users/2565720/items/K56TQDNQ"],"itemData":{"id":147,"type":"article-journal","title":"Thermodynamics-Based Metabolic Flux Analysis","container-title":"Biophysical Journal","page":"1792-1805","volume":"92","issue":"5","source":"CrossRef","DOI":"10.1529/biophysj.106.093138","ISSN":"00063495","language":"en","author":[{"family":"Henry","given":"Christopher S."},{"family":"Broadbelt","given":"Linda J."},{"family":"Hatzimanikatis","given":"Vassily"}],"issued":{"date-parts":[["2007",3]]}}},{"id":161,"uris":["http://zotero.org/users/2565720/items/SMSZVUAX"],"uri":["http://zotero.org/users/2565720/items/SMSZVUAX"],"itemData":{"id":161,"type":"article-journal","title":"Including metabolite concentrations into flux balance analysis: thermodynamic realizability as a constraint on flux distributions in metabolic networks","container-title":"BMC systems biology","page":"23","volume":"1","issue":"1","source":"Google Scholar","shortTitle":"Including metabolite concentrations into flux balance analysis","author":[{"family":"Hoppe","given":"Andreas"},{"family":"Hoffmann","given":"Sabrina"},{"family":"Holzhütter","given":"Hermann-Georg"}],"issued":{"date-parts":[["2007"]]}}}],"schema":"https://github.com/citation-style-language/schema/raw/master/csl-citation.json"} </w:instrText>
      </w:r>
      <w:r w:rsidR="00C073FF">
        <w:fldChar w:fldCharType="separate"/>
      </w:r>
      <w:r w:rsidR="00552A03" w:rsidRPr="00552A03">
        <w:rPr>
          <w:rFonts w:cs="Times New Roman"/>
        </w:rPr>
        <w:t>(21, 22)</w:t>
      </w:r>
      <w:r w:rsidR="00C073FF">
        <w:fldChar w:fldCharType="end"/>
      </w:r>
      <w:r w:rsidR="00C073FF">
        <w:t xml:space="preserve">. Rather than apply thermodynamic constraints to every metabolic reaction, </w:t>
      </w:r>
      <w:r w:rsidR="0008303F">
        <w:t>we created a</w:t>
      </w:r>
      <w:r w:rsidR="00C31A11">
        <w:t xml:space="preserve"> method </w:t>
      </w:r>
      <w:r w:rsidR="0008303F">
        <w:t xml:space="preserve">that </w:t>
      </w:r>
      <w:r w:rsidR="00C073FF">
        <w:t>predict</w:t>
      </w:r>
      <w:r w:rsidR="00C31A11">
        <w:t>s</w:t>
      </w:r>
      <w:r w:rsidR="00C073FF">
        <w:t xml:space="preserve"> overall free energy generated during steady state growth</w:t>
      </w:r>
      <w:r w:rsidR="00F134C6">
        <w:t xml:space="preserve"> based solely on standard free energies and </w:t>
      </w:r>
      <w:r w:rsidR="007F0F45">
        <w:t xml:space="preserve">effective </w:t>
      </w:r>
      <w:r w:rsidR="00F134C6">
        <w:t>concentrations of external metabolites</w:t>
      </w:r>
      <w:r w:rsidR="00C073FF">
        <w:t xml:space="preserve">. </w:t>
      </w:r>
      <w:r w:rsidR="00666EBB">
        <w:t xml:space="preserve">In </w:t>
      </w:r>
      <w:r w:rsidR="00C22C00">
        <w:t>combining these novel thermodynamic considerations</w:t>
      </w:r>
      <w:r w:rsidR="00666EBB">
        <w:t xml:space="preserve"> with stoichiometric information, </w:t>
      </w:r>
      <w:r w:rsidR="00B25F12">
        <w:t>iMR540</w:t>
      </w:r>
      <w:r w:rsidR="00C22C00">
        <w:t xml:space="preserve"> </w:t>
      </w:r>
      <w:r w:rsidR="00666EBB">
        <w:t>provide</w:t>
      </w:r>
      <w:r w:rsidR="00C22C00">
        <w:t xml:space="preserve">s </w:t>
      </w:r>
      <w:r w:rsidR="00666EBB">
        <w:t xml:space="preserve">a </w:t>
      </w:r>
      <w:r w:rsidR="00C22C00">
        <w:t>means</w:t>
      </w:r>
      <w:r w:rsidR="00666EBB">
        <w:t xml:space="preserve"> to predict energetically feasible </w:t>
      </w:r>
      <w:r w:rsidR="00C22C00">
        <w:t>strain designs, enhancing our metabolic engineering capabilities with</w:t>
      </w:r>
      <w:r w:rsidR="00666EBB">
        <w:t xml:space="preserve"> </w:t>
      </w:r>
      <w:r w:rsidR="00C22C00">
        <w:rPr>
          <w:i/>
        </w:rPr>
        <w:t>M. maripaludis.</w:t>
      </w:r>
      <w:r w:rsidR="0077549E">
        <w:t xml:space="preserve"> </w:t>
      </w:r>
    </w:p>
    <w:p w14:paraId="6B9617D2" w14:textId="77777777" w:rsidR="00C00B12" w:rsidRDefault="00C00B12" w:rsidP="00C00B12">
      <w:pPr>
        <w:pStyle w:val="Heading1"/>
      </w:pPr>
      <w:r>
        <w:t>Methods</w:t>
      </w:r>
    </w:p>
    <w:p w14:paraId="781CBECF" w14:textId="3D16F7E6" w:rsidR="00467AD6" w:rsidRDefault="00467AD6" w:rsidP="00467AD6">
      <w:pPr>
        <w:pStyle w:val="Heading2"/>
      </w:pPr>
      <w:r>
        <w:t>Genome Scale Reconstruction</w:t>
      </w:r>
      <w:r w:rsidR="00875625">
        <w:t xml:space="preserve"> Procedure</w:t>
      </w:r>
    </w:p>
    <w:p w14:paraId="718A59CC" w14:textId="1F84197B" w:rsidR="00CD72FC" w:rsidRPr="00CD72FC" w:rsidRDefault="00CD72FC" w:rsidP="004862FB">
      <w:pPr>
        <w:spacing w:line="480" w:lineRule="auto"/>
      </w:pPr>
      <w:r>
        <w:t xml:space="preserve">The process of genome scale </w:t>
      </w:r>
      <w:r w:rsidR="00F14B6D">
        <w:t xml:space="preserve">metabolic network </w:t>
      </w:r>
      <w:r>
        <w:t xml:space="preserve">reconstruction has been reviewed previously </w:t>
      </w:r>
      <w:r>
        <w:fldChar w:fldCharType="begin"/>
      </w:r>
      <w:r w:rsidR="00F5100D">
        <w:instrText xml:space="preserve"> ADDIN ZOTERO_ITEM CSL_CITATION {"citationID":"s5ikv23n5","properties":{"formattedCitation":"(23)","plainCitation":"(23)"},"citationItems":[{"id":84,"uris":["http://zotero.org/users/2565720/items/3JF6IXSW"],"uri":["http://zotero.org/users/2565720/items/3JF6IXSW"],"itemData":{"id":84,"type":"article-journal","title":"A protocol for generating a high-quality genome-scale metabolic reconstruction","container-title":"Nature Protocols","page":"93-121","volume":"5","issue":"1","source":"www.nature.com","abstract":"Network reconstructions are a common denominator in systems biology. Bottom–up metabolic network reconstructions have been developed over the last 10 years. These reconstructions represent structured knowledge bases that abstract pertinent information on the biochemical transformations taking place within specific target organisms. The conversion of a reconstruction into a mathematical format facilitates a myriad of computational biological studies, including evaluation of network content, hypothesis testing and generation, analysis of phenotypic characteristics and metabolic engineering. To date, genome-scale metabolic reconstructions for more than 30 organisms have been published and this number is expected to increase rapidly. However, these reconstructions differ in quality and coverage that may minimize their predictive potential and use as knowledge bases. Here we present a comprehensive protocol describing each step necessary to build a high-quality genome-scale metabolic reconstruction, as well as the common trials and tribulations. Therefore, this protocol provides a helpful manual for all stages of the reconstruction process.","DOI":"10.1038/nprot.2009.203","ISSN":"1754-2189","journalAbbreviation":"Nat. Protocols","language":"en","author":[{"family":"Thiele","given":"Ines"},{"family":"Palsson","given":"Bernhard Ø"}],"issued":{"date-parts":[["2010",1]]}}}],"schema":"https://github.com/citation-style-language/schema/raw/master/csl-citation.json"} </w:instrText>
      </w:r>
      <w:r>
        <w:fldChar w:fldCharType="separate"/>
      </w:r>
      <w:r w:rsidR="00552A03" w:rsidRPr="00552A03">
        <w:rPr>
          <w:rFonts w:cs="Times New Roman"/>
        </w:rPr>
        <w:t>(23)</w:t>
      </w:r>
      <w:r>
        <w:fldChar w:fldCharType="end"/>
      </w:r>
      <w:r>
        <w:t xml:space="preserve"> and </w:t>
      </w:r>
      <w:r w:rsidR="00F14B6D">
        <w:t>begins</w:t>
      </w:r>
      <w:r>
        <w:t xml:space="preserve"> with annotating an organism genome using gene-protein-reaction (GPR) relationships stored in a reaction database. </w:t>
      </w:r>
      <w:r w:rsidR="004862FB">
        <w:t>S</w:t>
      </w:r>
      <w:r>
        <w:t>everal databases</w:t>
      </w:r>
      <w:r w:rsidR="004862FB">
        <w:t xml:space="preserve"> are</w:t>
      </w:r>
      <w:r>
        <w:t xml:space="preserve"> available for this purpose </w:t>
      </w:r>
      <w:r>
        <w:fldChar w:fldCharType="begin"/>
      </w:r>
      <w:r w:rsidR="00F5100D">
        <w:instrText xml:space="preserve"> ADDIN ZOTERO_ITEM CSL_CITATION {"citationID":"1p04ht0slc","properties":{"formattedCitation":"{\\rtf (24\\uc0\\u8211{}26)}","plainCitation":"(24–26)"},"citationItems":[{"id":100,"uris":["http://zotero.org/users/2565720/items/NMEMK8QT"],"uri":["http://zotero.org/users/2565720/items/NMEMK8QT"],"itemData":{"id":100,"type":"article-journal","title":"KEGG: Kyoto Encyclopedia of Genes and Genomes","container-title":"Nucleic Acids Research","page":"27-30","volume":"28","issue":"1","source":"nar.oxfordjournals.org","abstract":"KEGG (Kyoto Encyclopedia of Genes and Genomes) is a knowledge base for systematic analysis of gene functions, linking genomic information with higher order functional information. The genomic information is stored in the GENES database, which is a collection of gene catalogs for all the completely sequenced genomes and some partial genomes with up-to-date annotation of gene functions. The higher order functional information is stored in the PATHWAY database, which contains graphical representations of cellular processes, such as metabolism, membrane transport, signal transduction and cell cycle. The PATHWAY database is supplemented by a set of ortholog group tables for the information about conserved subpathways (pathway motifs), which are often encoded by positionally coupled genes on the chromosome and which are especially useful in predicting gene functions. A third database in KEGG is LIGAND for the information about chemical compounds, enzyme molecules and enzymatic reactions. KEGG provides Java graphics tools for browsing genome maps, comparing two genome maps and manipulating expression maps, as well as computational tools for sequence comparison, graph comparison and path computation. The KEGG databases are daily updated and made freely available (http://www.genome.ad.jp/kegg/ ).","DOI":"10.1093/nar/28.1.27","ISSN":"0305-1048, 1362-4962","note":"PMID: 10592173","shortTitle":"KEGG","journalAbbreviation":"Nucl. Acids Res.","language":"en","author":[{"family":"Kanehisa","given":"Minoru"},{"family":"Goto","given":"Susumu"}],"issued":{"date-parts":[["2000",1,1]]},"PMID":"10592173"}},{"id":67,"uris":["http://zotero.org/users/2565720/items/MDA5KZBC"],"uri":["http://zotero.org/users/2565720/items/MDA5KZBC"],"itemData":{"id":67,"type":"article-journal","title":"The MetaCyc database of metabolic pathways and enzymes and the BioCyc collection of pathway/genome databases","container-title":"Nucleic Acids Research","page":"D473-D479","volume":"38","issue":"suppl 1","source":"nar.oxfordjournals.org","abstract":"The MetaCyc database (MetaCyc.org) is a comprehensive and freely accessible resource for metabolic pathways and enzymes from all domains of life. The pathways in MetaCyc are experimentally determined, small-molecule metabolic pathways and are curated from the primary scientific literature. With more than 1400 pathways, MetaCyc is the largest collection of metabolic pathways currently available. Pathways reactions are linked to one or more well-characterized enzymes, and both pathways and enzymes are annotated with reviews, evidence codes, and literature citations. BioCyc (BioCyc.org) is a collection of more than 500 organism-specific Pathway/Genome Databases (PGDBs). Each BioCyc PGDB contains the full genome and predicted metabolic network of one organism. The network, which is predicted by the Pathway Tools software using MetaCyc as a reference, consists of metabolites, enzymes, reactions and metabolic pathways. BioCyc PGDBs also contain additional features, such as predicted operons, transport systems, and pathway hole-fillers. The BioCyc Web site offers several tools for the analysis of the PGDBs, including Omics Viewers that enable visualization of omics datasets on two different genome-scale diagrams and tools for comparative analysis. The BioCyc PGDBs generated by SRI are offered for adoption by any party interested in curation of metabolic, regulatory, and genome-related information about an organism.","DOI":"10.1093/nar/gkp875","ISSN":"0305-1048, 1362-4962","note":"PMID: 19850718","journalAbbreviation":"Nucl. Acids Res.","language":"en","author":[{"family":"Caspi","given":"Ron"},{"family":"Altman","given":"Tomer"},{"family":"Dale","given":"Joseph M."},{"family":"Dreher","given":"Kate"},{"family":"Fulcher","given":"Carol A."},{"family":"Gilham","given":"Fred"},{"family":"Kaipa","given":"Pallavi"},{"family":"Karthikeyan","given":"Athikkattuvalasu S."},{"family":"Kothari","given":"Anamika"},{"family":"Krummenacker","given":"Markus"},{"family":"Latendresse","given":"Mario"},{"family":"Mueller","given":"Lukas A."},{"family":"Paley","given":"Suzanne"},{"family":"Popescu","given":"Liviu"},{"family":"Pujar","given":"Anuradha"},{"family":"Shearer","given":"Alexander G."},{"family":"Zhang","given":"Peifen"},{"family":"Karp","given":"Peter D."}],"issued":{"date-parts":[["2010",1,1]]},"PMID":"19850718"}},{"id":97,"uris":["http://zotero.org/users/2565720/items/BXZADC9G"],"uri":["http://zotero.org/users/2565720/items/BXZADC9G"],"itemData":{"id":97,"type":"article-journal","title":"High-throughput generation, optimization and analysis of genome-scale metabolic models","container-title":"Nature Biotechnology","page":"977-982","volume":"28","issue":"9","source":"www.nature.com","abstract":"Genome-scale metabolic models have proven to be valuable for predicting organism phenotypes from genotypes. Yet efforts to develop new models are failing to keep pace with genome sequencing. To address this problem, we introduce the Model SEED, a web-based resource for high-throughput generation, optimization and analysis of genome-scale metabolic models. The Model SEED integrates existing methods and introduces techniques to automate nearly every step of this process, taking ~48 h to reconstruct a metabolic model from an assembled genome sequence. We apply this resource to generate 130 genome-scale metabolic models representing a taxonomically diverse set of bacteria. Twenty-two of the models were validated against available gene essentiality and Biolog data, with the average model accuracy determined to be 66% before optimization and 87% after optimization.\nView full text","DOI":"10.1038/nbt.1672","ISSN":"1087-0156","journalAbbreviation":"Nat Biotech","language":"en","author":[{"family":"Henry","given":"Christopher S."},{"family":"DeJongh","given":"Matthew"},{"family":"Best","given":"Aaron A."},{"family":"Frybarger","given":"Paul M."},{"family":"Linsay","given":"Ben"},{"family":"Stevens","given":"Rick L."}],"issued":{"date-parts":[["2010",9]]}}}],"schema":"https://github.com/citation-style-language/schema/raw/master/csl-citation.json"} </w:instrText>
      </w:r>
      <w:r>
        <w:fldChar w:fldCharType="separate"/>
      </w:r>
      <w:r w:rsidR="00552A03" w:rsidRPr="00552A03">
        <w:rPr>
          <w:rFonts w:cs="Times New Roman"/>
          <w:szCs w:val="24"/>
        </w:rPr>
        <w:t>(24–26)</w:t>
      </w:r>
      <w:r>
        <w:fldChar w:fldCharType="end"/>
      </w:r>
      <w:r w:rsidR="004862FB">
        <w:t>; we chose</w:t>
      </w:r>
      <w:r>
        <w:t xml:space="preserve"> the Department of Energy Systems Biology Knowledgebase (</w:t>
      </w:r>
      <w:proofErr w:type="spellStart"/>
      <w:r w:rsidR="00955999">
        <w:t>Kbase</w:t>
      </w:r>
      <w:proofErr w:type="spellEnd"/>
      <w:r w:rsidR="00955999">
        <w:t xml:space="preserve">; </w:t>
      </w:r>
      <w:r>
        <w:t>www.kbase.us)</w:t>
      </w:r>
      <w:r w:rsidR="00955999">
        <w:t xml:space="preserve">, a suite of tools that includes </w:t>
      </w:r>
      <w:r>
        <w:t xml:space="preserve">the Model SEED </w:t>
      </w:r>
      <w:r w:rsidR="00F14B6D">
        <w:t xml:space="preserve">reaction </w:t>
      </w:r>
      <w:r>
        <w:t xml:space="preserve">database </w:t>
      </w:r>
      <w:r>
        <w:fldChar w:fldCharType="begin"/>
      </w:r>
      <w:r w:rsidR="00F5100D">
        <w:instrText xml:space="preserve"> ADDIN ZOTERO_ITEM CSL_CITATION {"citationID":"fi08jgict","properties":{"formattedCitation":"(26)","plainCitation":"(26)"},"citationItems":[{"id":97,"uris":["http://zotero.org/users/2565720/items/BXZADC9G"],"uri":["http://zotero.org/users/2565720/items/BXZADC9G"],"itemData":{"id":97,"type":"article-journal","title":"High-throughput generation, optimization and analysis of genome-scale metabolic models","container-title":"Nature Biotechnology","page":"977-982","volume":"28","issue":"9","source":"www.nature.com","abstract":"Genome-scale metabolic models have proven to be valuable for predicting organism phenotypes from genotypes. Yet efforts to develop new models are failing to keep pace with genome sequencing. To address this problem, we introduce the Model SEED, a web-based resource for high-throughput generation, optimization and analysis of genome-scale metabolic models. The Model SEED integrates existing methods and introduces techniques to automate nearly every step of this process, taking ~48 h to reconstruct a metabolic model from an assembled genome sequence. We apply this resource to generate 130 genome-scale metabolic models representing a taxonomically diverse set of bacteria. Twenty-two of the models were validated against available gene essentiality and Biolog data, with the average model accuracy determined to be 66% before optimization and 87% after optimization.\nView full text","DOI":"10.1038/nbt.1672","ISSN":"1087-0156","journalAbbreviation":"Nat Biotech","language":"en","author":[{"family":"Henry","given":"Christopher S."},{"family":"DeJongh","given":"Matthew"},{"family":"Best","given":"Aaron A."},{"family":"Frybarger","given":"Paul M."},{"family":"Linsay","given":"Ben"},{"family":"Stevens","given":"Rick L."}],"issued":{"date-parts":[["2010",9]]}}}],"schema":"https://github.com/citation-style-language/schema/raw/master/csl-citation.json"} </w:instrText>
      </w:r>
      <w:r>
        <w:fldChar w:fldCharType="separate"/>
      </w:r>
      <w:r w:rsidR="00552A03" w:rsidRPr="00552A03">
        <w:rPr>
          <w:rFonts w:cs="Times New Roman"/>
        </w:rPr>
        <w:t>(26)</w:t>
      </w:r>
      <w:r>
        <w:fldChar w:fldCharType="end"/>
      </w:r>
      <w:r>
        <w:t>.</w:t>
      </w:r>
      <w:r w:rsidR="00955999">
        <w:t xml:space="preserve"> </w:t>
      </w:r>
      <w:r w:rsidR="004862FB">
        <w:t xml:space="preserve">We created our first draft reconstruction using the stored </w:t>
      </w:r>
      <w:proofErr w:type="spellStart"/>
      <w:r w:rsidR="004862FB">
        <w:t>Kbase</w:t>
      </w:r>
      <w:proofErr w:type="spellEnd"/>
      <w:r w:rsidR="004862FB">
        <w:t xml:space="preserve"> genome for </w:t>
      </w:r>
      <w:r w:rsidR="004862FB">
        <w:rPr>
          <w:i/>
        </w:rPr>
        <w:t xml:space="preserve">M. maripaludis S2 </w:t>
      </w:r>
      <w:r w:rsidR="004862FB">
        <w:lastRenderedPageBreak/>
        <w:t>(</w:t>
      </w:r>
      <w:r w:rsidR="00D057B6">
        <w:t xml:space="preserve">genome id: </w:t>
      </w:r>
      <w:r w:rsidR="004862FB">
        <w:t xml:space="preserve">kb|g.575) and the automated reconstruction method (“Reconstruct Genome-scale Metabolic Model”). For this initial reconstruction, we </w:t>
      </w:r>
      <w:r w:rsidR="00AE21C1">
        <w:t>used the default gram negative b</w:t>
      </w:r>
      <w:r w:rsidR="004862FB">
        <w:t xml:space="preserve">iomass </w:t>
      </w:r>
      <w:r w:rsidR="00AE21C1">
        <w:t>composition and filled knowledge gaps</w:t>
      </w:r>
      <w:r w:rsidR="004862FB">
        <w:t xml:space="preserve"> using likelihood based gap</w:t>
      </w:r>
      <w:r w:rsidR="00CD3E73">
        <w:t xml:space="preserve"> </w:t>
      </w:r>
      <w:r w:rsidR="004862FB">
        <w:t xml:space="preserve">filling (method currently not </w:t>
      </w:r>
      <w:r w:rsidR="00464CF2">
        <w:t>supported</w:t>
      </w:r>
      <w:r w:rsidR="004862FB">
        <w:t xml:space="preserve"> </w:t>
      </w:r>
      <w:r w:rsidR="00464CF2">
        <w:t>in</w:t>
      </w:r>
      <w:r w:rsidR="004862FB">
        <w:t xml:space="preserve"> </w:t>
      </w:r>
      <w:proofErr w:type="spellStart"/>
      <w:r w:rsidR="004862FB">
        <w:t>Kbase</w:t>
      </w:r>
      <w:proofErr w:type="spellEnd"/>
      <w:r w:rsidR="004862FB">
        <w:t xml:space="preserve"> Narrative Interface). </w:t>
      </w:r>
      <w:r w:rsidR="00E856C5">
        <w:t xml:space="preserve">This </w:t>
      </w:r>
      <w:r w:rsidR="004862FB">
        <w:t>yielded</w:t>
      </w:r>
      <w:r w:rsidR="00E856C5">
        <w:t xml:space="preserve"> the first </w:t>
      </w:r>
      <w:r w:rsidR="004862FB">
        <w:t xml:space="preserve">full </w:t>
      </w:r>
      <w:r w:rsidR="00E856C5">
        <w:t xml:space="preserve">draft of the </w:t>
      </w:r>
      <w:r w:rsidR="00F14B6D">
        <w:t xml:space="preserve">metabolic </w:t>
      </w:r>
      <w:r w:rsidR="004862FB">
        <w:t xml:space="preserve">reconstruction that could be converted to a </w:t>
      </w:r>
      <w:r w:rsidR="009E7673">
        <w:t>simulatable</w:t>
      </w:r>
      <w:r w:rsidR="004862FB">
        <w:t xml:space="preserve"> model.</w:t>
      </w:r>
      <w:r w:rsidR="00673E4C">
        <w:t xml:space="preserve"> </w:t>
      </w:r>
    </w:p>
    <w:p w14:paraId="49B556ED" w14:textId="2DE2163D" w:rsidR="00650EC2" w:rsidRDefault="004862FB" w:rsidP="007A2129">
      <w:pPr>
        <w:spacing w:line="480" w:lineRule="auto"/>
      </w:pPr>
      <w:r>
        <w:t>We</w:t>
      </w:r>
      <w:r w:rsidR="00650EC2">
        <w:t xml:space="preserve"> expanded and refined the model by manually adding information from literature sources.</w:t>
      </w:r>
      <w:r>
        <w:t xml:space="preserve"> In cases where reactions from literature were part of the Model SEED database, we labeled the reactions using SEED identifiers, names, subsystems, and EC numbers. For other cases where we </w:t>
      </w:r>
      <w:r w:rsidR="00AE21C1">
        <w:t>encountered</w:t>
      </w:r>
      <w:r>
        <w:t xml:space="preserve"> reactions that were not part of the Model SEED, </w:t>
      </w:r>
      <w:r w:rsidR="00AE21C1">
        <w:t xml:space="preserve">we created </w:t>
      </w:r>
      <w:r w:rsidR="004A10CC">
        <w:t xml:space="preserve">unique reaction identifiers and names, </w:t>
      </w:r>
      <w:proofErr w:type="gramStart"/>
      <w:r w:rsidR="004A10CC">
        <w:t>then</w:t>
      </w:r>
      <w:proofErr w:type="gramEnd"/>
      <w:r w:rsidR="004A10CC">
        <w:t xml:space="preserve"> added subsystem information based on our knowledge of the metabolic network. We also adhered to SEED identifiers, names, formulas, and charges for metabolites whenever possible and had very few cases where</w:t>
      </w:r>
      <w:r w:rsidR="00650EC2">
        <w:t xml:space="preserve"> </w:t>
      </w:r>
      <w:r w:rsidR="004A10CC">
        <w:t xml:space="preserve">we specified our own values. Metabolites were compartmentalized using standard tags for cytosol (“c0”) and extracellular (“e0”) compartments. These tags additionally identify </w:t>
      </w:r>
      <w:r w:rsidR="004A10CC">
        <w:rPr>
          <w:i/>
        </w:rPr>
        <w:t xml:space="preserve">M. maripaludis </w:t>
      </w:r>
      <w:r w:rsidR="004A10CC">
        <w:t xml:space="preserve">as “Organism 0” in the possible future case where we could </w:t>
      </w:r>
      <w:r w:rsidR="00AE21C1">
        <w:t>add</w:t>
      </w:r>
      <w:r w:rsidR="004A10CC">
        <w:t xml:space="preserve"> other organisms to create a community </w:t>
      </w:r>
      <w:r w:rsidR="00AE21C1">
        <w:t>metabolic reconstruction</w:t>
      </w:r>
      <w:r w:rsidR="004A10CC">
        <w:t>. Exchange reactions used for introducing metabolites to the extracellular compartment were standardized</w:t>
      </w:r>
      <w:r w:rsidR="00464CF2">
        <w:t xml:space="preserve"> in “EX</w:t>
      </w:r>
      <w:proofErr w:type="gramStart"/>
      <w:r w:rsidR="00464CF2">
        <w:t>_{</w:t>
      </w:r>
      <w:proofErr w:type="gramEnd"/>
      <w:r w:rsidR="00464CF2">
        <w:t>metabolite ID}[</w:t>
      </w:r>
      <w:r w:rsidR="004A10CC">
        <w:t>e0</w:t>
      </w:r>
      <w:r w:rsidR="00464CF2">
        <w:t>]</w:t>
      </w:r>
      <w:r w:rsidR="004A10CC">
        <w:t>” format. Comprehensive information on the reactions, metabolites, and genes in our reconstruction can be found in Supplementary Materials.</w:t>
      </w:r>
      <w:r w:rsidR="00673E4C">
        <w:t xml:space="preserve"> </w:t>
      </w:r>
    </w:p>
    <w:p w14:paraId="4CD49EDC" w14:textId="0BEE8407" w:rsidR="00467AD6" w:rsidRDefault="00955999" w:rsidP="00467AD6">
      <w:pPr>
        <w:pStyle w:val="Heading2"/>
      </w:pPr>
      <w:r>
        <w:t>Model</w:t>
      </w:r>
      <w:r w:rsidR="00467AD6">
        <w:t xml:space="preserve"> Simulations</w:t>
      </w:r>
      <w:r w:rsidR="00875625">
        <w:t xml:space="preserve"> with Flux Balance Analysis</w:t>
      </w:r>
    </w:p>
    <w:p w14:paraId="79246ECA" w14:textId="4CD4B363" w:rsidR="004913FB" w:rsidRDefault="007032A7" w:rsidP="007A2129">
      <w:pPr>
        <w:spacing w:line="480" w:lineRule="auto"/>
      </w:pPr>
      <w:r>
        <w:t>To make rigorous quantitative</w:t>
      </w:r>
      <w:r w:rsidR="00650EC2">
        <w:t xml:space="preserve"> growth</w:t>
      </w:r>
      <w:r>
        <w:t xml:space="preserve"> predictions</w:t>
      </w:r>
      <w:r w:rsidR="00650EC2">
        <w:t xml:space="preserve">, </w:t>
      </w:r>
      <w:r>
        <w:t xml:space="preserve">a genome scale metabolic reconstruction </w:t>
      </w:r>
      <w:r w:rsidR="00464CF2">
        <w:t>can</w:t>
      </w:r>
      <w:r>
        <w:t xml:space="preserve"> be converted to a simulatable model. Reactions and their participating metabolites in the metabolic network are connected via the stoichiometric matrix (S), which contains the </w:t>
      </w:r>
      <w:r>
        <w:lastRenderedPageBreak/>
        <w:t>stoichiometric coefficients for each metabolite (row) in each reaction (colu</w:t>
      </w:r>
      <w:r w:rsidR="00AE21C1">
        <w:t>mn). The S-matrix</w:t>
      </w:r>
      <w:r>
        <w:t xml:space="preserve"> is converted to a model via the principle</w:t>
      </w:r>
      <w:r w:rsidR="004913FB">
        <w:t>s</w:t>
      </w:r>
      <w:r>
        <w:t xml:space="preserve"> of metabolite mass conservation</w:t>
      </w:r>
      <w:r w:rsidR="004913FB">
        <w:t xml:space="preserve"> by recognizing that time-dependent accumulation of metabolites in the system (b) is equivalent to the product of the S-matrix and the vector of reaction fluxes (v)</w:t>
      </w:r>
      <w:r w:rsidR="00673E4C">
        <w:t xml:space="preserve"> </w:t>
      </w:r>
    </w:p>
    <w:tbl>
      <w:tblPr>
        <w:tblStyle w:val="TableGrid"/>
        <w:tblW w:w="0" w:type="auto"/>
        <w:jc w:val="center"/>
        <w:tblInd w:w="21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60"/>
        <w:gridCol w:w="1638"/>
      </w:tblGrid>
      <w:tr w:rsidR="004913FB" w14:paraId="30598CCA" w14:textId="77777777" w:rsidTr="004913FB">
        <w:trPr>
          <w:jc w:val="center"/>
        </w:trPr>
        <w:tc>
          <w:tcPr>
            <w:tcW w:w="5760" w:type="dxa"/>
            <w:vAlign w:val="center"/>
          </w:tcPr>
          <w:p w14:paraId="7D8D5F86" w14:textId="07D321B9" w:rsidR="004913FB" w:rsidRDefault="004913FB" w:rsidP="004913FB">
            <w:pPr>
              <w:spacing w:line="480" w:lineRule="auto"/>
              <w:jc w:val="center"/>
            </w:pPr>
            <m:oMathPara>
              <m:oMath>
                <m:r>
                  <w:rPr>
                    <w:rFonts w:ascii="Cambria Math" w:hAnsi="Cambria Math"/>
                  </w:rPr>
                  <m:t>Sv=b</m:t>
                </m:r>
              </m:oMath>
            </m:oMathPara>
          </w:p>
        </w:tc>
        <w:tc>
          <w:tcPr>
            <w:tcW w:w="1638" w:type="dxa"/>
            <w:vAlign w:val="center"/>
          </w:tcPr>
          <w:p w14:paraId="3396842D" w14:textId="380CC8E8" w:rsidR="004913FB" w:rsidRDefault="00737FF9" w:rsidP="004913FB">
            <w:pPr>
              <w:spacing w:line="480" w:lineRule="auto"/>
              <w:jc w:val="center"/>
            </w:pPr>
            <w:r>
              <w:t>[</w:t>
            </w:r>
            <w:r w:rsidR="004913FB">
              <w:t>1</w:t>
            </w:r>
            <w:r>
              <w:t>]</w:t>
            </w:r>
          </w:p>
        </w:tc>
      </w:tr>
    </w:tbl>
    <w:p w14:paraId="13C0F76E" w14:textId="599B909E" w:rsidR="004913FB" w:rsidRDefault="004913FB" w:rsidP="007A2129">
      <w:pPr>
        <w:spacing w:line="480" w:lineRule="auto"/>
      </w:pPr>
      <w:r>
        <w:t>In flux balance analysis (FBA), we further simplify this differential system by assuming our organism is in steady state growth, thus b=0 and the system is linear</w:t>
      </w:r>
      <w:r w:rsidR="009C70DD">
        <w:t xml:space="preserve"> </w:t>
      </w:r>
      <w:r w:rsidR="009E7673">
        <w:fldChar w:fldCharType="begin"/>
      </w:r>
      <w:r w:rsidR="00F5100D">
        <w:instrText xml:space="preserve"> ADDIN ZOTERO_ITEM CSL_CITATION {"citationID":"2d9n7esulj","properties":{"formattedCitation":"(27)","plainCitation":"(27)"},"citationItems":[{"id":118,"uris":["http://zotero.org/users/2565720/items/SBSDG6FQ"],"uri":["http://zotero.org/users/2565720/items/SBSDG6FQ"],"itemData":{"id":118,"type":"article-journal","title":"Genome-scale models of microbial cells: evaluating the consequences of constraints","container-title":"Nature Reviews Microbiology","page":"886-897","volume":"2","issue":"11","source":"CrossRef","DOI":"10.1038/nrmicro1023","ISSN":"1740-1526, 1740-1534","shortTitle":"Genome-scale models of microbial cells","author":[{"family":"Price","given":"Nathan D."},{"family":"Reed","given":"Jennifer L."},{"family":"Palsson","given":"Bernhard Ø."}],"issued":{"date-parts":[["2004",11]]}}}],"schema":"https://github.com/citation-style-language/schema/raw/master/csl-citation.json"} </w:instrText>
      </w:r>
      <w:r w:rsidR="009E7673">
        <w:fldChar w:fldCharType="separate"/>
      </w:r>
      <w:r w:rsidR="00552A03" w:rsidRPr="00552A03">
        <w:rPr>
          <w:rFonts w:cs="Times New Roman"/>
        </w:rPr>
        <w:t>(27)</w:t>
      </w:r>
      <w:r w:rsidR="009E7673">
        <w:fldChar w:fldCharType="end"/>
      </w:r>
      <w:r>
        <w:t xml:space="preserve">. This </w:t>
      </w:r>
      <w:r w:rsidR="009C70DD">
        <w:t>assumption</w:t>
      </w:r>
      <w:r>
        <w:t xml:space="preserve"> bounds our model system to a large solution space that can further be constrained by applying upper and lower bounds to each reaction flux:</w:t>
      </w:r>
    </w:p>
    <w:tbl>
      <w:tblPr>
        <w:tblStyle w:val="TableGrid"/>
        <w:tblW w:w="0" w:type="auto"/>
        <w:jc w:val="center"/>
        <w:tblInd w:w="21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60"/>
        <w:gridCol w:w="1638"/>
      </w:tblGrid>
      <w:tr w:rsidR="004913FB" w14:paraId="5EF0E039" w14:textId="77777777" w:rsidTr="004913FB">
        <w:trPr>
          <w:jc w:val="center"/>
        </w:trPr>
        <w:tc>
          <w:tcPr>
            <w:tcW w:w="5760" w:type="dxa"/>
            <w:vAlign w:val="center"/>
          </w:tcPr>
          <w:p w14:paraId="38D9B2EF" w14:textId="5149DC68" w:rsidR="004913FB" w:rsidRDefault="00F5100D" w:rsidP="004913FB">
            <w:pPr>
              <w:spacing w:line="480" w:lineRule="auto"/>
              <w:jc w:val="center"/>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v</m:t>
                        </m:r>
                      </m:e>
                      <m:sub>
                        <m:r>
                          <w:rPr>
                            <w:rFonts w:ascii="Cambria Math" w:hAnsi="Cambria Math"/>
                          </w:rPr>
                          <m:t>i,lower</m:t>
                        </m:r>
                      </m:sub>
                    </m:sSub>
                    <m:r>
                      <w:rPr>
                        <w:rFonts w:ascii="Cambria Math" w:hAnsi="Cambria Math"/>
                      </w:rPr>
                      <m:t>≤v</m:t>
                    </m:r>
                  </m:e>
                  <m:sub>
                    <m:r>
                      <w:rPr>
                        <w:rFonts w:ascii="Cambria Math" w:hAnsi="Cambria Math"/>
                      </w:rPr>
                      <m:t>i</m:t>
                    </m:r>
                  </m:sub>
                </m:sSub>
                <m:sSub>
                  <m:sSubPr>
                    <m:ctrlPr>
                      <w:rPr>
                        <w:rFonts w:ascii="Cambria Math" w:hAnsi="Cambria Math"/>
                        <w:i/>
                      </w:rPr>
                    </m:ctrlPr>
                  </m:sSubPr>
                  <m:e>
                    <m:r>
                      <w:rPr>
                        <w:rFonts w:ascii="Cambria Math" w:hAnsi="Cambria Math"/>
                      </w:rPr>
                      <m:t>≤v</m:t>
                    </m:r>
                  </m:e>
                  <m:sub>
                    <m:r>
                      <w:rPr>
                        <w:rFonts w:ascii="Cambria Math" w:hAnsi="Cambria Math"/>
                      </w:rPr>
                      <m:t>i,upper</m:t>
                    </m:r>
                  </m:sub>
                </m:sSub>
              </m:oMath>
            </m:oMathPara>
          </w:p>
        </w:tc>
        <w:tc>
          <w:tcPr>
            <w:tcW w:w="1638" w:type="dxa"/>
            <w:vAlign w:val="center"/>
          </w:tcPr>
          <w:p w14:paraId="12B25844" w14:textId="0E38B8D4" w:rsidR="004913FB" w:rsidRDefault="00737FF9" w:rsidP="004913FB">
            <w:pPr>
              <w:spacing w:line="480" w:lineRule="auto"/>
              <w:jc w:val="center"/>
            </w:pPr>
            <w:r>
              <w:t>[2]</w:t>
            </w:r>
          </w:p>
        </w:tc>
      </w:tr>
    </w:tbl>
    <w:p w14:paraId="1E9C8A37" w14:textId="010088AA" w:rsidR="009C70DD" w:rsidRDefault="009C70DD" w:rsidP="007A2129">
      <w:pPr>
        <w:spacing w:line="480" w:lineRule="auto"/>
      </w:pPr>
      <w:r>
        <w:t>To find feasible flux distribution</w:t>
      </w:r>
      <w:r w:rsidR="00D057B6">
        <w:t>s</w:t>
      </w:r>
      <w:r>
        <w:t xml:space="preserve"> </w:t>
      </w:r>
      <w:r w:rsidR="009E7673">
        <w:t xml:space="preserve">that represent likely physiological states </w:t>
      </w:r>
      <w:r>
        <w:t xml:space="preserve">within this solution space, we solved our model by </w:t>
      </w:r>
      <w:r w:rsidR="007A2B72">
        <w:t>optimizing</w:t>
      </w:r>
      <w:r>
        <w:t xml:space="preserve"> the biomass objective function</w:t>
      </w:r>
      <w:r w:rsidR="00C91990">
        <w:t>, a simulation of maximum cell growth yield</w:t>
      </w:r>
      <w:r>
        <w:t xml:space="preserve"> </w:t>
      </w:r>
      <w:r w:rsidR="007A2B72">
        <w:fldChar w:fldCharType="begin"/>
      </w:r>
      <w:r w:rsidR="00F5100D">
        <w:instrText xml:space="preserve"> ADDIN ZOTERO_ITEM CSL_CITATION {"citationID":"22fl0p9qes","properties":{"formattedCitation":"(28)","plainCitation":"(28)"},"citationItems":[{"id":136,"uris":["http://zotero.org/users/2565720/items/BGJUNAHR"],"uri":["http://zotero.org/users/2565720/items/BGJUNAHR"],"itemData":{"id":136,"type":"article-journal","title":"The biomass objective function","container-title":"Current Opinion in Microbiology","collection-title":"Ecology and industrial microbiology • Special section: Systems biology","page":"344-349","volume":"13","issue":"3","source":"ScienceDirect","abstract":"Flux balance analysis (FBA) is a mathematical approach for analyzing the flow of metabolites through a metabolic network. To computationally predict cell growth using FBA, one has to determine the biomass objective function that describes the rate at which all of the biomass precursors are made in the correct proportions. Here we review fundamental issues associated with its formulation and use to compute optimal growth states.","DOI":"10.1016/j.mib.2010.03.003","ISSN":"1369-5274","journalAbbreviation":"Current Opinion in Microbiology","author":[{"family":"Feist","given":"Adam M"},{"family":"Palsson","given":"Bernhard O"}],"issued":{"date-parts":[["2010",6]]}}}],"schema":"https://github.com/citation-style-language/schema/raw/master/csl-citation.json"} </w:instrText>
      </w:r>
      <w:r w:rsidR="007A2B72">
        <w:fldChar w:fldCharType="separate"/>
      </w:r>
      <w:r w:rsidR="00552A03" w:rsidRPr="00552A03">
        <w:rPr>
          <w:rFonts w:cs="Times New Roman"/>
        </w:rPr>
        <w:t>(28)</w:t>
      </w:r>
      <w:r w:rsidR="007A2B72">
        <w:fldChar w:fldCharType="end"/>
      </w:r>
      <w:r>
        <w:t xml:space="preserve">. </w:t>
      </w:r>
      <w:r w:rsidR="00D057B6">
        <w:t xml:space="preserve">We further constrained possible flux distributions by minimizing the squared sum of fluxes, effectively forcing our model to find solutions that minimize the total flux in the system while maximizing growth. </w:t>
      </w:r>
      <w:r w:rsidR="00650EC2">
        <w:t>All model simulations were performed using the COBRA toolbox</w:t>
      </w:r>
      <w:r w:rsidR="00643EEA">
        <w:t xml:space="preserve"> 2.0 </w:t>
      </w:r>
      <w:r w:rsidR="00643EEA">
        <w:fldChar w:fldCharType="begin"/>
      </w:r>
      <w:r w:rsidR="00F5100D">
        <w:instrText xml:space="preserve"> ADDIN ZOTERO_ITEM CSL_CITATION {"citationID":"1bn2iq8r9d","properties":{"formattedCitation":"(29)","plainCitation":"(29)"},"citationItems":[{"id":81,"uris":["http://zotero.org/users/2565720/items/XX4R24A3"],"uri":["http://zotero.org/users/2565720/items/XX4R24A3"],"itemData":{"id":81,"type":"article-journal","title":"Quantitative prediction of cellular metabolism with constraint-based models: the COBRA Toolbox v2.0","container-title":"Nature Protocols","page":"1290-1307","volume":"6","issue":"9","source":"www.nature.com","abstract":"Over the past decade, a growing community of researchers has emerged around the use of constraint-based reconstruction and analysis (COBRA) methods to simulate, analyze and predict a variety of metabolic phenotypes using genome-scale models. The COBRA Toolbox, a MATLAB package for implementing COBRA methods, was presented earlier. Here we present a substantial update of this in silico toolbox. Version 2.0 of the COBRA Toolbox expands the scope of computations by including in silico analysis methods developed since its original release. New functions include (i) network gap filling, (ii) 13C analysis, (iii) metabolic engineering, (iv) omics-guided analysis and (v) visualization. As with the first version, the COBRA Toolbox reads and writes systems biology markup language–formatted models. In version 2.0, we improved performance, usability and the level of documentation. A suite of test scripts can now be used to learn the core functionality of the toolbox and validate results. This toolbox lowers the barrier of entry to use powerful COBRA methods.\nView full text","DOI":"10.1038/nprot.2011.308","ISSN":"1754-2189","shortTitle":"Quantitative prediction of cellular metabolism with constraint-based models","journalAbbreviation":"Nat. Protocols","language":"en","author":[{"family":"Schellenberger","given":"Jan"},{"family":"Que","given":"Richard"},{"family":"Fleming","given":"Ronan M. T."},{"family":"Thiele","given":"Ines"},{"family":"Orth","given":"Jeffrey D."},{"family":"Feist","given":"Adam M."},{"family":"Zielinski","given":"Daniel C."},{"family":"Bordbar","given":"Aarash"},{"family":"Lewis","given":"Nathan E."},{"family":"Rahmanian","given":"Sorena"},{"family":"Kang","given":"Joseph"},{"family":"Hyduke","given":"Daniel R."},{"family":"Palsson","given":"Bernhard Ø"}],"issued":{"date-parts":[["2011",9]]}}}],"schema":"https://github.com/citation-style-language/schema/raw/master/csl-citation.json"} </w:instrText>
      </w:r>
      <w:r w:rsidR="00643EEA">
        <w:fldChar w:fldCharType="separate"/>
      </w:r>
      <w:r w:rsidR="00552A03" w:rsidRPr="00552A03">
        <w:rPr>
          <w:rFonts w:cs="Times New Roman"/>
        </w:rPr>
        <w:t>(29)</w:t>
      </w:r>
      <w:r w:rsidR="00643EEA">
        <w:fldChar w:fldCharType="end"/>
      </w:r>
      <w:r w:rsidR="00650EC2">
        <w:t xml:space="preserve"> in </w:t>
      </w:r>
      <w:r w:rsidR="00643EEA">
        <w:t>MATLAB [7.14.0.739] (The MathWorks Inc., Natick, MA)</w:t>
      </w:r>
      <w:r w:rsidR="00650EC2">
        <w:t>.</w:t>
      </w:r>
      <w:r w:rsidR="00467AD6">
        <w:t xml:space="preserve"> </w:t>
      </w:r>
    </w:p>
    <w:p w14:paraId="13DF49D2" w14:textId="520C880C" w:rsidR="00467AD6" w:rsidRDefault="00D057B6" w:rsidP="007A2129">
      <w:pPr>
        <w:spacing w:line="480" w:lineRule="auto"/>
      </w:pPr>
      <w:r>
        <w:t xml:space="preserve">To encourage model transparency </w:t>
      </w:r>
      <w:r>
        <w:fldChar w:fldCharType="begin"/>
      </w:r>
      <w:r w:rsidR="00F5100D">
        <w:instrText xml:space="preserve"> ADDIN ZOTERO_ITEM CSL_CITATION {"citationID":"1h957cjtvu","properties":{"formattedCitation":"(30)","plainCitation":"(30)"},"citationItems":[{"id":87,"uris":["http://zotero.org/users/2565720/items/J6WIU5F9"],"uri":["http://zotero.org/users/2565720/items/J6WIU5F9"],"itemData":{"id":87,"type":"article-journal","title":"Transparency in metabolic network reconstruction enables scalable biological discovery","container-title":"Current Opinion in Biotechnology","collection-title":"Systems Biology • Nanobiotechnology","page":"105-109","volume":"34","source":"ScienceDirect","abstract":"Reconstructing metabolic pathways has long been a focus of active research. Now, draft models can be generated from genomic annotation and used to simulate metabolic fluxes of mass and energy at the whole-cell scale. This approach has led to an explosion in the number of functional metabolic network models. However, more models have not led to expanded coverage of metabolic reactions known to occur in the biosphere. Thus, there exists opportunity to reconsider the process of reconstruction and model derivation to better support the less-scalable investigative processes of biocuration and experimentation. Realizing this opportunity to improve our knowledge of metabolism requires developing new tools that make reconstructions more useful by highlighting metabolic network knowledge limitations to guide future research.","DOI":"10.1016/j.copbio.2014.12.010","ISSN":"0958-1669","journalAbbreviation":"Current Opinion in Biotechnology","author":[{"family":"Heavner","given":"Benjamin D"},{"family":"Price","given":"Nathan D"}],"issued":{"date-parts":[["2015",8]]}}}],"schema":"https://github.com/citation-style-language/schema/raw/master/csl-citation.json"} </w:instrText>
      </w:r>
      <w:r>
        <w:fldChar w:fldCharType="separate"/>
      </w:r>
      <w:r w:rsidR="00552A03" w:rsidRPr="00552A03">
        <w:rPr>
          <w:rFonts w:cs="Times New Roman"/>
        </w:rPr>
        <w:t>(30)</w:t>
      </w:r>
      <w:r>
        <w:fldChar w:fldCharType="end"/>
      </w:r>
      <w:r>
        <w:t xml:space="preserve"> and assist future users in simulating condition-specific models, we created several fun</w:t>
      </w:r>
      <w:r w:rsidR="001056FA">
        <w:t xml:space="preserve">ctions that create these models, </w:t>
      </w:r>
      <w:r>
        <w:t>simulate maximum growth with the aforementioned constraints</w:t>
      </w:r>
      <w:r w:rsidR="001056FA">
        <w:t>, and print relevant information from the flux distribution</w:t>
      </w:r>
      <w:r w:rsidR="00C61E65">
        <w:t xml:space="preserve"> (see Supplementary Materials)</w:t>
      </w:r>
      <w:r>
        <w:t xml:space="preserve">. </w:t>
      </w:r>
      <w:r w:rsidR="00C61E65">
        <w:t xml:space="preserve">We also wrote numerous functions to help modify the reaction network, retrieve specific useful pieces of information from model simulations, and diagnose </w:t>
      </w:r>
      <w:r w:rsidR="00C61E65">
        <w:lastRenderedPageBreak/>
        <w:t xml:space="preserve">issues that may arise during model use. For several of these functions, we used the Paint4Net toolbox </w:t>
      </w:r>
      <w:r w:rsidR="00C61E65">
        <w:fldChar w:fldCharType="begin"/>
      </w:r>
      <w:r w:rsidR="00F5100D">
        <w:instrText xml:space="preserve"> ADDIN ZOTERO_ITEM CSL_CITATION {"citationID":"r4kr1jhdr","properties":{"formattedCitation":"(31)","plainCitation":"(31)"},"citationItems":[{"id":352,"uris":["http://zotero.org/users/2565720/items/8FNGF794"],"uri":["http://zotero.org/users/2565720/items/8FNGF794"],"itemData":{"id":352,"type":"article-journal","title":"Paint4Net: COBRA Toolbox extension for visualization of stoichiometric models of metabolism","container-title":"Biosystems","page":"233-239","volume":"109","issue":"2","source":"ScienceDirect","abstract":"A visual analysis of reconstructions and large stoichiometric models with elastic change of the visualization scope and representation methods becomes increasingly important due to the rapidly growing size and number of available reconstructions.\n\nThe Paint4Net is a novel COBRA Toolbox extension for automatic generation of a hypergraph layout of defined scope with the steady state rates of reaction fluxes of stoichiometric models. Directionalities and fluxes of reactions are constantly represented in the visualization while detailed information about reaction (ID, name and synonyms, and formula) and metabolite (ID, name and synonyms, and charged formula) appears placing the cursor on the item of interest.\n\nAdditionally Paint4Net functionality can be used to: (1) get lists of involved metabolites and dead end metabolites of the visualized part of the network, (2) exclude (filter) particular metabolites from representation, (3) find isolated parts of a network and (4) find running cycles when all the substrates are cut down. Layout pictures can be saved in various formats and easily distributed.\n\nThe Paint4Net is open source software under the GPL v3 license. Relevant documentation and sample data is available at http://www.biosystems.lv/paint4net. The Paint4Net works on MATLAB starting from version of 2009.","DOI":"10.1016/j.biosystems.2012.03.002","ISSN":"0303-2647","shortTitle":"Paint4Net","journalAbbreviation":"Biosystems","author":[{"family":"Kostromins","given":"Andrejs"},{"family":"Stalidzans","given":"Egils"}],"issued":{"date-parts":[["2012",8]]}}}],"schema":"https://github.com/citation-style-language/schema/raw/master/csl-citation.json"} </w:instrText>
      </w:r>
      <w:r w:rsidR="00C61E65">
        <w:fldChar w:fldCharType="separate"/>
      </w:r>
      <w:r w:rsidR="00552A03" w:rsidRPr="00552A03">
        <w:rPr>
          <w:rFonts w:cs="Times New Roman"/>
        </w:rPr>
        <w:t>(31)</w:t>
      </w:r>
      <w:r w:rsidR="00C61E65">
        <w:fldChar w:fldCharType="end"/>
      </w:r>
      <w:r w:rsidR="00C61E65">
        <w:t xml:space="preserve"> to draw flux maps that show the direction and magnitude of fluxes in a given FBA solution.</w:t>
      </w:r>
      <w:r w:rsidR="00673E4C">
        <w:t xml:space="preserve"> </w:t>
      </w:r>
      <w:r w:rsidR="00C61E65">
        <w:t xml:space="preserve">A limited number of our functions are included </w:t>
      </w:r>
      <w:r w:rsidR="00464CF2">
        <w:t>with this manuscript</w:t>
      </w:r>
      <w:r w:rsidR="00C61E65">
        <w:t xml:space="preserve"> in their current versions</w:t>
      </w:r>
      <w:r w:rsidR="00C91990">
        <w:t xml:space="preserve"> (see Supplementary Materials) with </w:t>
      </w:r>
      <w:r w:rsidR="00C61E65">
        <w:t xml:space="preserve">the full </w:t>
      </w:r>
      <w:r w:rsidR="00C91990">
        <w:t xml:space="preserve">set of </w:t>
      </w:r>
      <w:r w:rsidR="00464CF2">
        <w:t xml:space="preserve">up-to-date </w:t>
      </w:r>
      <w:r w:rsidR="00C91990">
        <w:t>tools</w:t>
      </w:r>
      <w:r w:rsidR="00C61E65">
        <w:t xml:space="preserve"> available on </w:t>
      </w:r>
      <w:proofErr w:type="spellStart"/>
      <w:r w:rsidR="00C61E65">
        <w:t>Github</w:t>
      </w:r>
      <w:proofErr w:type="spellEnd"/>
      <w:r w:rsidR="00C61E65">
        <w:t xml:space="preserve"> (</w:t>
      </w:r>
      <w:r w:rsidR="00C61E65" w:rsidRPr="005B2988">
        <w:t>https://github.com/marichards/methanococcus</w:t>
      </w:r>
      <w:r w:rsidR="00C61E65">
        <w:t>)</w:t>
      </w:r>
      <w:r w:rsidR="00C91990">
        <w:t>.</w:t>
      </w:r>
    </w:p>
    <w:p w14:paraId="29A4D9D0" w14:textId="77777777" w:rsidR="00467AD6" w:rsidRDefault="00467AD6" w:rsidP="00467AD6">
      <w:pPr>
        <w:pStyle w:val="Heading2"/>
      </w:pPr>
      <w:r>
        <w:t>Gene Knockout Phenotype Simulations</w:t>
      </w:r>
    </w:p>
    <w:p w14:paraId="3444B6D0" w14:textId="7DA7490E" w:rsidR="00467AD6" w:rsidRDefault="00464C5C" w:rsidP="007A2129">
      <w:pPr>
        <w:spacing w:line="480" w:lineRule="auto"/>
      </w:pPr>
      <w:r>
        <w:t>Because a model is based around the stoichiometry of reactions contained in the S-matrix, knocking out a gene is akin to knocking out all reactions that depend on the gene. Thus, p</w:t>
      </w:r>
      <w:r w:rsidR="000408FB">
        <w:t xml:space="preserve">erforming a gene knockout phenotype simulation in a metabolic model requires that model reactions be linked to genes via GPR relationships. </w:t>
      </w:r>
      <w:r w:rsidR="004B6EF9">
        <w:t>We performed gene knockout simulations using</w:t>
      </w:r>
      <w:r w:rsidR="00C61E65">
        <w:t xml:space="preserve"> our function “</w:t>
      </w:r>
      <w:proofErr w:type="spellStart"/>
      <w:r w:rsidR="00C61E65">
        <w:t>simul</w:t>
      </w:r>
      <w:r>
        <w:t>ate</w:t>
      </w:r>
      <w:r w:rsidR="001A5358">
        <w:t>KOPanel.m</w:t>
      </w:r>
      <w:proofErr w:type="spellEnd"/>
      <w:r w:rsidR="001A5358">
        <w:t>”</w:t>
      </w:r>
      <w:r w:rsidR="004B6EF9">
        <w:t xml:space="preserve"> </w:t>
      </w:r>
      <w:r w:rsidR="000408FB">
        <w:t xml:space="preserve">(see Supplementary Materials), which relies heavily on </w:t>
      </w:r>
      <w:r w:rsidR="004B6EF9">
        <w:t>the “</w:t>
      </w:r>
      <w:proofErr w:type="spellStart"/>
      <w:r w:rsidR="004B6EF9">
        <w:t>deleteModelGenes.m</w:t>
      </w:r>
      <w:proofErr w:type="spellEnd"/>
      <w:r w:rsidR="004B6EF9">
        <w:t xml:space="preserve">” function in the COBRA Toolbox 2.0 </w:t>
      </w:r>
      <w:r w:rsidR="004B6EF9">
        <w:fldChar w:fldCharType="begin"/>
      </w:r>
      <w:r w:rsidR="00F5100D">
        <w:instrText xml:space="preserve"> ADDIN ZOTERO_ITEM CSL_CITATION {"citationID":"23arsu02dt","properties":{"formattedCitation":"(29)","plainCitation":"(29)"},"citationItems":[{"id":81,"uris":["http://zotero.org/users/2565720/items/XX4R24A3"],"uri":["http://zotero.org/users/2565720/items/XX4R24A3"],"itemData":{"id":81,"type":"article-journal","title":"Quantitative prediction of cellular metabolism with constraint-based models: the COBRA Toolbox v2.0","container-title":"Nature Protocols","page":"1290-1307","volume":"6","issue":"9","source":"www.nature.com","abstract":"Over the past decade, a growing community of researchers has emerged around the use of constraint-based reconstruction and analysis (COBRA) methods to simulate, analyze and predict a variety of metabolic phenotypes using genome-scale models. The COBRA Toolbox, a MATLAB package for implementing COBRA methods, was presented earlier. Here we present a substantial update of this in silico toolbox. Version 2.0 of the COBRA Toolbox expands the scope of computations by including in silico analysis methods developed since its original release. New functions include (i) network gap filling, (ii) 13C analysis, (iii) metabolic engineering, (iv) omics-guided analysis and (v) visualization. As with the first version, the COBRA Toolbox reads and writes systems biology markup language–formatted models. In version 2.0, we improved performance, usability and the level of documentation. A suite of test scripts can now be used to learn the core functionality of the toolbox and validate results. This toolbox lowers the barrier of entry to use powerful COBRA methods.\nView full text","DOI":"10.1038/nprot.2011.308","ISSN":"1754-2189","shortTitle":"Quantitative prediction of cellular metabolism with constraint-based models","journalAbbreviation":"Nat. Protocols","language":"en","author":[{"family":"Schellenberger","given":"Jan"},{"family":"Que","given":"Richard"},{"family":"Fleming","given":"Ronan M. T."},{"family":"Thiele","given":"Ines"},{"family":"Orth","given":"Jeffrey D."},{"family":"Feist","given":"Adam M."},{"family":"Zielinski","given":"Daniel C."},{"family":"Bordbar","given":"Aarash"},{"family":"Lewis","given":"Nathan E."},{"family":"Rahmanian","given":"Sorena"},{"family":"Kang","given":"Joseph"},{"family":"Hyduke","given":"Daniel R."},{"family":"Palsson","given":"Bernhard Ø"}],"issued":{"date-parts":[["2011",9]]}}}],"schema":"https://github.com/citation-style-language/schema/raw/master/csl-citation.json"} </w:instrText>
      </w:r>
      <w:r w:rsidR="004B6EF9">
        <w:fldChar w:fldCharType="separate"/>
      </w:r>
      <w:r w:rsidR="00552A03" w:rsidRPr="00552A03">
        <w:rPr>
          <w:rFonts w:cs="Times New Roman"/>
        </w:rPr>
        <w:t>(29)</w:t>
      </w:r>
      <w:r w:rsidR="004B6EF9">
        <w:fldChar w:fldCharType="end"/>
      </w:r>
      <w:r w:rsidR="004B6EF9">
        <w:t xml:space="preserve">. </w:t>
      </w:r>
      <w:r>
        <w:t>Our experimental test set included 18 knockout genotypes across 4 different growth conditions, with 30 total wet lab experiments across these conditions</w:t>
      </w:r>
      <w:r w:rsidR="006602A6">
        <w:t xml:space="preserve"> </w:t>
      </w:r>
      <w:r w:rsidR="006602A6">
        <w:fldChar w:fldCharType="begin"/>
      </w:r>
      <w:r w:rsidR="00F5100D">
        <w:instrText xml:space="preserve"> ADDIN ZOTERO_ITEM CSL_CITATION {"citationID":"5q8b5tpu8","properties":{"formattedCitation":"{\\rtf (32\\uc0\\u8211{}37)}","plainCitation":"(32–37)"},"citationItems":[{"id":358,"uris":["http://zotero.org/users/2565720/items/7SS9Q56S"],"uri":["http://zotero.org/users/2565720/items/7SS9Q56S"],"itemData":{"id":358,"type":"article-journal","title":"Disruption of the Operon Encoding Ehb Hydrogenase Limits Anabolic CO2 Assimilation in the Archaeon &lt;i&gt;Methanococcus maripaludis&lt;/i&gt;","container-title":"Journal of Bacteriology","page":"1373-1380","volume":"188","issue":"4","source":"jb.asm.org","abstract":"Methanococcus maripaludis is a mesophilic archaeon that reduces CO2 to methane with H2 or formate as an energy source. It contains two membrane-bound energy-conserving hydrogenases, Eha and Ehb. To determine the role of Ehb, a deletion in the ehb operon was constructed to yield the mutant, strain S40. Growth of S40 was severely impaired in minimal medium. Both acetate and yeast extract were necessary to restore growth to nearly wild-type levels, suggesting that Ehb was involved in multiple steps in carbon assimilation. However, no differences in the total hydrogenase specific activities were found between the wild type and mutant in either cell extracts or membrane-purified fractions. Methanogenesis by resting cells with pyruvate as the electron donor was also reduced by 30% in S40, suggesting a defect in pyruvate oxidation. CO dehydrogenase/acetyl coenzyme A (CoA) synthase and pyruvate oxidoreductase had higher specific activities in the mutant, and genes encoding these enzymes, as well as AMP-forming acetyl-CoA synthetase, were expressed at increased levels. These observations support a role for Ehb in anabolic CO2 assimilation in methanococci.","DOI":"10.1128/JB.188.4.1373-1380.2006","ISSN":"0021-9193, 1098-5530","note":"PMID: 16452419","journalAbbreviation":"J. Bacteriol.","language":"en","author":[{"family":"Porat","given":"Iris"},{"family":"Kim","given":"Wonduck"},{"family":"Hendrickson","given":"Erik L."},{"family":"Xia","given":"Qiangwei"},{"family":"Zhang","given":"Yi"},{"family":"Wang","given":"Tiansong"},{"family":"Taub","given":"Fred"},{"family":"Moore","given":"Brian C."},{"family":"Anderson","given":"Iain J."},{"family":"Hackett","given":"Murray"},{"family":"Leigh","given":"John A."},{"family":"Whitman","given":"William B."}],"issued":{"date-parts":[["2006",2,15]]},"PMID":"16452419"}},{"id":354,"uris":["http://zotero.org/users/2565720/items/IDJDZ2SU"],"uri":["http://zotero.org/users/2565720/items/IDJDZ2SU"],"itemData":{"id":354,"type":"article-journal","title":"Essential anaplerotic role for the energy-converting hydrogenase Eha in hydrogenotrophic methanogenesis","container-title":"Proceedings of the National Academy of Sciences","page":"15473-15478","volume":"109","issue":"38","source":"www.pnas.org","abstract":"Despite decades of study, electron flow and energy conservation in methanogenic Archaea are still not thoroughly understood. For methanogens without cytochromes, flavin-based electron bifurcation has been proposed as an essential energy-conserving mechanism that couples exergonic and endergonic reactions of methanogenesis. However, an alternative hypothesis posits that the energy-converting hydrogenase Eha provides a chemiosmosis-driven electron input to the endergonic reaction. In vivo evidence for both hypotheses is incomplete. By genetically eliminating all nonessential pathways of H2 metabolism in the model methanogen Methanococcus maripaludis and using formate as an additional electron donor, we isolate electron flow for methanogenesis from flux through Eha. We find that Eha does not function stoichiometrically for methanogenesis, implying that electron bifurcation must operate in vivo. We show that Eha is nevertheless essential, and a substoichiometric requirement for H2 suggests that its role is anaplerotic. Indeed, H2 via Eha stimulates methanogenesis from formate when intermediates are not otherwise replenished. These results fit the model for electron bifurcation, which renders the methanogenic pathway cyclic, and as such requires the replenishment of intermediates. Defining a role for Eha and verifying electron bifurcation provide a complete model of methanogenesis where all necessary electron inputs are accounted for.","DOI":"10.1073/pnas.1208779109","ISSN":"0027-8424, 1091-6490","note":"PMID: 22872868","journalAbbreviation":"PNAS","language":"en","author":[{"family":"Lie","given":"Thomas J."},{"family":"Costa","given":"Kyle C."},{"family":"Lupa","given":"Boguslaw"},{"family":"Korpole","given":"Suresh"},{"family":"Whitman","given":"William B."},{"family":"Leigh","given":"John A."}],"issued":{"date-parts":[["2012",9,18]]},"PMID":"22872868"}},{"id":25,"uris":["http://zotero.org/users/2565720/items/WZA4SPA5"],"uri":["http://zotero.org/users/2565720/items/WZA4SPA5"],"itemData":{"id":25,"type":"article-journal","title":"Formate-Dependent H2 Production by the Mesophilic Methanogen &lt;i&gt;Methanococcus maripaludis&lt;/i&gt;","container-title":"Applied and Environmental Microbiology","page":"6584-6590","volume":"74","issue":"21","source":"aem.asm.org","abstract":"Methanococcus maripaludis, an H2- and formate-utilizing methanogen, produced H2 at high rates from formate. The rates and kinetics of H2 production depended upon the growth conditions, and H2 availability during growth was a major factor. Specific activities of resting cells grown with formate or H2 were 0.4 to 1.4 U·mg−1 (dry weight). H2 production in formate-grown cells followed Michaelis-Menten kinetics, and the concentration of formate required for half-maximal activity (Kf) was 3.6 mM. In contrast, in H2-grown cells this process followed sigmoidal kinetics, and the Kf was 9 mM. A key enzyme for formate-dependent H2 production was formate dehydrogenase, Fdh. H2 production and growth were severely reduced in a mutant containing a deletion of the gene encoding the Fdh1 isozyme, indicating that it was the primary Fdh. In contrast, a mutant containing a deletion of the gene encoding the Fdh2 isozyme possessed near-wild-type activities, indicating that this isozyme did not play a major role. H2 production by a mutant containing a deletion of the coenzyme F420-reducing hydrogenase Fru was also severely reduced, suggesting that the major pathway of H2 production comprised Fdh1 and Fru. Because a Δfru-Δfrc mutant retained 10% of the wild-type activity, an additional pathway is present. Mutants possessing deletions of the gene encoding the F420-dependent methylene-H4MTP dehydrogenase (Mtd) or the H2-forming methylene-H4MTP dehydrogenase (Hmd) also possessed reduced activity, which suggested that this second pathway was comprised of Fdh1-Mtd-Hmd. In contrast to H2 production, the cellular rates of methanogenesis were unaffected in these mutants, which suggested that the observed H2 production was not a direct intermediate of methanogenesis. In conclusion, high rates of formate-dependent H2 production demonstrated the potential of M. maripaludis for the microbial production of H2 from formate.","DOI":"10.1128/AEM.01455-08","ISSN":"0099-2240, 1098-5336","note":"PMID: 18791018","journalAbbreviation":"Appl. Environ. Microbiol.","language":"en","author":[{"family":"Lupa","given":"Boguslaw"},{"family":"Hendrickson","given":"Erik L."},{"family":"Leigh","given":"John A."},{"family":"Whitman","given":"William B."}],"issued":{"date-parts":[["2008",11,1]]},"PMID":"18791018"}},{"id":52,"uris":["http://zotero.org/users/2565720/items/U4KKPEB7"],"uri":["http://zotero.org/users/2565720/items/U4KKPEB7"],"itemData":{"id":52,"type":"article-journal","title":"H2-Independent Growth of the Hydrogenotrophic Methanogen &lt;i&gt;Methanococcus maripaludis&lt;/i&gt;","container-title":"mBio","page":"e00062-13","volume":"4","issue":"2","source":"mbio.asm.org","abstract":"Hydrogenotrophic methanogenic Archaea require reduced ferredoxin as an anaplerotic source of electrons for methanogenesis. H2 oxidation by the hydrogenase Eha provides these electrons, consistent with an H2 requirement for growth. Here we report the identification of alternative pathways of ferredoxin reduction in Methanococcus maripaludis that operate independently of Eha to stimulate methanogenesis. A suppressor mutation that increased expression of the glycolytic enzyme glyceraldehyde-3-phosphate:ferredoxin oxidoreductase resulted in a strain capable of H2-independent ferredoxin reduction and growth with formate as the sole electron donor. In this background, it was possible to eliminate all seven hydrogenases of M. maripaludis. Alternatively, carbon monoxide oxidation by carbon monoxide dehydrogenase could also generate reduced ferredoxin that feeds into methanogenesis. In either case, the reduced ferredoxin generated was inefficient at stimulating methanogenesis, resulting in a slow growth phenotype. As methanogenesis is limited by the availability of reduced ferredoxin under these conditions, other electron donors, such as reduced coenzyme F420, should be abundant. Indeed, when F420-reducing hydrogenase was reintroduced into the hydrogenase-free mutant, the equilibrium of H2 production via an F420-dependent formate:H2 lyase activity shifted markedly toward H2 compared to the wild type.\nIMPORTANCE Hydrogenotrophic methanogens are thought to require H2 as a substrate for growth and methanogenesis. Here we show alternative pathways in methanogenic metabolism that alleviate this H2 requirement and demonstrate, for the first time, a hydrogenotrophic methanogen that is capable of growth in the complete absence of H2. The demonstration of alternative pathways in methanogenic metabolism suggests that this important group of organisms is metabolically more versatile than previously thought.","DOI":"10.1128/mBio.00062-13","ISSN":", 2150-7511","note":"PMID: 23443005","journalAbbreviation":"mBio","language":"en","author":[{"family":"Costa","given":"Kyle C."},{"family":"Lie","given":"Thomas J."},{"family":"Jacobs","given":"Michael A."},{"family":"Leigh","given":"John A."}],"issued":{"date-parts":[["2013",5,1]]},"PMID":"23443005"}},{"id":362,"uris":["http://zotero.org/users/2565720/items/RK2ZM9JE"],"uri":["http://zotero.org/users/2565720/items/RK2ZM9JE"],"itemData":{"id":362,"type":"article-journal","title":"Protein complexing in a methanogen suggests electron bifurcation and electron delivery from formate to heterodisulfide reductase","container-title":"Proceedings of the National Academy of Sciences","page":"11050-11055","volume":"107","issue":"24","source":"www.pnas.org","abstract":"In methanogenic Archaea, the final step of methanogenesis generates methane and a heterodisulfide of coenzyme M and coenzyme B (CoM-S-S-CoB). Reduction of this heterodisulfide by heterodisulfide reductase to regenerate HS-CoM and HS-CoB is an exergonic process. Thauer et al. [Thauer, et al. 2008 Nat Rev Microbiol 6:579–591] recently suggested that in hydrogenotrophic methanogens the energy of heterodisulfide reduction powers the most endergonic reaction in the pathway, catalyzed by the formylmethanofuran dehydrogenase, via flavin-based electron bifurcation. Here we present evidence that these two steps in methanogenesis are physically linked. We identify a protein complex from the hydrogenotrophic methanogen, Methanococcus maripaludis, that contains heterodisulfide reductase, formylmethanofuran dehydrogenase, F420-nonreducing hydrogenase, and formate dehydrogenase. In addition to establishing a physical basis for the electron-bifurcation model of energy conservation, the composition of the complex also suggests that either H2 or formate (two alternative electron donors for methanogenesis) can donate electrons to the heterodisulfide-H2 via F420-nonreducing hydrogenase or formate via formate dehydrogenase. Electron flow from formate to the heterodisulfide rather than the use of H2 as an intermediate represents a previously unknown path of electron flow in methanogenesis. We further tested whether this path occurs by constructing a mutant lacking F420-nonreducing hydrogenase. The mutant displayed growth equal to wild-type with formate but markedly slower growth with hydrogen. The results support the model of electron bifurcation and suggest that formate, like H2, is closely integrated into the methanogenic pathway.","DOI":"10.1073/pnas.1003653107","ISSN":"0027-8424, 1091-6490","note":"PMID: 20534465","journalAbbreviation":"PNAS","language":"en","author":[{"family":"Costa","given":"Kyle C."},{"family":"Wong","given":"Phoebe M."},{"family":"Wang","given":"Tiansong"},{"family":"Lie","given":"Thomas J."},{"family":"Dodsworth","given":"Jeremy A."},{"family":"Swanson","given":"Ingrid"},{"family":"Burn","given":"June A."},{"family":"Hackett","given":"Murray"},{"family":"Leigh","given":"John A."}],"issued":{"date-parts":[["2010",6,15]]},"PMID":"20534465"}},{"id":104,"uris":["http://zotero.org/users/2565720/items/GDJNQU3B"],"uri":["http://zotero.org/users/2565720/items/GDJNQU3B"],"itemData":{"id":104,"type":"article-journal","title":"Roles of Coenzyme F420-Reducing Hydrogenases and Hydrogen- and F420-Dependent Methylenetetrahydromethanopterin Dehydrogenases in Reduction of F420 and Production of Hydrogen during Methanogenesis","container-title":"Journal of Bacteriology","page":"4818-4821","volume":"190","issue":"14","source":"jb.asm.org","abstract":"Reduced coenzyme F420 (F420H2) is an essential intermediate in methanogenesis from CO2. During methanogenesis from H2 and CO2, F420H2 is provided by the action of F420-reducing hydrogenases. However, an alternative pathway has been proposed, where H2-dependent methylenetetrahydromethanopterin dehydrogenase (Hmd) and F420H2-dependent methylenetetrahydromethanopterin dehydrogenase (Mtd) together reduce F420 with H2. Here we report the construction of mutants of Methanococcus maripaludis that are defective in each putative pathway. Their analysis demonstrates that either pathway supports growth on H2 and CO2. Furthermore, we show that during growth on formate instead of H2, where F420H2 is a direct product of formate oxidation, H2 production occurs. H2 presumably arises from the oxidation of F420H2, and the analysis of the mutants during growth on formate suggests that this too can occur by either pathway. We designate the alternative pathway for the interconversion of H2 and F420H2 the Hmd-Mtd cycle.","DOI":"10.1128/JB.00255-08","ISSN":"0021-9193, 1098-5530","note":"PMID: 18487331","journalAbbreviation":"J. Bacteriol.","language":"en","author":[{"family":"Hendrickson","given":"Erik L."},{"family":"Leigh","given":"John A."}],"issued":{"date-parts":[["2008",7,15]]},"PMID":"18487331"}}],"schema":"https://github.com/citation-style-language/schema/raw/master/csl-citation.json"} </w:instrText>
      </w:r>
      <w:r w:rsidR="006602A6">
        <w:fldChar w:fldCharType="separate"/>
      </w:r>
      <w:r w:rsidR="00552A03" w:rsidRPr="00552A03">
        <w:rPr>
          <w:rFonts w:cs="Times New Roman"/>
          <w:szCs w:val="24"/>
        </w:rPr>
        <w:t>(32–37)</w:t>
      </w:r>
      <w:r w:rsidR="006602A6">
        <w:fldChar w:fldCharType="end"/>
      </w:r>
      <w:r w:rsidR="006602A6">
        <w:t>.</w:t>
      </w:r>
      <w:r w:rsidR="0021112D">
        <w:t xml:space="preserve"> </w:t>
      </w:r>
      <w:r>
        <w:t>We simulated growth phenotypes for all 72 combinations of knockout genotypes and growth conditions</w:t>
      </w:r>
      <w:r w:rsidR="00A86F5B">
        <w:t xml:space="preserve"> and</w:t>
      </w:r>
      <w:r>
        <w:t xml:space="preserve"> then evaluated these growth phenot</w:t>
      </w:r>
      <w:r w:rsidR="00A86F5B">
        <w:t xml:space="preserve">ypes as lethal/non-lethal with a threshold of 10% wild type growth. Predictive accuracy was assessed by comparing predictions on the 30 known phenotypes with wet lab data. We further </w:t>
      </w:r>
      <w:r w:rsidR="00467AD6">
        <w:t>evaluated our model’s performance using the Matthews correlation coefficient</w:t>
      </w:r>
      <w:r w:rsidR="004B6EF9">
        <w:t xml:space="preserve"> (MCC)</w:t>
      </w:r>
      <w:r w:rsidR="00464CF2">
        <w:t xml:space="preserve">, a metric that evaluates correlation based on a -1 to 1 scale </w:t>
      </w:r>
      <w:r w:rsidR="00467AD6">
        <w:fldChar w:fldCharType="begin"/>
      </w:r>
      <w:r w:rsidR="00F5100D">
        <w:instrText xml:space="preserve"> ADDIN ZOTERO_ITEM CSL_CITATION {"citationID":"2l8nkmudm4","properties":{"formattedCitation":"(38)","plainCitation":"(38)"},"citationItems":[{"id":292,"uris":["http://zotero.org/users/2565720/items/E6RZXU6R"],"uri":["http://zotero.org/users/2565720/items/E6RZXU6R"],"itemData":{"id":292,"type":"article-journal","title":"Comparison of the predicted and observed secondary structure of T4 phage lysozyme","container-title":"Biochimica et Biophysica Acta (BBA) - Protein Structure","page":"442-451","volume":"405","issue":"2","source":"ScienceDirect","abstract":"Predictions of the secondary structure of T4 phage lysozyme, made by a number of investigators on the basis of the amino acid sequence, are compared with the structure of the protein determined experimentally by X-ray crystallography.\n\nWithin the amino terminal half of the molecule the locations of helices predicted by a number of methods agree moderately well with the observed structure, however within the carboxyl half of the molecule the overall agreement is poor. For eleven different helix predictions, the coefficients giving the correlation between prediction and observation range from 0.14 to 0.42. The accuracy of the predictions for both β-sheet regions and for turns are generally lower than for the helices, and in a number of instances the agreement between prediction and observation is no better than would be expected for a random selection of residues. The structural predictions for T4 phage lysozyme are much less successful than was the case for adenylate kinase (Schulz et al. (1974) Nature 250, 140–142). No one method of prediction is clearly superior to all others, and although empirical predictions based on larger numbers of known protein structure tend to be more accurate than those based on a limited sample, the improvement in accuracy is not dramatic, suggesting that the accuracy of current empirical predictive methods will not be substantially increased simply by the inclusion of more data from additional protein structure determinations.","DOI":"10.1016/0005-2795(75)90109-9","ISSN":"0005-2795","journalAbbreviation":"Biochimica et Biophysica Acta (BBA) - Protein Structure","author":[{"family":"Matthews","given":"B. W."}],"issued":{"date-parts":[["1975",10,20]]}}}],"schema":"https://github.com/citation-style-language/schema/raw/master/csl-citation.json"} </w:instrText>
      </w:r>
      <w:r w:rsidR="00467AD6">
        <w:fldChar w:fldCharType="separate"/>
      </w:r>
      <w:r w:rsidR="00552A03" w:rsidRPr="00552A03">
        <w:rPr>
          <w:rFonts w:cs="Times New Roman"/>
        </w:rPr>
        <w:t>(38)</w:t>
      </w:r>
      <w:r w:rsidR="00467AD6">
        <w:fldChar w:fldCharType="end"/>
      </w:r>
      <w:r w:rsidR="00A86F5B">
        <w:t xml:space="preserve">: </w:t>
      </w:r>
    </w:p>
    <w:tbl>
      <w:tblPr>
        <w:tblStyle w:val="TableGrid"/>
        <w:tblW w:w="0" w:type="auto"/>
        <w:jc w:val="center"/>
        <w:tblInd w:w="21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60"/>
        <w:gridCol w:w="1638"/>
      </w:tblGrid>
      <w:tr w:rsidR="00A86F5B" w14:paraId="3F398A8D" w14:textId="77777777" w:rsidTr="00A86F5B">
        <w:trPr>
          <w:jc w:val="center"/>
        </w:trPr>
        <w:tc>
          <w:tcPr>
            <w:tcW w:w="5760" w:type="dxa"/>
            <w:vAlign w:val="center"/>
          </w:tcPr>
          <w:p w14:paraId="2A2902F7" w14:textId="7C58732D" w:rsidR="00A86F5B" w:rsidRDefault="00A86F5B" w:rsidP="00A86F5B">
            <w:pPr>
              <w:jc w:val="center"/>
            </w:pPr>
            <m:oMathPara>
              <m:oMath>
                <m:r>
                  <w:rPr>
                    <w:rFonts w:ascii="Cambria Math" w:hAnsi="Cambria Math"/>
                  </w:rPr>
                  <m:t>MCC=</m:t>
                </m:r>
                <m:f>
                  <m:fPr>
                    <m:ctrlPr>
                      <w:rPr>
                        <w:rFonts w:ascii="Cambria Math" w:hAnsi="Cambria Math"/>
                        <w:i/>
                      </w:rPr>
                    </m:ctrlPr>
                  </m:fPr>
                  <m:num>
                    <m:d>
                      <m:dPr>
                        <m:ctrlPr>
                          <w:rPr>
                            <w:rFonts w:ascii="Cambria Math" w:hAnsi="Cambria Math"/>
                            <w:i/>
                          </w:rPr>
                        </m:ctrlPr>
                      </m:dPr>
                      <m:e>
                        <m:r>
                          <w:rPr>
                            <w:rFonts w:ascii="Cambria Math" w:hAnsi="Cambria Math"/>
                          </w:rPr>
                          <m:t>TP×TN</m:t>
                        </m:r>
                      </m:e>
                    </m:d>
                    <m:r>
                      <w:rPr>
                        <w:rFonts w:ascii="Cambria Math" w:hAnsi="Cambria Math"/>
                      </w:rPr>
                      <m:t>-(FP×FN)</m:t>
                    </m:r>
                  </m:num>
                  <m:den>
                    <m:rad>
                      <m:radPr>
                        <m:degHide m:val="1"/>
                        <m:ctrlPr>
                          <w:rPr>
                            <w:rFonts w:ascii="Cambria Math" w:hAnsi="Cambria Math"/>
                            <w:i/>
                          </w:rPr>
                        </m:ctrlPr>
                      </m:radPr>
                      <m:deg/>
                      <m:e>
                        <m:r>
                          <w:rPr>
                            <w:rFonts w:ascii="Cambria Math" w:hAnsi="Cambria Math"/>
                          </w:rPr>
                          <m:t>(TP+FP)(TP+FN)(TN+FP)(TN+FN)</m:t>
                        </m:r>
                      </m:e>
                    </m:rad>
                  </m:den>
                </m:f>
              </m:oMath>
            </m:oMathPara>
          </w:p>
        </w:tc>
        <w:tc>
          <w:tcPr>
            <w:tcW w:w="1638" w:type="dxa"/>
            <w:vAlign w:val="bottom"/>
          </w:tcPr>
          <w:p w14:paraId="026386DD" w14:textId="77500246" w:rsidR="00A86F5B" w:rsidRDefault="00737FF9" w:rsidP="00737FF9">
            <w:pPr>
              <w:spacing w:line="480" w:lineRule="auto"/>
              <w:jc w:val="center"/>
            </w:pPr>
            <w:r>
              <w:t>[</w:t>
            </w:r>
            <w:r w:rsidR="00A86F5B">
              <w:t>3</w:t>
            </w:r>
            <w:r>
              <w:t>]</w:t>
            </w:r>
          </w:p>
        </w:tc>
      </w:tr>
    </w:tbl>
    <w:p w14:paraId="637FA1E5" w14:textId="77777777" w:rsidR="00A86F5B" w:rsidRDefault="00A86F5B" w:rsidP="007A2129">
      <w:pPr>
        <w:spacing w:line="480" w:lineRule="auto"/>
      </w:pPr>
    </w:p>
    <w:p w14:paraId="0E5498AF" w14:textId="77777777" w:rsidR="00467AD6" w:rsidRDefault="00467AD6" w:rsidP="00467AD6">
      <w:pPr>
        <w:pStyle w:val="Heading2"/>
      </w:pPr>
      <w:r>
        <w:lastRenderedPageBreak/>
        <w:t xml:space="preserve">Thermodynamic </w:t>
      </w:r>
      <w:r w:rsidR="00643EEA">
        <w:t>Calculations</w:t>
      </w:r>
    </w:p>
    <w:p w14:paraId="56300E09" w14:textId="26B0B6E0" w:rsidR="00266387" w:rsidRDefault="00A86F5B" w:rsidP="007A2129">
      <w:pPr>
        <w:spacing w:line="480" w:lineRule="auto"/>
      </w:pPr>
      <w:r>
        <w:t xml:space="preserve">We </w:t>
      </w:r>
      <w:r w:rsidR="00650EC2">
        <w:t xml:space="preserve">added </w:t>
      </w:r>
      <w:r>
        <w:t xml:space="preserve">standard </w:t>
      </w:r>
      <w:r w:rsidR="00650EC2">
        <w:t>free energies of formation</w:t>
      </w:r>
      <w:r>
        <w:t xml:space="preserve"> (1 mM, 25</w:t>
      </w:r>
      <w:r>
        <w:rPr>
          <w:rFonts w:cs="Times New Roman"/>
        </w:rPr>
        <w:t>º</w:t>
      </w:r>
      <w:r>
        <w:t>C, 1 bar, pH=7, ionic strength = 0.1 M)</w:t>
      </w:r>
      <w:r w:rsidR="00643EEA">
        <w:t xml:space="preserve"> from the Equilibrator database </w:t>
      </w:r>
      <w:r w:rsidR="00643EEA">
        <w:fldChar w:fldCharType="begin"/>
      </w:r>
      <w:r w:rsidR="00F5100D">
        <w:instrText xml:space="preserve"> ADDIN ZOTERO_ITEM CSL_CITATION {"citationID":"1qrgs5kigv","properties":{"formattedCitation":"(39)","plainCitation":"(39)"},"citationItems":[{"id":90,"uris":["http://zotero.org/users/2565720/items/QZUSB3JR"],"uri":["http://zotero.org/users/2565720/items/QZUSB3JR"],"itemData":{"id":90,"type":"article-journal","title":"eQuilibrator—the biochemical thermodynamics calculator","container-title":"Nucleic Acids Research","page":"gkr874","source":"nar.oxfordjournals.org","abstract":"The laws of thermodynamics constrain the action of biochemical systems. However, thermodynamic data on biochemical compounds can be difficult to find and is cumbersome to perform calculations with manually. Even simple thermodynamic questions like ‘how much Gibbs energy is released by ATP hydrolysis at pH 5?’ are complicated excessively by the search for accurate data. To address this problem, eQuilibrator couples a comprehensive and accurate database of thermodynamic properties of biochemical compounds and reactions with a simple and powerful online search and calculation interface. The web interface to eQuilibrator (http://equilibrator.weizmann.ac.il) enables easy calculation of Gibbs energies of compounds and reactions given arbitrary pH, ionic strength and metabolite concentrations. The eQuilibrator code is open-source and all thermodynamic source data are freely downloadable in standard formats. Here we describe the database characteristics and implementation and demonstrate its use.","DOI":"10.1093/nar/gkr874","ISSN":"0305-1048, 1362-4962","note":"PMID: 22064852","journalAbbreviation":"Nucl. Acids Res.","language":"en","author":[{"family":"Flamholz","given":"Avi"},{"family":"Noor","given":"Elad"},{"family":"Bar-Even","given":"Arren"},{"family":"Milo","given":"Ron"}],"issued":{"date-parts":[["2011",11,7]]},"PMID":"22064852"}}],"schema":"https://github.com/citation-style-language/schema/raw/master/csl-citation.json"} </w:instrText>
      </w:r>
      <w:r w:rsidR="00643EEA">
        <w:fldChar w:fldCharType="separate"/>
      </w:r>
      <w:r w:rsidR="00552A03" w:rsidRPr="00552A03">
        <w:rPr>
          <w:rFonts w:cs="Times New Roman"/>
        </w:rPr>
        <w:t>(39)</w:t>
      </w:r>
      <w:r w:rsidR="00643EEA">
        <w:fldChar w:fldCharType="end"/>
      </w:r>
      <w:r w:rsidR="00650EC2">
        <w:t xml:space="preserve"> to all exchanges </w:t>
      </w:r>
      <w:r w:rsidR="00643EEA">
        <w:t>reactions</w:t>
      </w:r>
      <w:r w:rsidR="00650EC2">
        <w:t xml:space="preserve"> </w:t>
      </w:r>
      <w:r w:rsidR="00643EEA">
        <w:t xml:space="preserve">for </w:t>
      </w:r>
      <w:r w:rsidR="00650EC2">
        <w:t xml:space="preserve">which these values could be calculated via </w:t>
      </w:r>
      <w:r w:rsidR="00643EEA">
        <w:t xml:space="preserve">the </w:t>
      </w:r>
      <w:r w:rsidR="00650EC2">
        <w:t>group contributi</w:t>
      </w:r>
      <w:r w:rsidR="007A2129">
        <w:t xml:space="preserve">on </w:t>
      </w:r>
      <w:r w:rsidR="00643EEA">
        <w:t xml:space="preserve">method </w:t>
      </w:r>
      <w:r w:rsidR="00643EEA">
        <w:fldChar w:fldCharType="begin"/>
      </w:r>
      <w:r w:rsidR="00F5100D">
        <w:instrText xml:space="preserve"> ADDIN ZOTERO_ITEM CSL_CITATION {"citationID":"2deksjdola","properties":{"formattedCitation":"(40)","plainCitation":"(40)"},"citationItems":[{"id":128,"uris":["http://zotero.org/users/2565720/items/8HT4RX6T"],"uri":["http://zotero.org/users/2565720/items/8HT4RX6T"],"itemData":{"id":128,"type":"article-journal","title":"Group Contribution Method for Thermodynamic Analysis of Complex Metabolic Networks","container-title":"Biophysical Journal","page":"1487-1499","volume":"95","issue":"3","source":"PubMed Central","abstract":"A new, to our knowledge, group contribution method based on the group contribution method of Mavrovouniotis is introduced for estimating the standard Gibbs free energy of formation (ΔfG′°) and reaction (ΔrG′°) in biochemical systems. Gibbs free energy contribution values were estimated for 74 distinct molecular substructures and 11 interaction factors using multiple linear regression against a training set of 645 reactions and 224 compounds. The standard error for the fitted values was 1.90 kcal/mol. Cross-validation analysis was utilized to determine the accuracy of the methodology in estimating ΔrG′° and ΔfG′° for reactions and compounds not included in the training set, and based on the results of the cross-validation, the standard error involved in these estimations is 2.22 kcal/mol. This group contribution method is demonstrated to be capable of estimating ΔrG′° and ΔfG′° for the majority of the biochemical compounds and reactions found in the iJR904 and iAF1260 genome-scale metabolic models of Escherichia coli and in the Kyoto Encyclopedia of Genes and Genomes and University of Minnesota Biocatalysis and Biodegradation Database. A web-based implementation of this new group contribution method is available free at http://sparta.chem-eng.northwestern.edu/cgi-bin/GCM/WebGCM.cgi.","DOI":"10.1529/biophysj.107.124784","ISSN":"0006-3495","note":"PMID: 18645197\nPMCID: PMC2479599","journalAbbreviation":"Biophys J","author":[{"family":"Jankowski","given":"Matthew D."},{"family":"Henry","given":"Christopher S."},{"family":"Broadbelt","given":"Linda J."},{"family":"Hatzimanikatis","given":"Vassily"}],"issued":{"date-parts":[["2008",8,1]]},"PMID":"18645197","PMCID":"PMC2479599"}}],"schema":"https://github.com/citation-style-language/schema/raw/master/csl-citation.json"} </w:instrText>
      </w:r>
      <w:r w:rsidR="00643EEA">
        <w:fldChar w:fldCharType="separate"/>
      </w:r>
      <w:r w:rsidR="00552A03" w:rsidRPr="00552A03">
        <w:rPr>
          <w:rFonts w:cs="Times New Roman"/>
        </w:rPr>
        <w:t>(40)</w:t>
      </w:r>
      <w:r w:rsidR="00643EEA">
        <w:fldChar w:fldCharType="end"/>
      </w:r>
      <w:r w:rsidR="00650EC2">
        <w:t xml:space="preserve">. </w:t>
      </w:r>
      <w:r>
        <w:t>To incorporate these values into our reconstruction, w</w:t>
      </w:r>
      <w:r w:rsidR="0021112D">
        <w:t>e expanded the standard</w:t>
      </w:r>
      <w:r w:rsidR="00464CF2">
        <w:t xml:space="preserve"> model</w:t>
      </w:r>
      <w:r w:rsidR="0021112D">
        <w:t xml:space="preserve"> structure</w:t>
      </w:r>
      <w:r>
        <w:t xml:space="preserve"> </w:t>
      </w:r>
      <w:r w:rsidR="0021112D">
        <w:t>to include</w:t>
      </w:r>
      <w:r>
        <w:t xml:space="preserve"> a “</w:t>
      </w:r>
      <w:proofErr w:type="spellStart"/>
      <w:r>
        <w:t>freeEnergy</w:t>
      </w:r>
      <w:proofErr w:type="spellEnd"/>
      <w:r>
        <w:t>” numerical array with length equal that of the “reactions” array. For calculating overall free energy of a flux distribution, we created an “</w:t>
      </w:r>
      <w:proofErr w:type="spellStart"/>
      <w:r>
        <w:t>optimizeThermoModel.m</w:t>
      </w:r>
      <w:proofErr w:type="spellEnd"/>
      <w:r>
        <w:t xml:space="preserve">” code (see Supplementary Materials) that </w:t>
      </w:r>
      <w:r w:rsidR="001A5358">
        <w:t xml:space="preserve">is built around </w:t>
      </w:r>
      <w:r>
        <w:t>the “</w:t>
      </w:r>
      <w:proofErr w:type="spellStart"/>
      <w:r>
        <w:t>optimizeCbModel.m</w:t>
      </w:r>
      <w:proofErr w:type="spellEnd"/>
      <w:r>
        <w:t xml:space="preserve">” code in the COBRA Toolbox 2.0 </w:t>
      </w:r>
      <w:r>
        <w:fldChar w:fldCharType="begin"/>
      </w:r>
      <w:r w:rsidR="00F5100D">
        <w:instrText xml:space="preserve"> ADDIN ZOTERO_ITEM CSL_CITATION {"citationID":"25t4h6jo3r","properties":{"formattedCitation":"(29)","plainCitation":"(29)"},"citationItems":[{"id":81,"uris":["http://zotero.org/users/2565720/items/XX4R24A3"],"uri":["http://zotero.org/users/2565720/items/XX4R24A3"],"itemData":{"id":81,"type":"article-journal","title":"Quantitative prediction of cellular metabolism with constraint-based models: the COBRA Toolbox v2.0","container-title":"Nature Protocols","page":"1290-1307","volume":"6","issue":"9","source":"www.nature.com","abstract":"Over the past decade, a growing community of researchers has emerged around the use of constraint-based reconstruction and analysis (COBRA) methods to simulate, analyze and predict a variety of metabolic phenotypes using genome-scale models. The COBRA Toolbox, a MATLAB package for implementing COBRA methods, was presented earlier. Here we present a substantial update of this in silico toolbox. Version 2.0 of the COBRA Toolbox expands the scope of computations by including in silico analysis methods developed since its original release. New functions include (i) network gap filling, (ii) 13C analysis, (iii) metabolic engineering, (iv) omics-guided analysis and (v) visualization. As with the first version, the COBRA Toolbox reads and writes systems biology markup language–formatted models. In version 2.0, we improved performance, usability and the level of documentation. A suite of test scripts can now be used to learn the core functionality of the toolbox and validate results. This toolbox lowers the barrier of entry to use powerful COBRA methods.\nView full text","DOI":"10.1038/nprot.2011.308","ISSN":"1754-2189","shortTitle":"Quantitative prediction of cellular metabolism with constraint-based models","journalAbbreviation":"Nat. Protocols","language":"en","author":[{"family":"Schellenberger","given":"Jan"},{"family":"Que","given":"Richard"},{"family":"Fleming","given":"Ronan M. T."},{"family":"Thiele","given":"Ines"},{"family":"Orth","given":"Jeffrey D."},{"family":"Feist","given":"Adam M."},{"family":"Zielinski","given":"Daniel C."},{"family":"Bordbar","given":"Aarash"},{"family":"Lewis","given":"Nathan E."},{"family":"Rahmanian","given":"Sorena"},{"family":"Kang","given":"Joseph"},{"family":"Hyduke","given":"Daniel R."},{"family":"Palsson","given":"Bernhard Ø"}],"issued":{"date-parts":[["2011",9]]}}}],"schema":"https://github.com/citation-style-language/schema/raw/master/csl-citation.json"} </w:instrText>
      </w:r>
      <w:r>
        <w:fldChar w:fldCharType="separate"/>
      </w:r>
      <w:r w:rsidR="00552A03" w:rsidRPr="00552A03">
        <w:rPr>
          <w:rFonts w:cs="Times New Roman"/>
        </w:rPr>
        <w:t>(29)</w:t>
      </w:r>
      <w:r>
        <w:fldChar w:fldCharType="end"/>
      </w:r>
      <w:r>
        <w:t xml:space="preserve">. </w:t>
      </w:r>
      <w:r w:rsidR="00266387">
        <w:t xml:space="preserve">Our </w:t>
      </w:r>
      <w:r w:rsidR="00F5100D">
        <w:t>script</w:t>
      </w:r>
      <w:r w:rsidR="00266387">
        <w:t xml:space="preserve"> accepts effective concentrations (mM) for specified exchange metabolites, assumes standard concentrations of 1 mM for </w:t>
      </w:r>
      <w:r w:rsidR="00464CF2">
        <w:t>unspecified</w:t>
      </w:r>
      <w:r w:rsidR="00266387">
        <w:t xml:space="preserve"> metabolites, and uses these values to calculate effective metabolite free energies based on the reconstruction’s stored values for each exchange reaction. </w:t>
      </w:r>
      <w:r>
        <w:t xml:space="preserve">Prior to </w:t>
      </w:r>
      <w:r w:rsidR="00266387">
        <w:t xml:space="preserve">performing FBA, we add these free energies </w:t>
      </w:r>
      <w:r>
        <w:t>to the</w:t>
      </w:r>
      <w:r w:rsidR="00266387">
        <w:t xml:space="preserve"> exchange reactions, which </w:t>
      </w:r>
      <w:r w:rsidR="001A5358">
        <w:t xml:space="preserve">ordinarily </w:t>
      </w:r>
      <w:r w:rsidR="00266387">
        <w:t>have the form:</w:t>
      </w:r>
    </w:p>
    <w:p w14:paraId="00972B3C" w14:textId="7E2392EB" w:rsidR="00266387" w:rsidRPr="00266387" w:rsidRDefault="00F5100D" w:rsidP="007A2129">
      <w:pPr>
        <w:spacing w:line="480" w:lineRule="auto"/>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e0</m:t>
              </m:r>
            </m:sub>
          </m:sSub>
          <m:r>
            <w:rPr>
              <w:rFonts w:ascii="Cambria Math" w:hAnsi="Cambria Math"/>
            </w:rPr>
            <m:t xml:space="preserve">⇌ </m:t>
          </m:r>
        </m:oMath>
      </m:oMathPara>
    </w:p>
    <w:p w14:paraId="40837F0A" w14:textId="1288D386" w:rsidR="00266387" w:rsidRDefault="00266387" w:rsidP="007A2129">
      <w:pPr>
        <w:spacing w:line="480" w:lineRule="auto"/>
        <w:rPr>
          <w:rFonts w:eastAsiaTheme="minorEastAsia"/>
        </w:rPr>
      </w:pPr>
      <w:r>
        <w:rPr>
          <w:rFonts w:eastAsiaTheme="minorEastAsia"/>
        </w:rPr>
        <w:t>We alter these exchanges such that production of a metabolite “creates” free energy equivalent to the metabolite’s free energy of formation:</w:t>
      </w:r>
    </w:p>
    <w:p w14:paraId="0EEC1907" w14:textId="2C4861B6" w:rsidR="00266387" w:rsidRPr="00266387" w:rsidRDefault="00F5100D" w:rsidP="007A2129">
      <w:pPr>
        <w:spacing w:line="480" w:lineRule="auto"/>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e0</m:t>
              </m:r>
            </m:sub>
          </m:sSub>
          <m:r>
            <w:rPr>
              <w:rFonts w:ascii="Cambria Math" w:hAnsi="Cambria Math"/>
            </w:rPr>
            <m:t xml:space="preserve">⇌ </m:t>
          </m:r>
          <m:d>
            <m:dPr>
              <m:ctrlPr>
                <w:rPr>
                  <w:rFonts w:ascii="Cambria Math" w:hAnsi="Cambria Math"/>
                  <w:i/>
                </w:rPr>
              </m:ctrlPr>
            </m:dPr>
            <m:e>
              <m:r>
                <w:rPr>
                  <w:rFonts w:ascii="Cambria Math" w:hAnsi="Cambria Math"/>
                </w:rPr>
                <m:t>Δ</m:t>
              </m:r>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A</m:t>
                      </m:r>
                    </m:e>
                    <m:sub>
                      <m:r>
                        <w:rPr>
                          <w:rFonts w:ascii="Cambria Math" w:hAnsi="Cambria Math"/>
                        </w:rPr>
                        <m:t>e0</m:t>
                      </m:r>
                    </m:sub>
                  </m:sSub>
                </m:sub>
              </m:sSub>
            </m:e>
          </m:d>
          <m:r>
            <w:rPr>
              <w:rFonts w:ascii="Cambria Math" w:hAnsi="Cambria Math"/>
            </w:rPr>
            <m:t>dG</m:t>
          </m:r>
        </m:oMath>
      </m:oMathPara>
    </w:p>
    <w:p w14:paraId="5646F56B" w14:textId="52D7F353" w:rsidR="00266387" w:rsidRDefault="00266387" w:rsidP="007A2129">
      <w:pPr>
        <w:spacing w:line="480" w:lineRule="auto"/>
        <w:rPr>
          <w:rFonts w:cs="Times New Roman"/>
        </w:rPr>
      </w:pPr>
      <w:r>
        <w:t xml:space="preserve">Here, </w:t>
      </w:r>
      <m:oMath>
        <m:r>
          <w:rPr>
            <w:rFonts w:ascii="Cambria Math" w:hAnsi="Cambria Math"/>
          </w:rPr>
          <m:t>Δ</m:t>
        </m:r>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A</m:t>
                </m:r>
              </m:e>
              <m:sub>
                <m:r>
                  <w:rPr>
                    <w:rFonts w:ascii="Cambria Math" w:hAnsi="Cambria Math"/>
                  </w:rPr>
                  <m:t>e0</m:t>
                </m:r>
              </m:sub>
            </m:sSub>
          </m:sub>
        </m:sSub>
      </m:oMath>
      <w:r>
        <w:rPr>
          <w:rFonts w:cs="Times New Roman"/>
        </w:rPr>
        <w:t>is the stoichiometric coefficient of a new metabolite “</w:t>
      </w:r>
      <w:proofErr w:type="spellStart"/>
      <w:r>
        <w:rPr>
          <w:rFonts w:cs="Times New Roman"/>
        </w:rPr>
        <w:t>dG</w:t>
      </w:r>
      <w:proofErr w:type="spellEnd"/>
      <w:r>
        <w:rPr>
          <w:rFonts w:cs="Times New Roman"/>
        </w:rPr>
        <w:t>” that is used to sum model free energy. Becau</w:t>
      </w:r>
      <w:r w:rsidR="00464CF2">
        <w:rPr>
          <w:rFonts w:cs="Times New Roman"/>
        </w:rPr>
        <w:t>se exchange reactions must</w:t>
      </w:r>
      <w:r>
        <w:rPr>
          <w:rFonts w:cs="Times New Roman"/>
        </w:rPr>
        <w:t xml:space="preserve"> </w:t>
      </w:r>
      <w:r w:rsidR="001A5358">
        <w:rPr>
          <w:rFonts w:cs="Times New Roman"/>
        </w:rPr>
        <w:t>satisfy mass balance by</w:t>
      </w:r>
      <w:r>
        <w:rPr>
          <w:rFonts w:cs="Times New Roman"/>
        </w:rPr>
        <w:t xml:space="preserve"> necessarily </w:t>
      </w:r>
      <w:r w:rsidR="0077549E">
        <w:rPr>
          <w:rFonts w:cs="Times New Roman"/>
        </w:rPr>
        <w:t>enter</w:t>
      </w:r>
      <w:r w:rsidR="001A5358">
        <w:rPr>
          <w:rFonts w:cs="Times New Roman"/>
        </w:rPr>
        <w:t>ing</w:t>
      </w:r>
      <w:r w:rsidR="0077549E">
        <w:rPr>
          <w:rFonts w:cs="Times New Roman"/>
        </w:rPr>
        <w:t xml:space="preserve"> or exit</w:t>
      </w:r>
      <w:r w:rsidR="001A5358">
        <w:rPr>
          <w:rFonts w:cs="Times New Roman"/>
        </w:rPr>
        <w:t>ing</w:t>
      </w:r>
      <w:r w:rsidR="0077549E">
        <w:rPr>
          <w:rFonts w:cs="Times New Roman"/>
        </w:rPr>
        <w:t xml:space="preserve"> the model without </w:t>
      </w:r>
      <w:r w:rsidR="001A5358">
        <w:rPr>
          <w:rFonts w:cs="Times New Roman"/>
        </w:rPr>
        <w:t>creating</w:t>
      </w:r>
      <w:r w:rsidR="0077549E">
        <w:rPr>
          <w:rFonts w:cs="Times New Roman"/>
        </w:rPr>
        <w:t xml:space="preserve"> new metabolites, adding free energies to the model creates an imbalance that we must correct. We restore model balance by allowing “</w:t>
      </w:r>
      <w:proofErr w:type="spellStart"/>
      <w:r w:rsidR="0077549E">
        <w:rPr>
          <w:rFonts w:cs="Times New Roman"/>
        </w:rPr>
        <w:t>dG</w:t>
      </w:r>
      <w:proofErr w:type="spellEnd"/>
      <w:r w:rsidR="0077549E">
        <w:rPr>
          <w:rFonts w:cs="Times New Roman"/>
        </w:rPr>
        <w:t>” to exit the model via its own exchange reaction:</w:t>
      </w:r>
    </w:p>
    <w:p w14:paraId="290D4FA2" w14:textId="41CAB160" w:rsidR="0077549E" w:rsidRPr="0077549E" w:rsidRDefault="0077549E" w:rsidP="007A2129">
      <w:pPr>
        <w:spacing w:line="480" w:lineRule="auto"/>
        <w:rPr>
          <w:rFonts w:eastAsiaTheme="minorEastAsia"/>
        </w:rPr>
      </w:pPr>
      <m:oMathPara>
        <m:oMath>
          <m:r>
            <w:rPr>
              <w:rFonts w:ascii="Cambria Math" w:hAnsi="Cambria Math"/>
            </w:rPr>
            <w:lastRenderedPageBreak/>
            <m:t>dG⇌</m:t>
          </m:r>
        </m:oMath>
      </m:oMathPara>
    </w:p>
    <w:p w14:paraId="66299F5D" w14:textId="6AA0B985" w:rsidR="0077549E" w:rsidRDefault="0077549E" w:rsidP="007A2129">
      <w:pPr>
        <w:spacing w:line="480" w:lineRule="auto"/>
      </w:pPr>
      <w:r>
        <w:rPr>
          <w:rFonts w:eastAsiaTheme="minorEastAsia"/>
        </w:rPr>
        <w:t>Measuring the total</w:t>
      </w:r>
      <w:r w:rsidR="001A5358">
        <w:rPr>
          <w:rFonts w:eastAsiaTheme="minorEastAsia"/>
        </w:rPr>
        <w:t xml:space="preserve"> flux of the exchange reaction </w:t>
      </w:r>
      <w:r>
        <w:rPr>
          <w:rFonts w:eastAsiaTheme="minorEastAsia"/>
        </w:rPr>
        <w:t xml:space="preserve">gives us an estimation of total free energy being generated in an FBA solution on a per cell mass basis. We have incorporated this thermodynamic calculation into all of our available model simulations (see Supplementary Materials); thus by default, we calculate </w:t>
      </w:r>
      <w:r w:rsidR="001056FA">
        <w:rPr>
          <w:rFonts w:eastAsiaTheme="minorEastAsia"/>
        </w:rPr>
        <w:t xml:space="preserve">and print </w:t>
      </w:r>
      <w:r>
        <w:rPr>
          <w:rFonts w:eastAsiaTheme="minorEastAsia"/>
        </w:rPr>
        <w:t xml:space="preserve">overall model free energy in every flux distribution. </w:t>
      </w:r>
    </w:p>
    <w:p w14:paraId="5C5A7183" w14:textId="06FDF47C" w:rsidR="00FB6A81" w:rsidRDefault="00464CF2" w:rsidP="00FB6A81">
      <w:pPr>
        <w:pStyle w:val="Heading2"/>
      </w:pPr>
      <w:r>
        <w:t xml:space="preserve">Dry Cell Weight </w:t>
      </w:r>
      <w:r w:rsidR="00FB6A81">
        <w:t>Measurements</w:t>
      </w:r>
    </w:p>
    <w:p w14:paraId="14C1A5CE" w14:textId="3EB5A728" w:rsidR="00650EC2" w:rsidRDefault="00E124F1" w:rsidP="007A2129">
      <w:pPr>
        <w:spacing w:line="480" w:lineRule="auto"/>
      </w:pPr>
      <w:r>
        <w:t xml:space="preserve">Wild type </w:t>
      </w:r>
      <w:r w:rsidR="00FB6A81">
        <w:rPr>
          <w:i/>
        </w:rPr>
        <w:t xml:space="preserve">M. maripaludis S2 </w:t>
      </w:r>
      <w:r w:rsidR="00FB6A81">
        <w:t xml:space="preserve">cells </w:t>
      </w:r>
      <w:r w:rsidR="001056FA">
        <w:t>were grown in a chemically defined medium</w:t>
      </w:r>
      <w:r w:rsidR="00FB6A81">
        <w:t xml:space="preserve"> (See Supplementary Materials) using a 1-L</w:t>
      </w:r>
      <w:r w:rsidR="00650EC2">
        <w:t xml:space="preserve"> chemostat</w:t>
      </w:r>
      <w:r w:rsidR="00FB6A81">
        <w:t xml:space="preserve"> under anaerobic conditions</w:t>
      </w:r>
      <w:r w:rsidR="001056FA">
        <w:t xml:space="preserve"> as described previously </w:t>
      </w:r>
      <w:r w:rsidR="00DC05CC">
        <w:fldChar w:fldCharType="begin"/>
      </w:r>
      <w:r w:rsidR="00F5100D">
        <w:instrText xml:space="preserve"> ADDIN ZOTERO_ITEM CSL_CITATION {"citationID":"1i23cacc4p","properties":{"formattedCitation":"(11)","plainCitation":"(11)"},"citationItems":[{"id":21,"uris":["http://zotero.org/users/2565720/items/DQ6NM29D"],"uri":["http://zotero.org/users/2565720/items/DQ6NM29D"],"itemData":{"id":21,"type":"article-journal","title":"Continuous culture of &lt;i&gt;Methanococcus maripaludis&lt;/i&gt; under defined nutrient conditions","container-title":"FEMS Microbiology Letters","page":"85-91","volume":"238","issue":"1","source":"femsle.oxfordjournals.org","abstract":"To study global regulation in the methanogenic archaeon Methanococcus maripaludis, we devised a system for steady-state growth in chemostats. New Brunswick Bioflo 110 bioreactors were equipped with controlled delivery of hydrogen, nitrogen, carbon dioxide, hydrogen sulfide, and anaerobic medium. We determined conditions and media compositions for growth with three different limiting nutrients, hydrogen, phosphate, and leucine. To investigate leucine limitation we constructed and characterized a mutant in the leuA gene for 2-isopropylmalate synthase, demonstrating for the first time the function of this gene in the Archaea. Steady state specific growth rates in these studies ranged from 0.042 to 0.24 h−1. Plots of culture density vs. growth rate for each condition showed the behavior predicted by growth modeling. The results show that growth behavior is normal and reproducible and validate the use of the chemostat system for metabolic and global regulation studies in M. maripaludis.","DOI":"10.1111/j.1574-6968.2004.tb09741.x","ISSN":"0378-1097, 1574-6968","note":"PMID: 15336407","language":"en","author":[{"family":"Haydock","given":"Andrew K."},{"family":"Porat","given":"Iris"},{"family":"Whitman","given":"William B."},{"family":"Leigh","given":"John A."}],"issued":{"date-parts":[["2004",9,1]]},"PMID":"15336407"}}],"schema":"https://github.com/citation-style-language/schema/raw/master/csl-citation.json"} </w:instrText>
      </w:r>
      <w:r w:rsidR="00DC05CC">
        <w:fldChar w:fldCharType="separate"/>
      </w:r>
      <w:r w:rsidR="00552A03" w:rsidRPr="00552A03">
        <w:rPr>
          <w:rFonts w:cs="Times New Roman"/>
        </w:rPr>
        <w:t>(11)</w:t>
      </w:r>
      <w:r w:rsidR="00DC05CC">
        <w:fldChar w:fldCharType="end"/>
      </w:r>
      <w:r w:rsidR="00FB6A81">
        <w:t xml:space="preserve">. </w:t>
      </w:r>
      <w:r w:rsidR="00464CF2">
        <w:t>The c</w:t>
      </w:r>
      <w:r w:rsidR="00650EC2">
        <w:t>hemostat</w:t>
      </w:r>
      <w:r w:rsidR="00464CF2">
        <w:t xml:space="preserve"> was</w:t>
      </w:r>
      <w:r w:rsidR="002A1B75">
        <w:t xml:space="preserve"> operated</w:t>
      </w:r>
      <w:r w:rsidR="001A5358">
        <w:t xml:space="preserve"> in steady state continuous</w:t>
      </w:r>
      <w:r w:rsidR="00FB6A81">
        <w:t xml:space="preserve"> mode</w:t>
      </w:r>
      <w:r w:rsidR="001A5358">
        <w:t xml:space="preserve"> </w:t>
      </w:r>
      <w:r w:rsidR="002A1B75">
        <w:t>under H</w:t>
      </w:r>
      <w:r w:rsidR="002A1B75" w:rsidRPr="002A1B75">
        <w:rPr>
          <w:vertAlign w:val="subscript"/>
        </w:rPr>
        <w:t>2</w:t>
      </w:r>
      <w:r w:rsidR="002A1B75">
        <w:t xml:space="preserve">-limiting conditions to match model simulation conditions, </w:t>
      </w:r>
      <w:r w:rsidR="00FB6A81">
        <w:t xml:space="preserve">with gas flows of </w:t>
      </w:r>
      <w:r w:rsidR="002A1B75">
        <w:t>10-15 mL</w:t>
      </w:r>
      <w:r w:rsidR="00FB6A81">
        <w:t>/</w:t>
      </w:r>
      <w:r w:rsidR="002A1B75">
        <w:t>min</w:t>
      </w:r>
      <w:r w:rsidR="00FB6A81">
        <w:t xml:space="preserve"> H</w:t>
      </w:r>
      <w:r w:rsidR="00FB6A81" w:rsidRPr="00FB6A81">
        <w:rPr>
          <w:vertAlign w:val="subscript"/>
        </w:rPr>
        <w:t>2</w:t>
      </w:r>
      <w:r w:rsidR="00FB6A81">
        <w:t xml:space="preserve">, </w:t>
      </w:r>
      <w:r w:rsidR="002A1B75">
        <w:t>40</w:t>
      </w:r>
      <w:r w:rsidR="00FB6A81">
        <w:t xml:space="preserve"> </w:t>
      </w:r>
      <w:r w:rsidR="002A1B75">
        <w:t>mL/min</w:t>
      </w:r>
      <w:r w:rsidR="00FB6A81">
        <w:t xml:space="preserve"> CO</w:t>
      </w:r>
      <w:r w:rsidR="00FB6A81" w:rsidRPr="00FB6A81">
        <w:rPr>
          <w:vertAlign w:val="subscript"/>
        </w:rPr>
        <w:t>2</w:t>
      </w:r>
      <w:r w:rsidR="00FB6A81">
        <w:t xml:space="preserve">, 15 </w:t>
      </w:r>
      <w:r w:rsidR="002A1B75">
        <w:t>mL/min</w:t>
      </w:r>
      <w:r w:rsidR="00FB6A81">
        <w:t xml:space="preserve"> H</w:t>
      </w:r>
      <w:r w:rsidR="00FB6A81" w:rsidRPr="00FB6A81">
        <w:rPr>
          <w:vertAlign w:val="subscript"/>
        </w:rPr>
        <w:t>2</w:t>
      </w:r>
      <w:r w:rsidR="00FB6A81">
        <w:t>S,</w:t>
      </w:r>
      <w:r w:rsidR="002A1B75">
        <w:t xml:space="preserve"> and a balance of N</w:t>
      </w:r>
      <w:r w:rsidR="002A1B75" w:rsidRPr="002A1B75">
        <w:rPr>
          <w:vertAlign w:val="subscript"/>
        </w:rPr>
        <w:t>2</w:t>
      </w:r>
      <w:r w:rsidR="002A1B75">
        <w:t xml:space="preserve"> up to a total 200 mL/min.</w:t>
      </w:r>
    </w:p>
    <w:p w14:paraId="69419BD8" w14:textId="60D07048" w:rsidR="001056FA" w:rsidRDefault="00E124F1" w:rsidP="00E124F1">
      <w:pPr>
        <w:spacing w:line="480" w:lineRule="auto"/>
      </w:pPr>
      <w:r>
        <w:t xml:space="preserve">We recalculated calibration curves for dry cell weight versus optical density by measuring </w:t>
      </w:r>
      <w:r w:rsidR="001D1107">
        <w:t>d</w:t>
      </w:r>
      <w:r w:rsidR="00650EC2">
        <w:t>ry cell weight via cell filtering</w:t>
      </w:r>
      <w:r>
        <w:t xml:space="preserve"> and </w:t>
      </w:r>
      <w:r w:rsidR="00464CF2">
        <w:t>OD</w:t>
      </w:r>
      <w:r w:rsidR="00464CF2" w:rsidRPr="00464CF2">
        <w:rPr>
          <w:vertAlign w:val="subscript"/>
        </w:rPr>
        <w:t>660</w:t>
      </w:r>
      <w:r w:rsidR="00464CF2">
        <w:t xml:space="preserve"> </w:t>
      </w:r>
      <w:r>
        <w:t>via a UV/Vis spectrophotometer {</w:t>
      </w:r>
      <w:r w:rsidRPr="00E124F1">
        <w:rPr>
          <w:highlight w:val="yellow"/>
        </w:rPr>
        <w:t>model number?</w:t>
      </w:r>
      <w:r>
        <w:t>}</w:t>
      </w:r>
      <w:r w:rsidR="004105BE">
        <w:t>.</w:t>
      </w:r>
      <w:r w:rsidR="00F55A92">
        <w:t xml:space="preserve"> </w:t>
      </w:r>
      <w:r w:rsidR="00930A74">
        <w:t>After measuring</w:t>
      </w:r>
      <w:r w:rsidR="00F55A92">
        <w:t xml:space="preserve"> chemost</w:t>
      </w:r>
      <w:r w:rsidR="00464CF2">
        <w:t>at optical density</w:t>
      </w:r>
      <w:r w:rsidR="00930A74">
        <w:t>, we sampled</w:t>
      </w:r>
      <w:r w:rsidR="00464CF2">
        <w:t xml:space="preserve"> 5</w:t>
      </w:r>
      <w:r w:rsidR="00F55A92">
        <w:t>0</w:t>
      </w:r>
      <w:r w:rsidR="00650EC2">
        <w:t xml:space="preserve"> mL aliquots of cells in </w:t>
      </w:r>
      <w:r w:rsidR="00464CF2">
        <w:t>suspension</w:t>
      </w:r>
      <w:r w:rsidR="00650EC2">
        <w:t xml:space="preserve"> were </w:t>
      </w:r>
      <w:r w:rsidR="004105BE">
        <w:t xml:space="preserve">directly from chemostat culture </w:t>
      </w:r>
      <w:r w:rsidR="00464CF2">
        <w:t xml:space="preserve">and centrifuged </w:t>
      </w:r>
      <w:r w:rsidR="00930A74">
        <w:t xml:space="preserve">samples at 7000 RPM for 15 minutes. 40 mL of supernatant were removed by pipette, </w:t>
      </w:r>
      <w:proofErr w:type="gramStart"/>
      <w:r w:rsidR="00930A74">
        <w:t>then</w:t>
      </w:r>
      <w:proofErr w:type="gramEnd"/>
      <w:r w:rsidR="00930A74">
        <w:t xml:space="preserve"> the cells were re-suspended in the</w:t>
      </w:r>
      <w:r w:rsidR="00F55A92">
        <w:t xml:space="preserve"> </w:t>
      </w:r>
      <w:r w:rsidR="00930A74">
        <w:t xml:space="preserve">remaining 10 mL of media. </w:t>
      </w:r>
      <w:r w:rsidR="00F55A92">
        <w:t>These</w:t>
      </w:r>
      <w:r w:rsidR="00930A74">
        <w:t xml:space="preserve"> concentrated </w:t>
      </w:r>
      <w:r w:rsidR="00F55A92">
        <w:t>aliquots were</w:t>
      </w:r>
      <w:r w:rsidR="00930A74">
        <w:t xml:space="preserve"> </w:t>
      </w:r>
      <w:r w:rsidR="00F55A92">
        <w:t>vacuum</w:t>
      </w:r>
      <w:r w:rsidR="004105BE">
        <w:t xml:space="preserve"> </w:t>
      </w:r>
      <w:r w:rsidR="00650EC2">
        <w:t xml:space="preserve">filtered through </w:t>
      </w:r>
      <w:r w:rsidR="00F55A92">
        <w:t>0.45</w:t>
      </w:r>
      <w:r w:rsidR="00650EC2">
        <w:t xml:space="preserve"> </w:t>
      </w:r>
      <w:r w:rsidR="00F55A92">
        <w:rPr>
          <w:rFonts w:cs="Times New Roman"/>
        </w:rPr>
        <w:t>µ</w:t>
      </w:r>
      <w:r w:rsidR="00650EC2">
        <w:t>M pore filters to remove all non-cellular components</w:t>
      </w:r>
      <w:r w:rsidR="00F55A92">
        <w:t xml:space="preserve">, then dried at room temperature and weighed daily until their weights stabilized. </w:t>
      </w:r>
    </w:p>
    <w:p w14:paraId="1662CC28" w14:textId="6D9ACCE8" w:rsidR="00883773" w:rsidRDefault="00883773" w:rsidP="00883773">
      <w:pPr>
        <w:pStyle w:val="Heading2"/>
      </w:pPr>
      <w:r>
        <w:t>ATP Maintenance</w:t>
      </w:r>
      <w:r w:rsidR="00887D9C">
        <w:t xml:space="preserve"> and Predicted Growth Yields</w:t>
      </w:r>
    </w:p>
    <w:p w14:paraId="1038EA99" w14:textId="6EC999C3" w:rsidR="007A7ECA" w:rsidRDefault="00E124F1" w:rsidP="00E124F1">
      <w:pPr>
        <w:spacing w:line="480" w:lineRule="auto"/>
      </w:pPr>
      <w:r>
        <w:t xml:space="preserve">As described by Thiele and </w:t>
      </w:r>
      <w:proofErr w:type="spellStart"/>
      <w:r>
        <w:t>Palsson</w:t>
      </w:r>
      <w:proofErr w:type="spellEnd"/>
      <w:r>
        <w:t xml:space="preserve">, the optimal way to obtain accurate ATP maintenance values is to plot ATP production versus growth data from chemostat growth experiments </w:t>
      </w:r>
      <w:r>
        <w:fldChar w:fldCharType="begin"/>
      </w:r>
      <w:r w:rsidR="00F5100D">
        <w:instrText xml:space="preserve"> ADDIN ZOTERO_ITEM CSL_CITATION {"citationID":"fk9tj3jkj","properties":{"formattedCitation":"(23)","plainCitation":"(23)"},"citationItems":[{"id":84,"uris":["http://zotero.org/users/2565720/items/3JF6IXSW"],"uri":["http://zotero.org/users/2565720/items/3JF6IXSW"],"itemData":{"id":84,"type":"article-journal","title":"A protocol for generating a high-quality genome-scale metabolic reconstruction","container-title":"Nature Protocols","page":"93-121","volume":"5","issue":"1","source":"www.nature.com","abstract":"Network reconstructions are a common denominator in systems biology. Bottom–up metabolic network reconstructions have been developed over the last 10 years. These reconstructions represent structured knowledge bases that abstract pertinent information on the biochemical transformations taking place within specific target organisms. The conversion of a reconstruction into a mathematical format facilitates a myriad of computational biological studies, including evaluation of network content, hypothesis testing and generation, analysis of phenotypic characteristics and metabolic engineering. To date, genome-scale metabolic reconstructions for more than 30 organisms have been published and this number is expected to increase rapidly. However, these reconstructions differ in quality and coverage that may minimize their predictive potential and use as knowledge bases. Here we present a comprehensive protocol describing each step necessary to build a high-quality genome-scale metabolic reconstruction, as well as the common trials and tribulations. Therefore, this protocol provides a helpful manual for all stages of the reconstruction process.","DOI":"10.1038/nprot.2009.203","ISSN":"1754-2189","journalAbbreviation":"Nat. Protocols","language":"en","author":[{"family":"Thiele","given":"Ines"},{"family":"Palsson","given":"Bernhard Ø"}],"issued":{"date-parts":[["2010",1]]}}}],"schema":"https://github.com/citation-style-language/schema/raw/master/csl-citation.json"} </w:instrText>
      </w:r>
      <w:r>
        <w:fldChar w:fldCharType="separate"/>
      </w:r>
      <w:r w:rsidR="00552A03" w:rsidRPr="00552A03">
        <w:rPr>
          <w:rFonts w:cs="Times New Roman"/>
        </w:rPr>
        <w:t>(23)</w:t>
      </w:r>
      <w:r>
        <w:fldChar w:fldCharType="end"/>
      </w:r>
      <w:r>
        <w:t xml:space="preserve">. </w:t>
      </w:r>
      <w:r w:rsidR="001D1107">
        <w:t xml:space="preserve">In </w:t>
      </w:r>
      <w:r w:rsidR="00D414E0">
        <w:lastRenderedPageBreak/>
        <w:t xml:space="preserve">practice, </w:t>
      </w:r>
      <w:r w:rsidR="007A7ECA">
        <w:t xml:space="preserve">this requires measuring steady state growth rate in concert with an uptake rate or, in our case, a product secretion rate. We altered our growth rate of </w:t>
      </w:r>
      <w:r w:rsidR="001D1107">
        <w:rPr>
          <w:i/>
        </w:rPr>
        <w:t>M. maripaludis</w:t>
      </w:r>
      <w:r w:rsidR="00D414E0">
        <w:rPr>
          <w:i/>
        </w:rPr>
        <w:t xml:space="preserve"> </w:t>
      </w:r>
      <w:r w:rsidR="00D414E0">
        <w:t xml:space="preserve">during steady state </w:t>
      </w:r>
      <w:r w:rsidR="007A7ECA">
        <w:t xml:space="preserve">by varying pump speeds to achieve dilution rates of approximately 0.045-0.090 h-1, checking OD660 to ensure steady state at each data point. </w:t>
      </w:r>
      <w:r w:rsidR="00D414E0">
        <w:t xml:space="preserve">For each time point, </w:t>
      </w:r>
      <w:r w:rsidR="007A7ECA">
        <w:t xml:space="preserve">we measured growth rate based on dilution rate and methane evolution rate via a combination of a bubble flow meter to assess total gas outflow and a Buck Scientific model 910 gas chromatograph equipped with a flame ionization detector to quantify methane fraction. </w:t>
      </w:r>
    </w:p>
    <w:p w14:paraId="5C055897" w14:textId="547E0F46" w:rsidR="001D1107" w:rsidRDefault="007A7ECA" w:rsidP="00E124F1">
      <w:pPr>
        <w:spacing w:line="480" w:lineRule="auto"/>
        <w:rPr>
          <w:rFonts w:eastAsiaTheme="minorEastAsia"/>
        </w:rPr>
      </w:pPr>
      <w:r>
        <w:t>To calculate ATP maintenance values in our model, we</w:t>
      </w:r>
      <w:r w:rsidR="00D414E0">
        <w:t xml:space="preserve"> constrained our model to our measured growth rate and secretion rate </w:t>
      </w:r>
      <w:r>
        <w:t xml:space="preserve">at each time point </w:t>
      </w:r>
      <w:r w:rsidR="00D414E0">
        <w:t xml:space="preserve">and set the model objective to maximize ATP hydrolysis (rxn00062[c0]). We plotted </w:t>
      </w:r>
      <w:r>
        <w:t>each</w:t>
      </w:r>
      <w:r w:rsidR="00D414E0">
        <w:t xml:space="preserve"> resulting value of ATP production </w:t>
      </w:r>
      <w:r w:rsidR="00F55A92">
        <w:t xml:space="preserve">as a function of </w:t>
      </w:r>
      <w:r w:rsidR="00D414E0">
        <w:t xml:space="preserve">growth rate and obtained the growth-associated (slope) and non-growth associated (y-intercept) ATP maintenance values </w:t>
      </w:r>
      <w:r w:rsidR="00F55A92">
        <w:t>using a linear model</w:t>
      </w:r>
      <w:r>
        <w:t xml:space="preserve">, as described by Thiele and </w:t>
      </w:r>
      <w:proofErr w:type="spellStart"/>
      <w:r>
        <w:t>Palsson</w:t>
      </w:r>
      <w:proofErr w:type="spellEnd"/>
      <w:r>
        <w:t xml:space="preserve"> </w:t>
      </w:r>
      <w:r>
        <w:fldChar w:fldCharType="begin"/>
      </w:r>
      <w:r w:rsidR="00F5100D">
        <w:instrText xml:space="preserve"> ADDIN ZOTERO_ITEM CSL_CITATION {"citationID":"2qram37clk","properties":{"formattedCitation":"(23)","plainCitation":"(23)"},"citationItems":[{"id":84,"uris":["http://zotero.org/users/2565720/items/3JF6IXSW"],"uri":["http://zotero.org/users/2565720/items/3JF6IXSW"],"itemData":{"id":84,"type":"article-journal","title":"A protocol for generating a high-quality genome-scale metabolic reconstruction","container-title":"Nature Protocols","page":"93-121","volume":"5","issue":"1","source":"www.nature.com","abstract":"Network reconstructions are a common denominator in systems biology. Bottom–up metabolic network reconstructions have been developed over the last 10 years. These reconstructions represent structured knowledge bases that abstract pertinent information on the biochemical transformations taking place within specific target organisms. The conversion of a reconstruction into a mathematical format facilitates a myriad of computational biological studies, including evaluation of network content, hypothesis testing and generation, analysis of phenotypic characteristics and metabolic engineering. To date, genome-scale metabolic reconstructions for more than 30 organisms have been published and this number is expected to increase rapidly. However, these reconstructions differ in quality and coverage that may minimize their predictive potential and use as knowledge bases. Here we present a comprehensive protocol describing each step necessary to build a high-quality genome-scale metabolic reconstruction, as well as the common trials and tribulations. Therefore, this protocol provides a helpful manual for all stages of the reconstruction process.","DOI":"10.1038/nprot.2009.203","ISSN":"1754-2189","journalAbbreviation":"Nat. Protocols","language":"en","author":[{"family":"Thiele","given":"Ines"},{"family":"Palsson","given":"Bernhard Ø"}],"issued":{"date-parts":[["2010",1]]}}}],"schema":"https://github.com/citation-style-language/schema/raw/master/csl-citation.json"} </w:instrText>
      </w:r>
      <w:r>
        <w:fldChar w:fldCharType="separate"/>
      </w:r>
      <w:r w:rsidR="00552A03" w:rsidRPr="00552A03">
        <w:rPr>
          <w:rFonts w:cs="Times New Roman"/>
        </w:rPr>
        <w:t>(23)</w:t>
      </w:r>
      <w:r>
        <w:fldChar w:fldCharType="end"/>
      </w:r>
      <w:r w:rsidR="00F55A92">
        <w:t xml:space="preserve">. </w:t>
      </w:r>
      <w:r w:rsidR="001D1107">
        <w:rPr>
          <w:i/>
        </w:rPr>
        <w:t xml:space="preserve"> </w:t>
      </w:r>
      <w:r w:rsidR="00BC4B5C">
        <w:rPr>
          <w:rFonts w:eastAsiaTheme="minorEastAsia"/>
        </w:rPr>
        <w:t xml:space="preserve">The resulting plot can be found in Supplementary Materials. </w:t>
      </w:r>
    </w:p>
    <w:p w14:paraId="71386B37" w14:textId="1B4C2C24" w:rsidR="00915E06" w:rsidRDefault="00887D9C" w:rsidP="00E124F1">
      <w:pPr>
        <w:spacing w:line="480" w:lineRule="auto"/>
        <w:rPr>
          <w:rFonts w:eastAsiaTheme="minorEastAsia"/>
        </w:rPr>
      </w:pPr>
      <w:r>
        <w:rPr>
          <w:rFonts w:eastAsiaTheme="minorEastAsia"/>
        </w:rPr>
        <w:t xml:space="preserve">These growth data points comprised a set of 8 measurements and we used them as both training and test data by employing leave one out cross validation (LOOCV). In the LOOCV approach, a set of N samples is divided into a training dataset of N-1 points and a test sample of 1 point. The model developed on the training set is then tested on the remaining point that was left out of the training data. In employing this method, we iteratively removed one point from our full dataset and determined ATP maintenance values for that N-1 dataset as described above to create a trained model. We then constrained our model’s methane secretion flux to the measured rate in the remaining test point and predicted maximum growth rate within that constraint using our trained model. </w:t>
      </w:r>
      <w:r w:rsidR="00915E06">
        <w:rPr>
          <w:rFonts w:eastAsiaTheme="minorEastAsia"/>
        </w:rPr>
        <w:t xml:space="preserve">Growth yields were calculated </w:t>
      </w:r>
      <w:r w:rsidR="00F5100D">
        <w:rPr>
          <w:rFonts w:eastAsiaTheme="minorEastAsia"/>
        </w:rPr>
        <w:t>based on doubling time (t</w:t>
      </w:r>
      <w:r w:rsidR="00F5100D" w:rsidRPr="00F5100D">
        <w:rPr>
          <w:rFonts w:eastAsiaTheme="minorEastAsia"/>
          <w:vertAlign w:val="subscript"/>
        </w:rPr>
        <w:t>d</w:t>
      </w:r>
      <w:r w:rsidR="00F5100D">
        <w:rPr>
          <w:rFonts w:eastAsiaTheme="minorEastAsia"/>
        </w:rPr>
        <w:t xml:space="preserve">) </w:t>
      </w:r>
      <w:r w:rsidR="00915E06">
        <w:rPr>
          <w:rFonts w:eastAsiaTheme="minorEastAsia"/>
        </w:rPr>
        <w:t>as describe previously</w:t>
      </w:r>
      <w:r w:rsidR="00F5100D">
        <w:rPr>
          <w:rFonts w:eastAsiaTheme="minorEastAsia"/>
        </w:rPr>
        <w:t xml:space="preserve"> </w:t>
      </w:r>
      <w:r w:rsidR="00F5100D">
        <w:rPr>
          <w:rFonts w:eastAsiaTheme="minorEastAsia"/>
        </w:rPr>
        <w:fldChar w:fldCharType="begin"/>
      </w:r>
      <w:r w:rsidR="00F5100D">
        <w:rPr>
          <w:rFonts w:eastAsiaTheme="minorEastAsia"/>
        </w:rPr>
        <w:instrText xml:space="preserve"> ADDIN ZOTERO_ITEM CSL_CITATION {"citationID":"53r13qfhr","properties":{"formattedCitation":"(41)","plainCitation":"(41)"},"citationItems":[{"id":73,"uris":["http://zotero.org/users/2565720/items/T5C439F9"],"uri":["http://zotero.org/users/2565720/items/T5C439F9"],"itemData":{"id":73,"type":"article-journal","title":"Effects of H2 and Formate on Growth Yield and Regulation of Methanogenesis in &lt;i&gt;Methanococcus maripaludis&lt;/i&gt;","container-title":"Journal of Bacteriology","page":"1456-1462","volume":"195","issue":"7","source":"jb.asm.org","abstract":"Hydrogenotrophic methanogenic Archaea are defined by an H2 requirement for growth. Despite this requirement, many hydrogenotrophs are also capable of growth with formate as an electron donor for methanogenesis. While certain responses of these organisms to hydrogen availability have been characterized, responses to formate starvation have not been reported. Here we report that during continuous culture of Methanococcus maripaludis under defined nutrient conditions, growth yields relative to methane production decreased markedly with either H2 excess or formate excess. Analysis of the growth yields of several mutants suggests that this phenomenon occurs independently of the storage of intracellular carbon or a transcriptional response to methanogenesis. Using microarray analysis, we found that the expression of genes encoding coenzyme F420-dependent steps of methanogenesis, including one of two formate dehydrogenases, increased with H2 starvation but with formate occurred at high levels regardless of limitation or excess. One gene, encoding H2-dependent methylene-tetrahydromethanopterin dehydrogenase, decreased in expression with either H2 limitation or formate limitation. Expression of genes for the second formate dehydrogenase, molybdenum-dependent formylmethanofuran dehydrogenase, and molybdenum transport increased specifically with formate limitation. Of the two formate dehydrogenases, only the first could support growth on formate in batch culture where formate was in excess.","DOI":"10.1128/JB.02141-12","ISSN":"0021-9193, 1098-5530","note":"PMID: 23335420","journalAbbreviation":"J. Bacteriol.","language":"en","author":[{"family":"Costa","given":"Kyle C."},{"family":"Yoon","given":"Sung Ho"},{"family":"Pan","given":"Min"},{"family":"Burn","given":"June A."},{"family":"Baliga","given":"Nitin S."},{"family":"Leigh","given":"John A."}],"issued":{"date-parts":[["2013",4,1]]},"PMID":"23335420"}}],"schema":"https://github.com/citation-style-language/schema/raw/master/csl-citation.json"} </w:instrText>
      </w:r>
      <w:r w:rsidR="00F5100D">
        <w:rPr>
          <w:rFonts w:eastAsiaTheme="minorEastAsia"/>
        </w:rPr>
        <w:fldChar w:fldCharType="separate"/>
      </w:r>
      <w:r w:rsidR="00F5100D" w:rsidRPr="00F5100D">
        <w:rPr>
          <w:rFonts w:cs="Times New Roman"/>
        </w:rPr>
        <w:t>(41)</w:t>
      </w:r>
      <w:r w:rsidR="00F5100D">
        <w:rPr>
          <w:rFonts w:eastAsiaTheme="minorEastAsia"/>
        </w:rPr>
        <w:fldChar w:fldCharType="end"/>
      </w:r>
      <w:r w:rsidR="00915E06">
        <w:rPr>
          <w:rFonts w:eastAsiaTheme="minorEastAsia"/>
        </w:rPr>
        <w:t>, but with our measured conversion between OD</w:t>
      </w:r>
      <w:r w:rsidR="00915E06" w:rsidRPr="00915E06">
        <w:rPr>
          <w:rFonts w:eastAsiaTheme="minorEastAsia"/>
          <w:vertAlign w:val="subscript"/>
        </w:rPr>
        <w:t>660</w:t>
      </w:r>
      <w:r w:rsidR="00915E06">
        <w:rPr>
          <w:rFonts w:eastAsiaTheme="minorEastAsia"/>
        </w:rPr>
        <w:t xml:space="preserve"> and cell density:</w:t>
      </w:r>
    </w:p>
    <w:p w14:paraId="3F06E046" w14:textId="416B6C8C" w:rsidR="00915E06" w:rsidRDefault="00F5100D" w:rsidP="00E124F1">
      <w:pPr>
        <w:spacing w:line="48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GDW/CH4</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OD</m:t>
                  </m:r>
                </m:e>
                <m:sub>
                  <m:r>
                    <w:rPr>
                      <w:rFonts w:ascii="Cambria Math" w:eastAsiaTheme="minorEastAsia" w:hAnsi="Cambria Math"/>
                    </w:rPr>
                    <m:t>660</m:t>
                  </m:r>
                </m:sub>
              </m:sSub>
            </m:num>
            <m:den>
              <m:r>
                <w:rPr>
                  <w:rFonts w:ascii="Cambria Math" w:eastAsiaTheme="minorEastAsia" w:hAnsi="Cambria Math"/>
                </w:rPr>
                <m:t>C</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4</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mL</m:t>
                  </m:r>
                </m:num>
                <m:den>
                  <m:r>
                    <w:rPr>
                      <w:rFonts w:ascii="Cambria Math" w:eastAsiaTheme="minorEastAsia" w:hAnsi="Cambria Math"/>
                    </w:rPr>
                    <m:t>min</m:t>
                  </m:r>
                </m:den>
              </m:f>
              <m:r>
                <w:rPr>
                  <w:rFonts w:ascii="Cambria Math" w:eastAsiaTheme="minorEastAsia" w:hAnsi="Cambria Math"/>
                </w:rPr>
                <m: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0.49g/L</m:t>
              </m:r>
            </m:num>
            <m:den>
              <m:r>
                <w:rPr>
                  <w:rFonts w:ascii="Cambria Math" w:eastAsiaTheme="minorEastAsia" w:hAnsi="Cambria Math"/>
                </w:rPr>
                <m:t>1 O</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660</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d</m:t>
                  </m:r>
                </m:sub>
              </m:sSub>
              <m:r>
                <w:rPr>
                  <w:rFonts w:ascii="Cambria Math" w:eastAsiaTheme="minorEastAsia" w:hAnsi="Cambria Math"/>
                </w:rPr>
                <m:t>(min)</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22,400 mL</m:t>
              </m:r>
            </m:num>
            <m:den>
              <m:r>
                <w:rPr>
                  <w:rFonts w:ascii="Cambria Math" w:eastAsiaTheme="minorEastAsia" w:hAnsi="Cambria Math"/>
                </w:rPr>
                <m:t>mol</m:t>
              </m:r>
            </m:den>
          </m:f>
        </m:oMath>
      </m:oMathPara>
    </w:p>
    <w:p w14:paraId="0DEC4195" w14:textId="221E1BB4" w:rsidR="00692E06" w:rsidRPr="001D1107" w:rsidRDefault="00887D9C" w:rsidP="00E124F1">
      <w:pPr>
        <w:spacing w:line="480" w:lineRule="auto"/>
        <w:rPr>
          <w:rFonts w:eastAsiaTheme="minorEastAsia"/>
        </w:rPr>
      </w:pPr>
      <w:r>
        <w:rPr>
          <w:rFonts w:eastAsiaTheme="minorEastAsia"/>
        </w:rPr>
        <w:t>All simulations were performed using the default H</w:t>
      </w:r>
      <w:r w:rsidRPr="00887D9C">
        <w:rPr>
          <w:rFonts w:eastAsiaTheme="minorEastAsia"/>
          <w:vertAlign w:val="subscript"/>
        </w:rPr>
        <w:t>2</w:t>
      </w:r>
      <w:r>
        <w:rPr>
          <w:rFonts w:eastAsiaTheme="minorEastAsia"/>
        </w:rPr>
        <w:t xml:space="preserve"> + CO</w:t>
      </w:r>
      <w:r w:rsidRPr="00887D9C">
        <w:rPr>
          <w:rFonts w:eastAsiaTheme="minorEastAsia"/>
          <w:vertAlign w:val="subscript"/>
        </w:rPr>
        <w:t>2</w:t>
      </w:r>
      <w:r>
        <w:rPr>
          <w:rFonts w:eastAsiaTheme="minorEastAsia"/>
        </w:rPr>
        <w:t xml:space="preserve"> media formulation</w:t>
      </w:r>
      <w:r w:rsidR="00F5100D">
        <w:rPr>
          <w:rFonts w:eastAsiaTheme="minorEastAsia"/>
        </w:rPr>
        <w:t xml:space="preserve"> supplemented with acetate (</w:t>
      </w:r>
      <w:proofErr w:type="spellStart"/>
      <w:r w:rsidR="00F5100D">
        <w:rPr>
          <w:rFonts w:eastAsiaTheme="minorEastAsia"/>
        </w:rPr>
        <w:t>McNA</w:t>
      </w:r>
      <w:proofErr w:type="spellEnd"/>
      <w:r w:rsidR="00F5100D">
        <w:rPr>
          <w:rFonts w:eastAsiaTheme="minorEastAsia"/>
        </w:rPr>
        <w:t xml:space="preserve"> medium)</w:t>
      </w:r>
      <w:r>
        <w:rPr>
          <w:rFonts w:eastAsiaTheme="minorEastAsia"/>
        </w:rPr>
        <w:t xml:space="preserve">. </w:t>
      </w:r>
    </w:p>
    <w:p w14:paraId="4F660661" w14:textId="77777777" w:rsidR="00414739" w:rsidRDefault="00414739" w:rsidP="00414739">
      <w:pPr>
        <w:pStyle w:val="Heading1"/>
      </w:pPr>
      <w:r>
        <w:t>Results</w:t>
      </w:r>
    </w:p>
    <w:p w14:paraId="2FAEAF83" w14:textId="4C61B2C6" w:rsidR="00920B05" w:rsidRPr="00920B05" w:rsidRDefault="009C1D8D" w:rsidP="00920B05">
      <w:pPr>
        <w:pStyle w:val="Heading2"/>
      </w:pPr>
      <w:commentRangeStart w:id="1"/>
      <w:r>
        <w:t xml:space="preserve">Reconstruction </w:t>
      </w:r>
      <w:r w:rsidR="00920B05">
        <w:t>Statistics</w:t>
      </w:r>
      <w:commentRangeEnd w:id="1"/>
      <w:r w:rsidR="008270DA">
        <w:rPr>
          <w:rStyle w:val="CommentReference"/>
          <w:rFonts w:asciiTheme="minorHAnsi" w:eastAsiaTheme="minorHAnsi" w:hAnsiTheme="minorHAnsi" w:cstheme="minorBidi"/>
          <w:b w:val="0"/>
          <w:bCs w:val="0"/>
          <w:color w:val="auto"/>
        </w:rPr>
        <w:commentReference w:id="1"/>
      </w:r>
    </w:p>
    <w:p w14:paraId="180FA53C" w14:textId="1D8E725F" w:rsidR="00650EC2" w:rsidRDefault="00920B05" w:rsidP="004F28CF">
      <w:pPr>
        <w:spacing w:line="480" w:lineRule="auto"/>
      </w:pPr>
      <w:r>
        <w:t xml:space="preserve">The basic statistics for </w:t>
      </w:r>
      <w:r w:rsidR="00B25F12">
        <w:t>iMR540</w:t>
      </w:r>
      <w:r w:rsidR="0026382C">
        <w:t xml:space="preserve"> </w:t>
      </w:r>
      <w:r>
        <w:t>are dis</w:t>
      </w:r>
      <w:r w:rsidR="009D69A7">
        <w:t>played in Table 1</w:t>
      </w:r>
      <w:r w:rsidR="001908F4">
        <w:t>.</w:t>
      </w:r>
      <w:r w:rsidR="009D69A7">
        <w:t xml:space="preserve"> </w:t>
      </w:r>
      <w:r w:rsidR="001908F4">
        <w:t>Notably, reactions are categorized as 1) internal reactions, occurring entirely within the cytoplasm; 2) transport reactions, involving translocation of at least one chemical species across the cell membrane; 3) exchange reactions, which supply metabolites to or remove metabolites from the model. Of the 586 internal reactions in o</w:t>
      </w:r>
      <w:r w:rsidR="00091F35">
        <w:t xml:space="preserve">ur </w:t>
      </w:r>
      <w:r w:rsidR="009C1D8D">
        <w:t>network</w:t>
      </w:r>
      <w:r w:rsidR="00091F35">
        <w:t xml:space="preserve">, over </w:t>
      </w:r>
      <w:r w:rsidR="001908F4">
        <w:t>85</w:t>
      </w:r>
      <w:r w:rsidR="00091F35">
        <w:t xml:space="preserve">% of the internal reactions in our </w:t>
      </w:r>
      <w:r w:rsidR="009C1D8D">
        <w:t>reconstruction</w:t>
      </w:r>
      <w:r w:rsidR="00091F35">
        <w:t xml:space="preserve"> are associated with at least one gene. We susp</w:t>
      </w:r>
      <w:r w:rsidR="00B25F12">
        <w:t xml:space="preserve">ect that a major reason for this high percentage of </w:t>
      </w:r>
      <w:r w:rsidR="00091F35">
        <w:t>gene-associated reactions was our use of likelihood based gap</w:t>
      </w:r>
      <w:r w:rsidR="00CD3E73">
        <w:t xml:space="preserve"> </w:t>
      </w:r>
      <w:r w:rsidR="00091F35">
        <w:t xml:space="preserve">filling, which resulted in the automated addition of 66 genes to our reconstruction before we began to curate it manually. Furthermore, we relied </w:t>
      </w:r>
      <w:r w:rsidR="001908F4">
        <w:t xml:space="preserve">heavily </w:t>
      </w:r>
      <w:r w:rsidR="00091F35">
        <w:t xml:space="preserve">on biochemical knowledge from literature sources, particularly regarding recently-elucidated biosynthesis pathways that were not available in annotation databases. </w:t>
      </w:r>
      <w:r w:rsidR="009D69A7">
        <w:t xml:space="preserve">Combined, </w:t>
      </w:r>
      <w:r w:rsidR="009C1D8D">
        <w:t>our use of maximum likelihood gap</w:t>
      </w:r>
      <w:r w:rsidR="00CD3E73">
        <w:t xml:space="preserve"> </w:t>
      </w:r>
      <w:r w:rsidR="009C1D8D">
        <w:t xml:space="preserve">filling and reliance on published literature sources </w:t>
      </w:r>
      <w:r w:rsidR="00F5100D">
        <w:t>are the likely causes for our</w:t>
      </w:r>
      <w:r w:rsidR="00091F35">
        <w:t xml:space="preserve"> </w:t>
      </w:r>
      <w:r w:rsidR="009C1D8D">
        <w:t>consistent ties to gene homology</w:t>
      </w:r>
      <w:r w:rsidR="00B25F12">
        <w:t>.</w:t>
      </w:r>
    </w:p>
    <w:p w14:paraId="2B42BB27" w14:textId="75F7CE59" w:rsidR="00650EC2" w:rsidRDefault="001908F4" w:rsidP="007A2129">
      <w:pPr>
        <w:spacing w:line="480" w:lineRule="auto"/>
      </w:pPr>
      <w:r>
        <w:t>Another salient detail of our reconstruction is that it includes many “dead-end” metabolites and reactions</w:t>
      </w:r>
      <w:r w:rsidR="009C1D8D">
        <w:t xml:space="preserve"> </w:t>
      </w:r>
      <w:r w:rsidR="00650EC2">
        <w:t xml:space="preserve">that cannot be synthesized or consumed. </w:t>
      </w:r>
      <w:r w:rsidR="00D43FEF">
        <w:t>Thus, t</w:t>
      </w:r>
      <w:r w:rsidR="00650EC2">
        <w:t xml:space="preserve">hese metabolites and reactions </w:t>
      </w:r>
      <w:r w:rsidR="00D43FEF">
        <w:t xml:space="preserve">are not </w:t>
      </w:r>
      <w:r w:rsidR="00650EC2">
        <w:t xml:space="preserve">part of our </w:t>
      </w:r>
      <w:r w:rsidR="003730CF">
        <w:t>simulatable</w:t>
      </w:r>
      <w:r w:rsidR="00650EC2">
        <w:t xml:space="preserve"> model, </w:t>
      </w:r>
      <w:r w:rsidR="009C1D8D">
        <w:t xml:space="preserve">but </w:t>
      </w:r>
      <w:r w:rsidR="00650EC2">
        <w:t>we have included them in our reconstruction because they are all gene-associated</w:t>
      </w:r>
      <w:r w:rsidR="009C1D8D">
        <w:t xml:space="preserve">; </w:t>
      </w:r>
      <w:r w:rsidR="003730CF">
        <w:t xml:space="preserve">all dead end internal reactions in </w:t>
      </w:r>
      <w:r w:rsidR="009C1D8D">
        <w:t>our reconstruction</w:t>
      </w:r>
      <w:r w:rsidR="003730CF">
        <w:t xml:space="preserve"> have at least one</w:t>
      </w:r>
      <w:r w:rsidR="009C1D8D">
        <w:t xml:space="preserve"> gene</w:t>
      </w:r>
      <w:r w:rsidR="003730CF">
        <w:t xml:space="preserve"> </w:t>
      </w:r>
      <w:r w:rsidR="003730CF">
        <w:lastRenderedPageBreak/>
        <w:t>association</w:t>
      </w:r>
      <w:r w:rsidR="00650EC2">
        <w:t>. Th</w:t>
      </w:r>
      <w:r w:rsidR="00D43FEF">
        <w:t>i</w:t>
      </w:r>
      <w:r w:rsidR="00650EC2">
        <w:t xml:space="preserve">s </w:t>
      </w:r>
      <w:r w:rsidR="00D43FEF">
        <w:t xml:space="preserve">indicates </w:t>
      </w:r>
      <w:r w:rsidR="00F5100D">
        <w:t>that there is genetic evidence supporting the presence each dead end reaction</w:t>
      </w:r>
      <w:r w:rsidR="009C1D8D">
        <w:t xml:space="preserve"> and </w:t>
      </w:r>
      <w:r w:rsidR="00F5100D">
        <w:t>metabolite, thus they</w:t>
      </w:r>
      <w:r w:rsidR="00650EC2">
        <w:t xml:space="preserve"> s</w:t>
      </w:r>
      <w:r w:rsidR="00F5100D">
        <w:t>hould be involved in metabolism even though</w:t>
      </w:r>
      <w:r w:rsidR="00650EC2">
        <w:t xml:space="preserve"> we have not yet elucidated </w:t>
      </w:r>
      <w:r w:rsidR="009C1D8D">
        <w:t>full</w:t>
      </w:r>
      <w:r w:rsidR="00650EC2">
        <w:t xml:space="preserve"> synthesis or consumption pathways. They represent excellent candidates for further exploration of </w:t>
      </w:r>
      <w:r w:rsidR="00650EC2" w:rsidRPr="009C1D8D">
        <w:rPr>
          <w:i/>
        </w:rPr>
        <w:t>M</w:t>
      </w:r>
      <w:r w:rsidR="009C1D8D">
        <w:rPr>
          <w:i/>
        </w:rPr>
        <w:t>. maripaludis</w:t>
      </w:r>
      <w:r w:rsidR="00650EC2">
        <w:t xml:space="preserve"> metabolism, particularly as </w:t>
      </w:r>
      <w:r w:rsidR="00F5100D">
        <w:t>iMR540</w:t>
      </w:r>
      <w:r w:rsidR="00650EC2">
        <w:t xml:space="preserve"> is updated and expanded in the future. </w:t>
      </w:r>
    </w:p>
    <w:p w14:paraId="0116A5B6" w14:textId="0620E1D6" w:rsidR="00516D83" w:rsidRDefault="00AD0EFB" w:rsidP="007A2129">
      <w:pPr>
        <w:spacing w:line="480" w:lineRule="auto"/>
      </w:pPr>
      <w:r>
        <w:t>Conversely</w:t>
      </w:r>
      <w:r w:rsidR="00B25F12">
        <w:t>, our reconstruction contains 86</w:t>
      </w:r>
      <w:r>
        <w:t xml:space="preserve"> internal reactions that lack genes, many of which were added during automated gap filling but some of which were added manually. All of our reactions are annotated with subsystems, allowing us</w:t>
      </w:r>
      <w:r w:rsidR="00F52200">
        <w:t xml:space="preserve"> to assess where each reaction </w:t>
      </w:r>
      <w:r>
        <w:t>fits into metabolism</w:t>
      </w:r>
      <w:r w:rsidR="00F52200">
        <w:t>, including those without genes</w:t>
      </w:r>
      <w:r>
        <w:t xml:space="preserve">. Figure 1 </w:t>
      </w:r>
      <w:proofErr w:type="gramStart"/>
      <w:r>
        <w:t>shows</w:t>
      </w:r>
      <w:proofErr w:type="gramEnd"/>
      <w:r>
        <w:t xml:space="preserve"> </w:t>
      </w:r>
      <w:r w:rsidR="00F52200">
        <w:t>the</w:t>
      </w:r>
      <w:r>
        <w:t xml:space="preserve"> breakdown of reactions </w:t>
      </w:r>
      <w:r w:rsidR="00F52200">
        <w:t>without</w:t>
      </w:r>
      <w:r>
        <w:t xml:space="preserve"> genes, where the subsystems have been manually grouped into broader categories (e.g. “Amino Acid Biosynthesis” instead of “Glycine Biosynthesis”). The largest group of these reactions is the “Unique Coenzyme Syntheses”, which includes reactions that synthesize coenzyme M, coenzyme B, </w:t>
      </w:r>
      <w:proofErr w:type="spellStart"/>
      <w:r>
        <w:t>tetrahydromethanopterin</w:t>
      </w:r>
      <w:proofErr w:type="spellEnd"/>
      <w:r>
        <w:t xml:space="preserve"> (H</w:t>
      </w:r>
      <w:r w:rsidRPr="002276C9">
        <w:rPr>
          <w:vertAlign w:val="subscript"/>
        </w:rPr>
        <w:t>4</w:t>
      </w:r>
      <w:r>
        <w:t xml:space="preserve">MPT), </w:t>
      </w:r>
      <w:proofErr w:type="spellStart"/>
      <w:r>
        <w:t>methanofuran</w:t>
      </w:r>
      <w:proofErr w:type="spellEnd"/>
      <w:r>
        <w:t>, coenzyme F</w:t>
      </w:r>
      <w:r w:rsidRPr="00AD0EFB">
        <w:rPr>
          <w:vertAlign w:val="subscript"/>
        </w:rPr>
        <w:t>420</w:t>
      </w:r>
      <w:r>
        <w:t>, and coenzyme F</w:t>
      </w:r>
      <w:r w:rsidRPr="00AD0EFB">
        <w:rPr>
          <w:vertAlign w:val="subscript"/>
        </w:rPr>
        <w:t>430</w:t>
      </w:r>
      <w:r>
        <w:t xml:space="preserve">. Although these 24 reactions lack genes, all of them were added manually as hypothetical steps to complete essential biosynthetic pathways and are based on information from biochemical literature. These are distinct from, for example, the 11 reactions </w:t>
      </w:r>
      <w:r w:rsidR="00516D83">
        <w:t>encompassed by “Vitamin and Cofactor Synthesis” that were added to fill biosynthesis gaps but have no supporting literature evidence</w:t>
      </w:r>
      <w:r w:rsidR="004C3845">
        <w:t xml:space="preserve">. </w:t>
      </w:r>
      <w:r w:rsidR="00516D83">
        <w:t xml:space="preserve">We expect that as </w:t>
      </w:r>
      <w:r w:rsidR="003730CF">
        <w:t xml:space="preserve">experimental research groups uncover more </w:t>
      </w:r>
      <w:r w:rsidR="00516D83">
        <w:t>biochemical</w:t>
      </w:r>
      <w:r w:rsidR="003730CF">
        <w:t xml:space="preserve"> phenomena, </w:t>
      </w:r>
      <w:r w:rsidR="00D43FEF">
        <w:t xml:space="preserve">they will determine genes that tie to the </w:t>
      </w:r>
      <w:r w:rsidR="00516D83">
        <w:t xml:space="preserve">reactions in </w:t>
      </w:r>
      <w:r w:rsidR="004C3845">
        <w:t>the</w:t>
      </w:r>
      <w:r w:rsidR="00516D83">
        <w:t xml:space="preserve"> </w:t>
      </w:r>
      <w:r w:rsidR="004C3845">
        <w:t>form</w:t>
      </w:r>
      <w:r w:rsidR="00516D83">
        <w:t>er group</w:t>
      </w:r>
      <w:r w:rsidR="00D43FEF">
        <w:t>. T</w:t>
      </w:r>
      <w:r w:rsidR="00516D83">
        <w:t>he gap</w:t>
      </w:r>
      <w:r w:rsidR="00CD3E73">
        <w:t xml:space="preserve"> </w:t>
      </w:r>
      <w:r w:rsidR="00516D83">
        <w:t xml:space="preserve">filling reactions, much like dead end reactions and metabolites, point us toward </w:t>
      </w:r>
      <w:r w:rsidR="00D43FEF">
        <w:t xml:space="preserve">poorly-understood </w:t>
      </w:r>
      <w:r w:rsidR="00516D83">
        <w:t>areas of metabolism in our organism and require more investigation</w:t>
      </w:r>
      <w:r w:rsidR="00D43FEF">
        <w:t xml:space="preserve"> into both the reaction pathways and their associated genes</w:t>
      </w:r>
      <w:r w:rsidR="00516D83">
        <w:t xml:space="preserve">. </w:t>
      </w:r>
    </w:p>
    <w:p w14:paraId="0960276C" w14:textId="1AE06626" w:rsidR="004F28CF" w:rsidRDefault="00F52200" w:rsidP="007A2129">
      <w:pPr>
        <w:spacing w:line="480" w:lineRule="auto"/>
      </w:pPr>
      <w:r>
        <w:lastRenderedPageBreak/>
        <w:t>As an additional feature of our reconstruction, o</w:t>
      </w:r>
      <w:r w:rsidR="003730CF">
        <w:t>ur</w:t>
      </w:r>
      <w:r w:rsidR="00516D83">
        <w:t xml:space="preserve"> use of likelihood based gap filling not only </w:t>
      </w:r>
      <w:r>
        <w:t>filled network gaps</w:t>
      </w:r>
      <w:r w:rsidR="00516D83">
        <w:t xml:space="preserve"> but also </w:t>
      </w:r>
      <w:r w:rsidR="009253F0">
        <w:t>assign</w:t>
      </w:r>
      <w:r>
        <w:t>ed</w:t>
      </w:r>
      <w:r w:rsidR="009253F0">
        <w:t xml:space="preserve"> likelihood scores for</w:t>
      </w:r>
      <w:r w:rsidR="009C1D8D">
        <w:t xml:space="preserve"> many of the reactions in</w:t>
      </w:r>
      <w:r w:rsidR="003730CF">
        <w:t xml:space="preserve"> the reconstruction. These confidence scores quantify the probability of a given reaction being part of the metabolic reconstruction on a scale of 0-1 and</w:t>
      </w:r>
      <w:r w:rsidR="004F28CF">
        <w:t xml:space="preserve"> provide a novel metric of evaluating our confidence in the </w:t>
      </w:r>
      <w:r w:rsidR="003730CF">
        <w:t>reconstruction</w:t>
      </w:r>
      <w:r w:rsidR="004F28CF">
        <w:t xml:space="preserve">. </w:t>
      </w:r>
      <w:r w:rsidR="00516D83">
        <w:t>We can then use the</w:t>
      </w:r>
      <w:r w:rsidR="004F28CF">
        <w:t xml:space="preserve"> scores allow us to quickly hone in on</w:t>
      </w:r>
      <w:r w:rsidR="001F7E98">
        <w:t xml:space="preserve"> both reactions that lack genes and gene-associated reactions</w:t>
      </w:r>
      <w:r w:rsidR="004F28CF">
        <w:t xml:space="preserve"> with low gene homology as possible targets for more experimental investigation. </w:t>
      </w:r>
      <w:r w:rsidR="009253F0">
        <w:t xml:space="preserve">They also provide a logical starting point for future users looking to expand upon and improve the existing reconstruction. </w:t>
      </w:r>
    </w:p>
    <w:p w14:paraId="48634204" w14:textId="2E8774DB" w:rsidR="00EF5BC0" w:rsidRDefault="00EF5BC0" w:rsidP="00EF5BC0">
      <w:pPr>
        <w:pStyle w:val="Heading2"/>
      </w:pPr>
      <w:r>
        <w:t>Effects of Electron Bifurcation</w:t>
      </w:r>
    </w:p>
    <w:p w14:paraId="7BA3120F" w14:textId="168E3885" w:rsidR="00EF5BC0" w:rsidRDefault="00EF5BC0" w:rsidP="00EF5BC0">
      <w:pPr>
        <w:spacing w:line="480" w:lineRule="auto"/>
      </w:pPr>
      <w:r>
        <w:t>It has been often assumed that the methanogenic pathway is linear with two main membrane complexes for</w:t>
      </w:r>
      <w:r w:rsidR="004C3845">
        <w:t xml:space="preserve"> generating membrane potential: the ion-translocating </w:t>
      </w:r>
      <w:proofErr w:type="spellStart"/>
      <w:r w:rsidR="004C3845">
        <w:t>Mtr</w:t>
      </w:r>
      <w:proofErr w:type="spellEnd"/>
      <w:r w:rsidR="004C3845">
        <w:t xml:space="preserve"> and a membrane-bound </w:t>
      </w:r>
      <w:r>
        <w:t>heterodisulfide complex (</w:t>
      </w:r>
      <w:proofErr w:type="spellStart"/>
      <w:r>
        <w:t>HdrDE</w:t>
      </w:r>
      <w:proofErr w:type="spellEnd"/>
      <w:r>
        <w:t xml:space="preserve">).  Without the membrane bound type heterodisulfide reductase of methylotrophic methanogens, </w:t>
      </w:r>
      <w:r w:rsidRPr="00A47448">
        <w:rPr>
          <w:i/>
        </w:rPr>
        <w:t>M. maripaludis</w:t>
      </w:r>
      <w:r>
        <w:rPr>
          <w:i/>
        </w:rPr>
        <w:t xml:space="preserve"> </w:t>
      </w:r>
      <w:r>
        <w:t>lacks one critical energetic coupling site to generate energy for growth. However, it has a cytoplasmic heterodisulfide reductase that conserves energy by an increasingly recognized form of energy conservation in strict anaerobes involving electron bifurcation (</w:t>
      </w:r>
      <w:r w:rsidRPr="008270DA">
        <w:rPr>
          <w:highlight w:val="yellow"/>
        </w:rPr>
        <w:t>refs</w:t>
      </w:r>
      <w:r>
        <w:t xml:space="preserve">). As described above, this links the last step of </w:t>
      </w:r>
      <w:proofErr w:type="spellStart"/>
      <w:r>
        <w:t>methanogensis</w:t>
      </w:r>
      <w:proofErr w:type="spellEnd"/>
      <w:r>
        <w:t xml:space="preserve"> to the first step by </w:t>
      </w:r>
      <w:proofErr w:type="spellStart"/>
      <w:r>
        <w:t>exergonically</w:t>
      </w:r>
      <w:proofErr w:type="spellEnd"/>
      <w:r>
        <w:t xml:space="preserve"> driving the endergonic reduction of the 1</w:t>
      </w:r>
      <w:r w:rsidRPr="002607EE">
        <w:rPr>
          <w:vertAlign w:val="superscript"/>
        </w:rPr>
        <w:t>st</w:t>
      </w:r>
      <w:r>
        <w:t xml:space="preserve"> step resulting in a circular pathway (</w:t>
      </w:r>
      <w:r w:rsidRPr="008270DA">
        <w:rPr>
          <w:highlight w:val="yellow"/>
        </w:rPr>
        <w:t>ref</w:t>
      </w:r>
      <w:r>
        <w:t xml:space="preserve">). This is noteworthy because the assumption of a linear pathway in </w:t>
      </w:r>
      <w:r>
        <w:rPr>
          <w:i/>
        </w:rPr>
        <w:t>M. maripaludis</w:t>
      </w:r>
      <w:r>
        <w:t xml:space="preserve"> without accounting for electron bifurcation can affect the downstream predictions in the metabolic </w:t>
      </w:r>
      <w:r w:rsidR="004C3845">
        <w:t>model</w:t>
      </w:r>
      <w:r>
        <w:t>.</w:t>
      </w:r>
    </w:p>
    <w:p w14:paraId="345F5C25" w14:textId="6DBA03B4" w:rsidR="00EF5BC0" w:rsidRDefault="00EF5BC0" w:rsidP="00EF5BC0">
      <w:pPr>
        <w:spacing w:line="480" w:lineRule="auto"/>
      </w:pPr>
      <w:r>
        <w:t xml:space="preserve">Because it is a relatively novel mechanism of energy conservation, this heterodisulfide reduction step was not part of our annotation database and thus was not included in the automated first reconstruction draft. Rather, the default mechanism of energy conservation matched </w:t>
      </w:r>
      <w:r>
        <w:lastRenderedPageBreak/>
        <w:t xml:space="preserve">methylotrophic methanogens and utilized methanophenazine, an electron carrier known to be absent from </w:t>
      </w:r>
      <w:r>
        <w:rPr>
          <w:i/>
        </w:rPr>
        <w:t>M. maripaludis</w:t>
      </w:r>
      <w:r>
        <w:t xml:space="preserve"> and other hydrogenotrophic methanogens. We replaced the methylotrophic pathway with the correct electron bifurcation pathway, linking heterodisulfide reduction with electrons from H</w:t>
      </w:r>
      <w:r w:rsidRPr="000F6195">
        <w:rPr>
          <w:vertAlign w:val="subscript"/>
        </w:rPr>
        <w:t>2</w:t>
      </w:r>
      <w:r>
        <w:t xml:space="preserve"> to carbon dioxide reduction via reduced ferredoxin. </w:t>
      </w:r>
      <w:commentRangeStart w:id="2"/>
      <w:r>
        <w:t xml:space="preserve">This </w:t>
      </w:r>
      <w:r w:rsidR="004C3845">
        <w:t>case</w:t>
      </w:r>
      <w:r>
        <w:t xml:space="preserve"> serves as an example of a commonly-encountered reconstruction pitfall, in which information available in annotation databases does not sufficiently represent known biochemical phenomena. Therefore, it is paramount that even as automated reconstruction methods improve, we take the time to carefully evaluate biochemical literature maximize consistency of the reconstruction with experimentally-verified pathways.</w:t>
      </w:r>
      <w:commentRangeEnd w:id="2"/>
      <w:r w:rsidR="004C3845">
        <w:rPr>
          <w:rStyle w:val="CommentReference"/>
          <w:rFonts w:asciiTheme="minorHAnsi" w:hAnsiTheme="minorHAnsi"/>
        </w:rPr>
        <w:commentReference w:id="2"/>
      </w:r>
    </w:p>
    <w:p w14:paraId="61B6AC86" w14:textId="664D4934" w:rsidR="00713837" w:rsidRDefault="00EF5BC0" w:rsidP="00EF5BC0">
      <w:pPr>
        <w:spacing w:line="480" w:lineRule="auto"/>
      </w:pPr>
      <w:r>
        <w:t>To demonstrate the importance of ferredoxin reduction v</w:t>
      </w:r>
      <w:r w:rsidR="00713837">
        <w:t>ia bifurcation, we altered the existing bifurcating heterodisulfide reductase (</w:t>
      </w:r>
      <w:proofErr w:type="spellStart"/>
      <w:r w:rsidR="00713837">
        <w:t>Hdr</w:t>
      </w:r>
      <w:r w:rsidR="004C3845">
        <w:t>ABC</w:t>
      </w:r>
      <w:proofErr w:type="spellEnd"/>
      <w:r w:rsidR="00713837">
        <w:t>) reaction:</w:t>
      </w:r>
    </w:p>
    <w:p w14:paraId="276E216D" w14:textId="3F7408E2" w:rsidR="00713837" w:rsidRDefault="00713837" w:rsidP="00EF5BC0">
      <w:pPr>
        <w:spacing w:line="480" w:lineRule="auto"/>
      </w:pPr>
      <m:oMathPara>
        <m:oMath>
          <m:r>
            <w:rPr>
              <w:rFonts w:ascii="Cambria Math" w:hAnsi="Cambria Math"/>
            </w:rPr>
            <m:t>CoB-S-S-CoM+</m:t>
          </m:r>
          <m:sSub>
            <m:sSubPr>
              <m:ctrlPr>
                <w:rPr>
                  <w:rFonts w:ascii="Cambria Math" w:hAnsi="Cambria Math"/>
                  <w:i/>
                </w:rPr>
              </m:ctrlPr>
            </m:sSubPr>
            <m:e>
              <m:r>
                <w:rPr>
                  <w:rFonts w:ascii="Cambria Math" w:hAnsi="Cambria Math"/>
                </w:rPr>
                <m:t>2 H</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Fd</m:t>
              </m:r>
            </m:e>
            <m:sub>
              <m:r>
                <w:rPr>
                  <w:rFonts w:ascii="Cambria Math" w:hAnsi="Cambria Math"/>
                </w:rPr>
                <m:t>ox</m:t>
              </m:r>
            </m:sub>
          </m:sSub>
          <m:r>
            <w:rPr>
              <w:rFonts w:ascii="Cambria Math" w:hAnsi="Cambria Math"/>
            </w:rPr>
            <m:t>⇌HS-CoB+HS-CoM+</m:t>
          </m:r>
          <m:sSub>
            <m:sSubPr>
              <m:ctrlPr>
                <w:rPr>
                  <w:rFonts w:ascii="Cambria Math" w:hAnsi="Cambria Math"/>
                  <w:i/>
                </w:rPr>
              </m:ctrlPr>
            </m:sSubPr>
            <m:e>
              <m:r>
                <w:rPr>
                  <w:rFonts w:ascii="Cambria Math" w:hAnsi="Cambria Math"/>
                </w:rPr>
                <m:t xml:space="preserve">2 </m:t>
              </m:r>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+Fd</m:t>
              </m:r>
            </m:e>
            <m:sub>
              <m:r>
                <w:rPr>
                  <w:rFonts w:ascii="Cambria Math" w:hAnsi="Cambria Math"/>
                </w:rPr>
                <m:t>rd</m:t>
              </m:r>
            </m:sub>
          </m:sSub>
          <m:r>
            <w:rPr>
              <w:rFonts w:ascii="Cambria Math" w:hAnsi="Cambria Math"/>
            </w:rPr>
            <m:t xml:space="preserve"> </m:t>
          </m:r>
        </m:oMath>
      </m:oMathPara>
    </w:p>
    <w:p w14:paraId="7490A1C7" w14:textId="7323C4D9" w:rsidR="00EF5BC0" w:rsidRPr="00713837" w:rsidRDefault="00713837" w:rsidP="00EF5BC0">
      <w:pPr>
        <w:spacing w:line="480" w:lineRule="auto"/>
        <w:rPr>
          <w:rFonts w:eastAsiaTheme="minorEastAsia"/>
        </w:rPr>
      </w:pPr>
      <w:r>
        <w:t>We removed ferredoxin from this reaction, balancing mass and charge to yield:</w:t>
      </w:r>
      <m:oMath>
        <m:r>
          <m:rPr>
            <m:sty m:val="p"/>
          </m:rPr>
          <w:rPr>
            <w:rFonts w:ascii="Cambria Math" w:hAnsi="Cambria Math"/>
          </w:rPr>
          <w:br/>
        </m:r>
      </m:oMath>
      <m:oMathPara>
        <m:oMath>
          <m:r>
            <w:rPr>
              <w:rFonts w:ascii="Cambria Math" w:hAnsi="Cambria Math"/>
            </w:rPr>
            <m:t>CoB-S-S-CoM+</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 xml:space="preserve">⇌HS-CoB+HS-CoM </m:t>
          </m:r>
        </m:oMath>
      </m:oMathPara>
    </w:p>
    <w:p w14:paraId="23FB4B3D" w14:textId="371FCE8B" w:rsidR="00105926" w:rsidRDefault="00713837" w:rsidP="00EF5BC0">
      <w:pPr>
        <w:spacing w:line="480" w:lineRule="auto"/>
      </w:pPr>
      <w:r>
        <w:t xml:space="preserve">This scenario represented </w:t>
      </w:r>
      <w:r w:rsidR="00105926">
        <w:t xml:space="preserve">a case where </w:t>
      </w:r>
      <w:r w:rsidR="00105926">
        <w:rPr>
          <w:i/>
        </w:rPr>
        <w:t xml:space="preserve">M. maripaludis </w:t>
      </w:r>
      <w:r w:rsidR="00105926">
        <w:t xml:space="preserve">would not contain a membrane-bound </w:t>
      </w:r>
      <w:proofErr w:type="spellStart"/>
      <w:r w:rsidR="00105926">
        <w:t>Hdr</w:t>
      </w:r>
      <w:r w:rsidR="00CF5D54">
        <w:t>DE</w:t>
      </w:r>
      <w:proofErr w:type="spellEnd"/>
      <w:r w:rsidR="00105926">
        <w:t xml:space="preserve"> complex but could not perform electron bifurcation. We optimized our model for growth on CO</w:t>
      </w:r>
      <w:r w:rsidR="00105926" w:rsidRPr="00105926">
        <w:rPr>
          <w:vertAlign w:val="subscript"/>
        </w:rPr>
        <w:t>2</w:t>
      </w:r>
      <w:r w:rsidR="00105926">
        <w:t xml:space="preserve"> + H</w:t>
      </w:r>
      <w:r w:rsidR="00105926" w:rsidRPr="00105926">
        <w:rPr>
          <w:vertAlign w:val="subscript"/>
        </w:rPr>
        <w:t>2</w:t>
      </w:r>
      <w:r w:rsidR="00105926">
        <w:t xml:space="preserve"> using this model and were unable to predict </w:t>
      </w:r>
      <w:r w:rsidR="00105926">
        <w:rPr>
          <w:i/>
        </w:rPr>
        <w:t xml:space="preserve">in silico </w:t>
      </w:r>
      <w:r w:rsidR="00105926">
        <w:t xml:space="preserve">growth, </w:t>
      </w:r>
      <w:r w:rsidR="00CF5D54">
        <w:t>supporting the observation</w:t>
      </w:r>
      <w:r w:rsidR="00105926">
        <w:t xml:space="preserve"> that the ferredoxin reduction via electron bifurcation is an essential part of our network. Lack of model growth can be clearly attributed to disruption of the central energy conservation mechanism in </w:t>
      </w:r>
      <w:r w:rsidR="00105926">
        <w:rPr>
          <w:i/>
        </w:rPr>
        <w:t>M. maripaludis</w:t>
      </w:r>
      <w:r w:rsidR="00105926">
        <w:t>, in which electron bifurcation must necessarily reduce ferredoxin for reducing CO</w:t>
      </w:r>
      <w:r w:rsidR="00105926" w:rsidRPr="00105926">
        <w:rPr>
          <w:vertAlign w:val="subscript"/>
        </w:rPr>
        <w:t>2</w:t>
      </w:r>
      <w:r w:rsidR="00105926">
        <w:t xml:space="preserve">. The only other complex capable of generating large amounts of reduced ferredoxin is the </w:t>
      </w:r>
      <w:proofErr w:type="spellStart"/>
      <w:r w:rsidR="00105926">
        <w:t>Eha</w:t>
      </w:r>
      <w:proofErr w:type="spellEnd"/>
      <w:r w:rsidR="00105926">
        <w:t xml:space="preserve"> hydrogenase, which utilizes a sodium ion gradient to </w:t>
      </w:r>
      <w:r w:rsidR="00105926">
        <w:lastRenderedPageBreak/>
        <w:t>r</w:t>
      </w:r>
      <w:r w:rsidR="00853534">
        <w:t>educe ferredoxin on a 1:1 basis. S</w:t>
      </w:r>
      <w:r w:rsidR="00105926">
        <w:t xml:space="preserve">imilarly, </w:t>
      </w:r>
      <w:r w:rsidR="0080785B">
        <w:t>CO2 reduction to methane requires reduced ferredoxin and pumps out sodium ions on a 1:1 basis. Thus, each cycle of methanogenesis in this scenario effectively produces no sodium ion gradient for synthesizing ATP, the central component necessary for biomass formation. Add</w:t>
      </w:r>
      <w:r w:rsidR="00CF5D54">
        <w:t>itionally, methanogenesis also loses</w:t>
      </w:r>
      <w:r w:rsidR="0080785B">
        <w:t xml:space="preserve"> small amounts of carbon for biosynthesis; hence, reducing one ferredoxin effectively pumps less than one sodium ion across the cell membrane and creates an overall energy deficit. </w:t>
      </w:r>
      <w:r w:rsidR="00853534">
        <w:t xml:space="preserve">Overall, this simulation illustrates the essentiality of ferredoxin reduction via electron bifurcation and reinforces the idea that </w:t>
      </w:r>
      <w:proofErr w:type="spellStart"/>
      <w:r w:rsidR="00CF5D54">
        <w:t>Eha</w:t>
      </w:r>
      <w:proofErr w:type="spellEnd"/>
      <w:r w:rsidR="00853534">
        <w:t xml:space="preserve"> hydrogenase can play only an anaplerotic role in methanogenesis </w:t>
      </w:r>
      <w:r w:rsidR="00853534">
        <w:fldChar w:fldCharType="begin"/>
      </w:r>
      <w:r w:rsidR="00F5100D">
        <w:instrText xml:space="preserve"> ADDIN ZOTERO_ITEM CSL_CITATION {"citationID":"2dljuucmmq","properties":{"formattedCitation":"(33)","plainCitation":"(33)"},"citationItems":[{"id":354,"uris":["http://zotero.org/users/2565720/items/IDJDZ2SU"],"uri":["http://zotero.org/users/2565720/items/IDJDZ2SU"],"itemData":{"id":354,"type":"article-journal","title":"Essential anaplerotic role for the energy-converting hydrogenase Eha in hydrogenotrophic methanogenesis","container-title":"Proceedings of the National Academy of Sciences","page":"15473-15478","volume":"109","issue":"38","source":"www.pnas.org","abstract":"Despite decades of study, electron flow and energy conservation in methanogenic Archaea are still not thoroughly understood. For methanogens without cytochromes, flavin-based electron bifurcation has been proposed as an essential energy-conserving mechanism that couples exergonic and endergonic reactions of methanogenesis. However, an alternative hypothesis posits that the energy-converting hydrogenase Eha provides a chemiosmosis-driven electron input to the endergonic reaction. In vivo evidence for both hypotheses is incomplete. By genetically eliminating all nonessential pathways of H2 metabolism in the model methanogen Methanococcus maripaludis and using formate as an additional electron donor, we isolate electron flow for methanogenesis from flux through Eha. We find that Eha does not function stoichiometrically for methanogenesis, implying that electron bifurcation must operate in vivo. We show that Eha is nevertheless essential, and a substoichiometric requirement for H2 suggests that its role is anaplerotic. Indeed, H2 via Eha stimulates methanogenesis from formate when intermediates are not otherwise replenished. These results fit the model for electron bifurcation, which renders the methanogenic pathway cyclic, and as such requires the replenishment of intermediates. Defining a role for Eha and verifying electron bifurcation provide a complete model of methanogenesis where all necessary electron inputs are accounted for.","DOI":"10.1073/pnas.1208779109","ISSN":"0027-8424, 1091-6490","note":"PMID: 22872868","journalAbbreviation":"PNAS","language":"en","author":[{"family":"Lie","given":"Thomas J."},{"family":"Costa","given":"Kyle C."},{"family":"Lupa","given":"Boguslaw"},{"family":"Korpole","given":"Suresh"},{"family":"Whitman","given":"William B."},{"family":"Leigh","given":"John A."}],"issued":{"date-parts":[["2012",9,18]]},"PMID":"22872868"}}],"schema":"https://github.com/citation-style-language/schema/raw/master/csl-citation.json"} </w:instrText>
      </w:r>
      <w:r w:rsidR="00853534">
        <w:fldChar w:fldCharType="separate"/>
      </w:r>
      <w:r w:rsidR="00552A03" w:rsidRPr="00552A03">
        <w:rPr>
          <w:rFonts w:cs="Times New Roman"/>
        </w:rPr>
        <w:t>(33)</w:t>
      </w:r>
      <w:r w:rsidR="00853534">
        <w:fldChar w:fldCharType="end"/>
      </w:r>
      <w:r w:rsidR="00853534">
        <w:t xml:space="preserve">. </w:t>
      </w:r>
    </w:p>
    <w:p w14:paraId="1DE19B1E" w14:textId="2A4FD5F2" w:rsidR="00F877E6" w:rsidRPr="005C4FC4" w:rsidRDefault="00F877E6" w:rsidP="00EF5BC0">
      <w:pPr>
        <w:spacing w:line="480" w:lineRule="auto"/>
      </w:pPr>
      <w:commentRangeStart w:id="3"/>
      <w:r>
        <w:t>Taking</w:t>
      </w:r>
      <w:commentRangeEnd w:id="3"/>
      <w:r>
        <w:rPr>
          <w:rStyle w:val="CommentReference"/>
          <w:rFonts w:asciiTheme="minorHAnsi" w:hAnsiTheme="minorHAnsi"/>
        </w:rPr>
        <w:commentReference w:id="3"/>
      </w:r>
      <w:r>
        <w:t xml:space="preserve"> this analysis one step further, we used our reconstruction to probe into acetate assimilation, </w:t>
      </w:r>
      <w:r w:rsidR="00276128">
        <w:t>a supplemental</w:t>
      </w:r>
      <w:r>
        <w:t xml:space="preserve"> pathway in </w:t>
      </w:r>
      <w:r>
        <w:rPr>
          <w:i/>
        </w:rPr>
        <w:t xml:space="preserve">M. maripaludis </w:t>
      </w:r>
      <w:r>
        <w:t>t</w:t>
      </w:r>
      <w:r w:rsidR="00276128">
        <w:t xml:space="preserve">hat can enhance but not fully support organism growth </w:t>
      </w:r>
      <w:r w:rsidR="00276128">
        <w:fldChar w:fldCharType="begin"/>
      </w:r>
      <w:r w:rsidR="00F5100D">
        <w:instrText xml:space="preserve"> ADDIN ZOTERO_ITEM CSL_CITATION {"citationID":"mg5us3ref","properties":{"formattedCitation":"(42)","plainCitation":"(42)"},"citationItems":[{"id":450,"uris":["http://zotero.org/users/2565720/items/MVBZ2QJT"],"uri":["http://zotero.org/users/2565720/items/MVBZ2QJT"],"itemData":{"id":450,"type":"article-journal","title":"Pathway of acetate assimilation in autotrophic and heterotrophic methanococci.","container-title":"Journal of Bacteriology","page":"5327-5329","volume":"169","issue":"11","source":"jb.asm.org","abstract":"The autotroph Methanococcus maripaludis contained high levels of acetate-coenzyme A ligase, pyruvate synthase, pyruvate, water dikinase, pyruvate carboxylase, and the enzymes of the incomplete reductive tricarboxylic acid cycle. Phosphoenolpyruvate carboxykinase, citrate synthase, and isocitrate dehydrogenase were not detected. In contrast, the heterotroph Methanococcus sp. strain A3 contained acetate kinase, and acetate coenzyme A ligase was virtually absent.","ISSN":"0021-9193, 1098-5530","note":"PMID: 3667534","journalAbbreviation":"J. Bacteriol.","language":"en","author":[{"family":"Shieh","given":"J. S."},{"family":"Whitman","given":"W. B."}],"issued":{"date-parts":[["1987",11,1]]},"PMID":"3667534"}}],"schema":"https://github.com/citation-style-language/schema/raw/master/csl-citation.json"} </w:instrText>
      </w:r>
      <w:r w:rsidR="00276128">
        <w:fldChar w:fldCharType="separate"/>
      </w:r>
      <w:r w:rsidR="00F5100D" w:rsidRPr="00F5100D">
        <w:rPr>
          <w:rFonts w:cs="Times New Roman"/>
        </w:rPr>
        <w:t>(42)</w:t>
      </w:r>
      <w:r w:rsidR="00276128">
        <w:fldChar w:fldCharType="end"/>
      </w:r>
      <w:r w:rsidR="00276128">
        <w:t xml:space="preserve">. This is in contrast to other methanogens such as </w:t>
      </w:r>
      <w:r w:rsidR="00276128">
        <w:rPr>
          <w:i/>
        </w:rPr>
        <w:t>Methanosarcina barkeri</w:t>
      </w:r>
      <w:r w:rsidR="00276128">
        <w:t xml:space="preserve">, which can subsist using solely the </w:t>
      </w:r>
      <w:proofErr w:type="spellStart"/>
      <w:r w:rsidR="00276128">
        <w:t>aceticlastic</w:t>
      </w:r>
      <w:proofErr w:type="spellEnd"/>
      <w:r w:rsidR="00276128">
        <w:t xml:space="preserve"> pathway </w:t>
      </w:r>
      <w:r w:rsidR="00276128">
        <w:fldChar w:fldCharType="begin"/>
      </w:r>
      <w:r w:rsidR="00F5100D">
        <w:instrText xml:space="preserve"> ADDIN ZOTERO_ITEM CSL_CITATION {"citationID":"1bs1pkv7m0","properties":{"formattedCitation":"(43)","plainCitation":"(43)"},"citationItems":[{"id":138,"uris":["http://zotero.org/users/2565720/items/DB3AGUAB"],"uri":["http://zotero.org/users/2565720/items/DB3AGUAB"],"itemData":{"id":138,"type":"article-journal","title":"Loss of the &lt;i&gt;mtr&lt;/i&gt; operon in &lt;i&gt;Methanosarcina&lt;/i&gt; blocks growth on methanol, but not methanogenesis, and reveals an unknown methanogenic pathway","container-title":"Proceedings of the National Academy of Sciences of the United States of America","page":"10664–10669","volume":"102","issue":"30","source":"Google Scholar","author":[{"family":"Welander","given":"Paula V."},{"family":"Metcalf","given":"William W."}],"issued":{"date-parts":[["2005"]]}}}],"schema":"https://github.com/citation-style-language/schema/raw/master/csl-citation.json"} </w:instrText>
      </w:r>
      <w:r w:rsidR="00276128">
        <w:fldChar w:fldCharType="separate"/>
      </w:r>
      <w:r w:rsidR="00F5100D" w:rsidRPr="00F5100D">
        <w:rPr>
          <w:rFonts w:cs="Times New Roman"/>
        </w:rPr>
        <w:t>(43)</w:t>
      </w:r>
      <w:r w:rsidR="00276128">
        <w:fldChar w:fldCharType="end"/>
      </w:r>
      <w:r w:rsidR="00276128">
        <w:t xml:space="preserve">. Though it is unknown exactly why </w:t>
      </w:r>
      <w:r w:rsidR="00276128">
        <w:rPr>
          <w:i/>
        </w:rPr>
        <w:t xml:space="preserve">M. maripaludis </w:t>
      </w:r>
      <w:r w:rsidR="00276128">
        <w:t xml:space="preserve">cannot be grown on acetate alone, </w:t>
      </w:r>
      <w:r w:rsidR="005C4FC4">
        <w:t xml:space="preserve">our reconstruction did not reveal any strictly stoichiometric obstacle to growth. However, much like the pathway in </w:t>
      </w:r>
      <w:r w:rsidR="005C4FC4">
        <w:rPr>
          <w:i/>
        </w:rPr>
        <w:t xml:space="preserve">M. barkeri, </w:t>
      </w:r>
      <w:r w:rsidR="005C4FC4">
        <w:t xml:space="preserve">the aceticlastic pathway in </w:t>
      </w:r>
      <w:r w:rsidR="005C4FC4">
        <w:rPr>
          <w:i/>
        </w:rPr>
        <w:t xml:space="preserve">M. maripaludis </w:t>
      </w:r>
      <w:r w:rsidR="005C4FC4">
        <w:t xml:space="preserve">requires </w:t>
      </w:r>
      <w:proofErr w:type="spellStart"/>
      <w:r w:rsidR="005C4FC4">
        <w:t>Eha</w:t>
      </w:r>
      <w:proofErr w:type="spellEnd"/>
      <w:r w:rsidR="005C4FC4">
        <w:t>/</w:t>
      </w:r>
      <w:proofErr w:type="spellStart"/>
      <w:r w:rsidR="005C4FC4">
        <w:t>Ehb</w:t>
      </w:r>
      <w:proofErr w:type="spellEnd"/>
      <w:r w:rsidR="005C4FC4">
        <w:t xml:space="preserve"> hydrogenase as a sink for reduced ferredoxin, thus thrusting this reaction into a central role rather than an anaplerotic one. Indeed, when we simulated our</w:t>
      </w:r>
      <w:r w:rsidR="00276128">
        <w:t xml:space="preserve"> </w:t>
      </w:r>
      <w:r w:rsidR="005C4FC4">
        <w:t xml:space="preserve">model and allowed </w:t>
      </w:r>
      <w:proofErr w:type="spellStart"/>
      <w:r w:rsidR="005C4FC4">
        <w:t>Eha</w:t>
      </w:r>
      <w:proofErr w:type="spellEnd"/>
      <w:r w:rsidR="005C4FC4">
        <w:t>/</w:t>
      </w:r>
      <w:proofErr w:type="spellStart"/>
      <w:r w:rsidR="005C4FC4">
        <w:t>Ehb</w:t>
      </w:r>
      <w:proofErr w:type="spellEnd"/>
      <w:r w:rsidR="005C4FC4">
        <w:t xml:space="preserve"> unlimited flux, we could predict </w:t>
      </w:r>
      <w:proofErr w:type="spellStart"/>
      <w:r w:rsidR="005C4FC4">
        <w:t>aceticlastic</w:t>
      </w:r>
      <w:proofErr w:type="spellEnd"/>
      <w:r w:rsidR="005C4FC4">
        <w:t xml:space="preserve"> growth, with </w:t>
      </w:r>
      <w:proofErr w:type="spellStart"/>
      <w:r w:rsidR="005C4FC4">
        <w:t>Eha</w:t>
      </w:r>
      <w:proofErr w:type="spellEnd"/>
      <w:r w:rsidR="005C4FC4">
        <w:t>/</w:t>
      </w:r>
      <w:proofErr w:type="spellStart"/>
      <w:r w:rsidR="005C4FC4">
        <w:t>Ehb</w:t>
      </w:r>
      <w:proofErr w:type="spellEnd"/>
      <w:r w:rsidR="005C4FC4">
        <w:t xml:space="preserve"> oxidizing approximately two moles of ferredoxin per methane produced. We then constrained our model to enforce the central energy-conserving role of bifurcation by limiting the magnitude of flux through the </w:t>
      </w:r>
      <w:proofErr w:type="spellStart"/>
      <w:r w:rsidR="005C4FC4">
        <w:t>Eha</w:t>
      </w:r>
      <w:proofErr w:type="spellEnd"/>
      <w:r w:rsidR="005C4FC4">
        <w:t>/</w:t>
      </w:r>
      <w:proofErr w:type="spellStart"/>
      <w:r w:rsidR="005C4FC4">
        <w:t>Ehb</w:t>
      </w:r>
      <w:proofErr w:type="spellEnd"/>
      <w:r w:rsidR="005C4FC4">
        <w:t xml:space="preserve"> reaction to 10% that of methane secretion rate. Doing so prevented our model from predicting growth from acetate alone, but did not restrict hydrogenotrophic growth or supplementary acetate uptake. This simulation supports the </w:t>
      </w:r>
      <w:r w:rsidR="005C4FC4">
        <w:lastRenderedPageBreak/>
        <w:t xml:space="preserve">hypothesis that </w:t>
      </w:r>
      <w:r w:rsidR="005C4FC4">
        <w:rPr>
          <w:i/>
        </w:rPr>
        <w:t xml:space="preserve">M. maripaludis </w:t>
      </w:r>
      <w:r w:rsidR="005C4FC4">
        <w:t xml:space="preserve">cannot achieve </w:t>
      </w:r>
      <w:proofErr w:type="spellStart"/>
      <w:r w:rsidR="005C4FC4">
        <w:t>aceticlastic</w:t>
      </w:r>
      <w:proofErr w:type="spellEnd"/>
      <w:r w:rsidR="005C4FC4">
        <w:t xml:space="preserve"> growth </w:t>
      </w:r>
      <w:r w:rsidR="0090081E">
        <w:t xml:space="preserve">because </w:t>
      </w:r>
      <w:proofErr w:type="spellStart"/>
      <w:r w:rsidR="0090081E">
        <w:t>Eha</w:t>
      </w:r>
      <w:proofErr w:type="spellEnd"/>
      <w:r w:rsidR="0090081E">
        <w:t>/</w:t>
      </w:r>
      <w:proofErr w:type="spellStart"/>
      <w:r w:rsidR="0090081E">
        <w:t>Ehb</w:t>
      </w:r>
      <w:proofErr w:type="spellEnd"/>
      <w:r w:rsidR="0090081E">
        <w:t xml:space="preserve"> cannot assume a central role in methanogenesis. </w:t>
      </w:r>
    </w:p>
    <w:p w14:paraId="7511EAEE" w14:textId="55DC3864" w:rsidR="00EF5BC0" w:rsidRPr="00EF5BC0" w:rsidRDefault="00EF5BC0" w:rsidP="00853534">
      <w:pPr>
        <w:spacing w:line="480" w:lineRule="auto"/>
      </w:pPr>
      <w:commentRangeStart w:id="4"/>
      <w:r>
        <w:t>Interestingly</w:t>
      </w:r>
      <w:commentRangeEnd w:id="4"/>
      <w:r w:rsidR="00853534">
        <w:rPr>
          <w:rStyle w:val="CommentReference"/>
          <w:rFonts w:asciiTheme="minorHAnsi" w:hAnsiTheme="minorHAnsi"/>
        </w:rPr>
        <w:commentReference w:id="4"/>
      </w:r>
      <w:r>
        <w:t xml:space="preserve">, there is evidence that </w:t>
      </w:r>
      <w:r>
        <w:rPr>
          <w:i/>
        </w:rPr>
        <w:t xml:space="preserve">M. maripaludis </w:t>
      </w:r>
      <w:r>
        <w:t xml:space="preserve">uses multiple forms of ferredoxin as electron carriers and may link multiple steps, </w:t>
      </w:r>
      <w:r w:rsidR="00853534">
        <w:t>particularly those involved in</w:t>
      </w:r>
      <w:r>
        <w:t xml:space="preserve"> electron bifurcation, using specific ferredoxins </w:t>
      </w:r>
      <w:r>
        <w:fldChar w:fldCharType="begin"/>
      </w:r>
      <w:r w:rsidR="00F5100D">
        <w:instrText xml:space="preserve"> ADDIN ZOTERO_ITEM CSL_CITATION {"citationID":"2g2qvo6ckt","properties":{"formattedCitation":"(44)","plainCitation":"(44)"},"citationItems":[{"id":377,"uris":["http://zotero.org/users/2565720/items/V9R7CQTA"],"uri":["http://zotero.org/users/2565720/items/V9R7CQTA"],"itemData":{"id":377,"type":"article-journal","title":"More Than 200 Genes Required for Methane Formation from H2 and CO2 and Energy Conservation Are Present in &lt;i&gt;Methanothermobacter marburgensis&lt;/i&gt; and &lt;i&gt;Methanothermobacter thermautotrophicus&lt;/i&gt;","container-title":"Archaea","page":"1-23","volume":"2011","source":"CrossRef","DOI":"10.1155/2011/973848","ISSN":"1472-3646, 1472-3654","language":"en","author":[{"family":"Kaster","given":"Anne-Kristin"},{"family":"Goenrich","given":"Meike"},{"family":"Seedorf","given":"Henning"},{"family":"Liesegang","given":"Heiko"},{"family":"Wollherr","given":"Antje"},{"family":"Gottschalk","given":"Gerhard"},{"family":"Thauer","given":"Rudolf K."}],"issued":{"date-parts":[["2011"]]}}}],"schema":"https://github.com/citation-style-language/schema/raw/master/csl-citation.json"} </w:instrText>
      </w:r>
      <w:r>
        <w:fldChar w:fldCharType="separate"/>
      </w:r>
      <w:r w:rsidR="00F5100D" w:rsidRPr="00F5100D">
        <w:rPr>
          <w:rFonts w:cs="Times New Roman"/>
        </w:rPr>
        <w:t>(44)</w:t>
      </w:r>
      <w:r>
        <w:fldChar w:fldCharType="end"/>
      </w:r>
      <w:r>
        <w:t xml:space="preserve">. Presently, the full extent of this phenomenon is not well understood and requires more experimental investigation. However, in an effort to represent ferredoxin specificity in our model, we have included a function (see Supplemental Materials) that </w:t>
      </w:r>
      <w:r w:rsidR="00CF5D54">
        <w:t>replaces promiscuous ferredoxins with one type of</w:t>
      </w:r>
      <w:r>
        <w:t xml:space="preserve"> </w:t>
      </w:r>
      <w:r w:rsidR="00CF5D54">
        <w:t>specific ferredoxin</w:t>
      </w:r>
      <w:r w:rsidR="00853534">
        <w:t xml:space="preserve"> for the </w:t>
      </w:r>
      <w:proofErr w:type="spellStart"/>
      <w:r w:rsidR="00CF5D54">
        <w:t>Eha</w:t>
      </w:r>
      <w:proofErr w:type="spellEnd"/>
      <w:r>
        <w:t xml:space="preserve"> hydrogenase, </w:t>
      </w:r>
      <w:proofErr w:type="spellStart"/>
      <w:r w:rsidR="00CF5D54">
        <w:t>Hdr</w:t>
      </w:r>
      <w:proofErr w:type="spellEnd"/>
      <w:r>
        <w:t xml:space="preserve">, and </w:t>
      </w:r>
      <w:proofErr w:type="spellStart"/>
      <w:r>
        <w:t>formylmethanfuran</w:t>
      </w:r>
      <w:proofErr w:type="spellEnd"/>
      <w:r>
        <w:t xml:space="preserve"> dehydrogenase (</w:t>
      </w:r>
      <w:proofErr w:type="spellStart"/>
      <w:r w:rsidR="00CF5D54">
        <w:t>Fwd</w:t>
      </w:r>
      <w:proofErr w:type="spellEnd"/>
      <w:r w:rsidR="00853534">
        <w:t>)</w:t>
      </w:r>
      <w:r w:rsidR="00CF5D54">
        <w:t xml:space="preserve"> and a second type of specific ferredoxin for </w:t>
      </w:r>
      <w:proofErr w:type="spellStart"/>
      <w:r w:rsidR="00CF5D54">
        <w:t>Ehb</w:t>
      </w:r>
      <w:proofErr w:type="spellEnd"/>
      <w:r w:rsidR="00CF5D54">
        <w:t xml:space="preserve"> hydrogenase and biosynthetic </w:t>
      </w:r>
      <w:proofErr w:type="spellStart"/>
      <w:r w:rsidR="00CF5D54">
        <w:t>carboxylating</w:t>
      </w:r>
      <w:proofErr w:type="spellEnd"/>
      <w:r w:rsidR="00CF5D54">
        <w:t xml:space="preserve"> oxidoreductases, as suggested by {</w:t>
      </w:r>
      <w:commentRangeStart w:id="5"/>
      <w:r w:rsidR="00CF5D54">
        <w:t>ref</w:t>
      </w:r>
      <w:commentRangeEnd w:id="5"/>
      <w:r w:rsidR="00CF5D54">
        <w:rPr>
          <w:rStyle w:val="CommentReference"/>
          <w:rFonts w:asciiTheme="minorHAnsi" w:hAnsiTheme="minorHAnsi"/>
        </w:rPr>
        <w:commentReference w:id="5"/>
      </w:r>
      <w:r w:rsidR="00CF5D54">
        <w:t>}</w:t>
      </w:r>
      <w:r w:rsidR="00853534">
        <w:t>. Using this function</w:t>
      </w:r>
      <w:r>
        <w:t>, tightens the coupling between the aforementioned reactions by restricting them all to one pool of electron carriers and allows us to predict how ferredoxin specificity could change possible model flux distributions.</w:t>
      </w:r>
      <w:r w:rsidR="00692E06">
        <w:t xml:space="preserve"> In wild type simulations, this change has virtually no effect on predicted fluxes but could have notable impact on gene knockout predictions, particularly those involving reactions that utilize ferredoxin. </w:t>
      </w:r>
    </w:p>
    <w:p w14:paraId="79E62FB5" w14:textId="495120C7" w:rsidR="001F7E98" w:rsidRDefault="00EF5BC0" w:rsidP="001F7E98">
      <w:pPr>
        <w:pStyle w:val="Heading2"/>
      </w:pPr>
      <w:r>
        <w:t xml:space="preserve">Other </w:t>
      </w:r>
      <w:r w:rsidR="000F6195">
        <w:t>Biochemistry</w:t>
      </w:r>
      <w:r w:rsidR="001F7E98">
        <w:t xml:space="preserve"> Improvements</w:t>
      </w:r>
    </w:p>
    <w:p w14:paraId="607988A0" w14:textId="7E11C4E4" w:rsidR="00230593" w:rsidRDefault="00AF3DA5" w:rsidP="007A2129">
      <w:pPr>
        <w:spacing w:line="480" w:lineRule="auto"/>
      </w:pPr>
      <w:r>
        <w:t>A major part of our manual curation was adding biosynthesis pathways for the methanogenic coenzymes</w:t>
      </w:r>
      <w:r w:rsidR="00943D68">
        <w:t>, sugars, and lipids</w:t>
      </w:r>
      <w:r>
        <w:t xml:space="preserve">. </w:t>
      </w:r>
      <w:r>
        <w:rPr>
          <w:i/>
        </w:rPr>
        <w:t xml:space="preserve">M. maripaludis </w:t>
      </w:r>
      <w:r>
        <w:t xml:space="preserve">utilizes </w:t>
      </w:r>
      <w:r w:rsidR="00943D68">
        <w:t>various unusual</w:t>
      </w:r>
      <w:r>
        <w:t xml:space="preserve"> coenzymes directly as electron carriers (methanofuran, </w:t>
      </w:r>
      <w:r w:rsidR="00B543C6">
        <w:t>H</w:t>
      </w:r>
      <w:r w:rsidR="00B543C6" w:rsidRPr="00B543C6">
        <w:rPr>
          <w:vertAlign w:val="subscript"/>
        </w:rPr>
        <w:t>4</w:t>
      </w:r>
      <w:r w:rsidR="00B543C6">
        <w:t>MPT</w:t>
      </w:r>
      <w:r>
        <w:t>, coenzyme F</w:t>
      </w:r>
      <w:r w:rsidRPr="00B543C6">
        <w:rPr>
          <w:vertAlign w:val="subscript"/>
        </w:rPr>
        <w:t>420</w:t>
      </w:r>
      <w:r>
        <w:t>, coenzyme B, coenzyme M) and vital pieces of catabolic enzymes (coenzyme F</w:t>
      </w:r>
      <w:r w:rsidRPr="00B543C6">
        <w:rPr>
          <w:vertAlign w:val="subscript"/>
        </w:rPr>
        <w:t>430</w:t>
      </w:r>
      <w:r>
        <w:t xml:space="preserve">) during methanogenesis </w:t>
      </w:r>
      <w:r w:rsidR="00943D68">
        <w:fldChar w:fldCharType="begin"/>
      </w:r>
      <w:r w:rsidR="00F5100D">
        <w:instrText xml:space="preserve"> ADDIN ZOTERO_ITEM CSL_CITATION {"citationID":"kesh5maA","properties":{"formattedCitation":"(5)","plainCitation":"(5)"},"citationItems":[{"id":166,"uris":["http://zotero.org/users/2565720/items/UJKJVT7G"],"uri":["http://zotero.org/users/2565720/items/UJKJVT7G"],"itemData":{"id":166,"type":"article-journal","title":"Unusual coenzymes of methanogenesis","container-title":"Annual review of biochemistry","page":"355–394","volume":"59","issue":"1","source":"Google Scholar","author":[{"family":"DiMarco","given":"Anthony A."},{"family":"Bobik","given":"Thomas A."},{"family":"Wolfe","given":"Ralph S."}],"issued":{"date-parts":[["1990"]]}}}],"schema":"https://github.com/citation-style-language/schema/raw/master/csl-citation.json"} </w:instrText>
      </w:r>
      <w:r w:rsidR="00943D68">
        <w:fldChar w:fldCharType="separate"/>
      </w:r>
      <w:r w:rsidR="00B65741" w:rsidRPr="00B65741">
        <w:rPr>
          <w:rFonts w:cs="Times New Roman"/>
        </w:rPr>
        <w:t>(5)</w:t>
      </w:r>
      <w:r w:rsidR="00943D68">
        <w:fldChar w:fldCharType="end"/>
      </w:r>
      <w:r>
        <w:t xml:space="preserve">. </w:t>
      </w:r>
      <w:r w:rsidR="00F45312">
        <w:t xml:space="preserve">It also synthesizes an </w:t>
      </w:r>
      <w:proofErr w:type="spellStart"/>
      <w:r w:rsidR="00F45312">
        <w:t>archaellin</w:t>
      </w:r>
      <w:proofErr w:type="spellEnd"/>
      <w:r w:rsidR="00F45312">
        <w:t xml:space="preserve"> </w:t>
      </w:r>
      <w:proofErr w:type="spellStart"/>
      <w:r w:rsidR="00F45312">
        <w:t>tetrasaccharide</w:t>
      </w:r>
      <w:proofErr w:type="spellEnd"/>
      <w:r w:rsidR="00F45312">
        <w:t xml:space="preserve"> as part of N-linked glycosylation </w:t>
      </w:r>
      <w:r w:rsidR="00F45312">
        <w:fldChar w:fldCharType="begin"/>
      </w:r>
      <w:r w:rsidR="00F5100D">
        <w:instrText xml:space="preserve"> ADDIN ZOTERO_ITEM CSL_CITATION {"citationID":"2i84i863d3","properties":{"formattedCitation":"(45)","plainCitation":"(45)"},"citationItems":[{"id":385,"uris":["http://zotero.org/users/2565720/items/E6HZ3AAE"],"uri":["http://zotero.org/users/2565720/items/E6HZ3AAE"],"itemData":{"id":385,"type":"article-journal","title":"Evidence that Biosynthesis of the Second and Third Sugars of the Archaellin Tetrasaccharide in the Archaeon &lt;i&gt;Methanococcus maripaludis&lt;/i&gt; Occurs by the Same Pathway Used by &lt;i&gt;Pseudomonas aeruginosa&lt;/i&gt; To Make a Di-N-Acetylated Sugar","container-title":"Journal of Bacteriology","page":"1668-1680","volume":"197","issue":"9","source":"CrossRef","DOI":"10.1128/JB.00040-15","ISSN":"0021-9193, 1098-5530","language":"en","author":[{"family":"Siu","given":"Sarah"},{"family":"Robotham","given":"Anna"},{"family":"Logan","given":"Susan M."},{"family":"Kelly","given":"John F."},{"family":"Uchida","given":"Kaoru"},{"family":"Aizawa","given":"Shin-Ichi"},{"family":"Jarrell","given":"Ken F."}],"editor":[{"family":"Metcalf","given":"W. W."}],"issued":{"date-parts":[["2015",5,1]]}}}],"schema":"https://github.com/citation-style-language/schema/raw/master/csl-citation.json"} </w:instrText>
      </w:r>
      <w:r w:rsidR="00F45312">
        <w:fldChar w:fldCharType="separate"/>
      </w:r>
      <w:r w:rsidR="00F5100D" w:rsidRPr="00F5100D">
        <w:rPr>
          <w:rFonts w:cs="Times New Roman"/>
        </w:rPr>
        <w:t>(45)</w:t>
      </w:r>
      <w:r w:rsidR="00F45312">
        <w:fldChar w:fldCharType="end"/>
      </w:r>
      <w:r w:rsidR="00F45312">
        <w:t xml:space="preserve"> and multiple forms of </w:t>
      </w:r>
      <w:proofErr w:type="spellStart"/>
      <w:r w:rsidR="00F45312">
        <w:t>archaeol</w:t>
      </w:r>
      <w:proofErr w:type="spellEnd"/>
      <w:r w:rsidR="00F45312">
        <w:t xml:space="preserve">, an archaeal membrane ether lipid </w:t>
      </w:r>
      <w:r w:rsidR="00F45312">
        <w:fldChar w:fldCharType="begin"/>
      </w:r>
      <w:r w:rsidR="00F5100D">
        <w:instrText xml:space="preserve"> ADDIN ZOTERO_ITEM CSL_CITATION {"citationID":"1v1bfrvejb","properties":{"formattedCitation":"(46)","plainCitation":"(46)"},"citationItems":[{"id":389,"uris":["http://zotero.org/users/2565720/items/4VZ7MNXM"],"uri":["http://zotero.org/users/2565720/items/4VZ7MNXM"],"itemData":{"id":389,"type":"article-journal","title":"Biosynthesis of archaeal membrane ether lipids","container-title":"Frontiers in Microbiology","volume":"5","source":"PubMed Central","abstract":"A vital function of the cell membrane in all living organism is to maintain the membrane permeability barrier and fluidity. The composition of the phospholipid bilayer is distinct in archaea when compared to bacteria and eukarya. In archaea, isoprenoid hydrocarbon side chains are linked via an ether bond to the sn-glycerol-1-phosphate backbone. In bacteria and eukarya on the other hand, fatty acid side chains are linked via an ester bond to the sn-glycerol-3-phosphate backbone. The polar head groups are globally shared in the three domains of life. The unique membrane lipids of archaea have been implicated not only in the survival and adaptation of the organisms to extreme environments but also to form the basis of the membrane composition of the last universal common ancestor (LUCA). In nature, a diverse range of archaeal lipids is found, the most common are the diether (or archaeol) and the tetraether (or caldarchaeol) lipids that form a monolayer. Variations in chain length, cyclization and other modifications lead to diversification of these lipids. The biosynthesis of these lipids is not yet well understood however progress in the last decade has led to a comprehensive understanding of the biosynthesis of archaeol. This review describes the current knowledge of the biosynthetic pathway of archaeal ether lipids; insights on the stability and robustness of archaeal lipid membranes; and evolutionary aspects of the lipid divide and the LUCA. It examines recent advances made in the field of pathway reconstruction in bacteria.","URL":"http://www.ncbi.nlm.nih.gov/pmc/articles/PMC4244643/","DOI":"10.3389/fmicb.2014.00641","ISSN":"1664-302X","note":"PMID: 25505460\nPMCID: PMC4244643","journalAbbreviation":"Front Microbiol","author":[{"family":"Jain","given":"Samta"},{"family":"Caforio","given":"Antonella"},{"family":"Driessen","given":"Arnold J. M."}],"issued":{"date-parts":[["2014",11,26]]},"accessed":{"date-parts":[["2015",9,9]]},"PMID":"25505460","PMCID":"PMC4244643"}}],"schema":"https://github.com/citation-style-language/schema/raw/master/csl-citation.json"} </w:instrText>
      </w:r>
      <w:r w:rsidR="00F45312">
        <w:fldChar w:fldCharType="separate"/>
      </w:r>
      <w:r w:rsidR="00F5100D" w:rsidRPr="00F5100D">
        <w:rPr>
          <w:rFonts w:cs="Times New Roman"/>
        </w:rPr>
        <w:t>(46)</w:t>
      </w:r>
      <w:r w:rsidR="00F45312">
        <w:fldChar w:fldCharType="end"/>
      </w:r>
      <w:r w:rsidR="00F45312">
        <w:t xml:space="preserve">. These synthesis pathways, particularly those for coenzymes, are vital pieces of </w:t>
      </w:r>
      <w:r w:rsidR="00F45312">
        <w:rPr>
          <w:i/>
        </w:rPr>
        <w:t xml:space="preserve">M. maripaludis </w:t>
      </w:r>
      <w:proofErr w:type="gramStart"/>
      <w:r w:rsidR="00F45312">
        <w:t>metabolism</w:t>
      </w:r>
      <w:r w:rsidR="00EC4669">
        <w:t>,</w:t>
      </w:r>
      <w:proofErr w:type="gramEnd"/>
      <w:r w:rsidR="00EC4669">
        <w:t xml:space="preserve"> hence</w:t>
      </w:r>
      <w:r>
        <w:t xml:space="preserve"> we were adamant about </w:t>
      </w:r>
      <w:r>
        <w:lastRenderedPageBreak/>
        <w:t>including synthesis pathways for these metabolites</w:t>
      </w:r>
      <w:r w:rsidR="00EC4669">
        <w:t xml:space="preserve"> and adding them to our biomass composition</w:t>
      </w:r>
      <w:r>
        <w:t xml:space="preserve">. </w:t>
      </w:r>
      <w:r w:rsidR="00ED4618">
        <w:t xml:space="preserve">Although several of these pathways were completely included in the Model SEED database, </w:t>
      </w:r>
      <w:r w:rsidR="00692E06">
        <w:t xml:space="preserve">most were missing from the automated reconstruction draft and were added manually. </w:t>
      </w:r>
      <w:r w:rsidR="00EC4669">
        <w:t xml:space="preserve">Including these features in our reaction network and biomass definition distinguishes our </w:t>
      </w:r>
      <w:r w:rsidR="00692E06">
        <w:t>reconstruction</w:t>
      </w:r>
      <w:r w:rsidR="00EC4669">
        <w:t xml:space="preserve"> by incorporating multiple pathways that differentiate its metabolism from most other organisms.</w:t>
      </w:r>
    </w:p>
    <w:p w14:paraId="3A127E2B" w14:textId="2BE61D2A" w:rsidR="00650EC2" w:rsidRDefault="00230593" w:rsidP="007A2129">
      <w:pPr>
        <w:spacing w:line="480" w:lineRule="auto"/>
      </w:pPr>
      <w:r>
        <w:t>In a similar vein, we sought to accurately represent sulfur assimilation, a pathway</w:t>
      </w:r>
      <w:r w:rsidR="000B4992">
        <w:t xml:space="preserve"> not </w:t>
      </w:r>
      <w:r w:rsidR="00EC4669">
        <w:t xml:space="preserve">yet </w:t>
      </w:r>
      <w:r w:rsidR="000B4992">
        <w:t xml:space="preserve">fully understood </w:t>
      </w:r>
      <w:r>
        <w:t xml:space="preserve">in </w:t>
      </w:r>
      <w:r w:rsidR="000B4992">
        <w:rPr>
          <w:i/>
        </w:rPr>
        <w:t>M. maripaludis</w:t>
      </w:r>
      <w:r w:rsidR="000B4992">
        <w:t xml:space="preserve">. </w:t>
      </w:r>
      <w:r w:rsidR="006B0C00">
        <w:t xml:space="preserve">Sulfate is known not to be the sulfur source for </w:t>
      </w:r>
      <w:r w:rsidR="006B0C00">
        <w:rPr>
          <w:i/>
        </w:rPr>
        <w:t xml:space="preserve">M. maripaludis </w:t>
      </w:r>
      <w:r w:rsidR="000B4992">
        <w:t>because sulfate reduction</w:t>
      </w:r>
      <w:r w:rsidR="006B0C00">
        <w:t xml:space="preserve"> produces sulfite, </w:t>
      </w:r>
      <w:r w:rsidR="000B4992">
        <w:t>whi</w:t>
      </w:r>
      <w:r w:rsidR="006B0C00">
        <w:t xml:space="preserve">ch inhibits methanogenesis </w:t>
      </w:r>
      <w:r w:rsidR="000B4992">
        <w:fldChar w:fldCharType="begin"/>
      </w:r>
      <w:r w:rsidR="00F5100D">
        <w:instrText xml:space="preserve"> ADDIN ZOTERO_ITEM CSL_CITATION {"citationID":"1pmtfiqdui","properties":{"formattedCitation":"(47)","plainCitation":"(47)"},"citationItems":[{"id":233,"uris":["http://zotero.org/users/2565720/items/X25BNH5A"],"uri":["http://zotero.org/users/2565720/items/X25BNH5A"],"itemData":{"id":233,"type":"article-journal","title":"Inhibition of methanogenesis in salt marsh sediments and whole-cell suspensions of methanogenic bacteria by nitrogen oxides.","container-title":"Applied and Environmental Microbiology","page":"264-269","volume":"32","issue":"2","source":"PubMed Central","abstract":"Hydrogen-dependent evolution of methane from salt marsh sediments and whole-cell suspensions of Methanobacterium thermoautotrophicum and Methanobacterium fornicicum ceased or decreased after the introduction of nitrate, nitrite, nitric oxide, or nitrous oxide. Sulfite had a similar effect on methanogenesis in the whole-cell suspensions. In salt marsh sediments, nitrous oxide was the strongest inhibitor, followed by nitric oxide, nitrite, and nitrate in decreasing order of inhibition. In whole-cell suspensions, nitric oxide was the strongest inhibitor, followed by nitrous oxide, nitrite, and nitrate. Consideration of the results from experiments using an indicator of oxidation potential, along with the reversed order of effectiveness of the nitrogen oxides in relation to their degree of reduction ,suggests that the inhibitory effect observed was not due to a redox change. Evidence is also presented that suggests that the decrease in the rate of methane production in the presence of oxides of nitrogen was not attributable to competition for methane-producing substrates.","ISSN":"0099-2240","note":"PMID: 970945\nPMCID: PMC170046","journalAbbreviation":"Appl Environ Microbiol","author":[{"family":"Balderston","given":"W L"},{"family":"Payne","given":"W J"}],"issued":{"date-parts":[["1976",8]]},"PMID":"970945","PMCID":"PMC170046"}}],"schema":"https://github.com/citation-style-language/schema/raw/master/csl-citation.json"} </w:instrText>
      </w:r>
      <w:r w:rsidR="000B4992">
        <w:fldChar w:fldCharType="separate"/>
      </w:r>
      <w:r w:rsidR="00F5100D" w:rsidRPr="00F5100D">
        <w:rPr>
          <w:rFonts w:cs="Times New Roman"/>
        </w:rPr>
        <w:t>(47)</w:t>
      </w:r>
      <w:r w:rsidR="000B4992">
        <w:fldChar w:fldCharType="end"/>
      </w:r>
      <w:r w:rsidR="006B0C00">
        <w:t xml:space="preserve">. </w:t>
      </w:r>
      <w:r w:rsidR="000B4992">
        <w:t>However, b</w:t>
      </w:r>
      <w:r>
        <w:t xml:space="preserve">ecause sulfate is the default sulfur source for </w:t>
      </w:r>
      <w:r w:rsidR="008E0E07">
        <w:t xml:space="preserve">most microorganisms, our </w:t>
      </w:r>
      <w:r w:rsidR="00692E06">
        <w:t>first draft</w:t>
      </w:r>
      <w:r w:rsidR="008E0E07">
        <w:t xml:space="preserve"> reconstruction included a sulfate transporter and sulfate reduction pathway. We removed the sulfate transporter and instead added a transporter for sulfide, the primary sulfur source for </w:t>
      </w:r>
      <w:r w:rsidR="008E0E07">
        <w:rPr>
          <w:i/>
        </w:rPr>
        <w:t xml:space="preserve">M. maripaludis. </w:t>
      </w:r>
      <w:r w:rsidR="008E0E07">
        <w:t xml:space="preserve">Our updated sulfur assimilation pathway includes a pathway for sulfide oxidation to sulfite, which is </w:t>
      </w:r>
      <w:r w:rsidR="00EC4669">
        <w:t>essential for</w:t>
      </w:r>
      <w:r w:rsidR="008E0E07">
        <w:t xml:space="preserve"> multiple biosynthetic pathways, via a hypothesized </w:t>
      </w:r>
      <w:r w:rsidR="00EC4669">
        <w:t>diss</w:t>
      </w:r>
      <w:r w:rsidR="006B0C00" w:rsidRPr="00BB4897">
        <w:t>imilatory sulfite reductase-like protein</w:t>
      </w:r>
      <w:r w:rsidR="006B0C00">
        <w:t xml:space="preserve"> </w:t>
      </w:r>
      <w:r w:rsidR="006B0C00">
        <w:fldChar w:fldCharType="begin"/>
      </w:r>
      <w:r w:rsidR="00F5100D">
        <w:instrText xml:space="preserve"> ADDIN ZOTERO_ITEM CSL_CITATION {"citationID":"b0qbtb0ku","properties":{"formattedCitation":"(17)","plainCitation":"(17)"},"citationItems":[{"id":190,"uris":["http://zotero.org/users/2565720/items/3FHVI5Z6"],"uri":["http://zotero.org/users/2565720/items/3FHVI5Z6"],"itemData":{"id":190,"type":"article-journal","title":"An Intertwined Evolutionary History of Methanogenic Archaea and Sulfate Reduction","container-title":"PLoS ONE","page":"e45313","volume":"7","issue":"9","source":"PLoS Journals","abstract":"Hydrogenotrophic methanogenesis and dissimilatory sulfate reduction, two of the oldest energy conserving respiratory systems on Earth, apparently could not have evolved in the same host, as sulfite, an intermediate of sulfate reduction, inhibits methanogenesis. However, certain methanogenic archaea metabolize sulfite employing a deazaflavin cofactor (F420)-dependent sulfite reductase (Fsr) where N- and C-terminal halves (Fsr-N and Fsr-C) are homologs of F420H2 dehydrogenase and dissimilatory sulfite reductase (Dsr), respectively. From genome analysis we found that Fsr was likely assembled from freestanding Fsr-N homologs and Dsr-like proteins (Dsr-LP), both being abundant in methanogens. Dsr-LPs fell into two groups defined by following sequence features: Group I (simplest), carrying a coupled siroheme-[Fe4-S4] cluster and sulfite-binding Arg/Lys residues; Group III (most complex), with group I features, a Dsr-type peripheral [Fe4-S4] cluster and an additional [Fe4-S4] cluster. Group II Dsr-LPs with group I features and a Dsr-type peripheral [Fe4-S4] cluster were proposed as evolutionary intermediates. Group III is the precursor of Fsr-C. The freestanding Fsr-N homologs serve as F420H2 dehydrogenase unit of a putative novel glutamate synthase, previously described membrane-bound electron transport system in methanogens and of assimilatory type sulfite reductases in certain haloarchaea. Among archaea, only methanogens carried Dsr-LPs. They also possessed homologs of sulfate activation and reduction enzymes. This suggested a shared evolutionary history for methanogenesis and sulfate reduction, and Dsr-LPs could have been the source of the oldest (3.47-Gyr ago) biologically produced sulfide deposit.","DOI":"10.1371/journal.pone.0045313","journalAbbreviation":"PLoS ONE","author":[{"family":"Susanti","given":"Dwi"},{"family":"Mukhopadhyay","given":"Biswarup"}],"issued":{"date-parts":[["2012",9,21]]}}}],"schema":"https://github.com/citation-style-language/schema/raw/master/csl-citation.json"} </w:instrText>
      </w:r>
      <w:r w:rsidR="006B0C00">
        <w:fldChar w:fldCharType="separate"/>
      </w:r>
      <w:r w:rsidR="00552A03" w:rsidRPr="00552A03">
        <w:rPr>
          <w:rFonts w:cs="Times New Roman"/>
        </w:rPr>
        <w:t>(17)</w:t>
      </w:r>
      <w:r w:rsidR="006B0C00">
        <w:fldChar w:fldCharType="end"/>
      </w:r>
      <w:r w:rsidR="008E0E07">
        <w:t xml:space="preserve">. Taken together with </w:t>
      </w:r>
      <w:r w:rsidR="00692E06">
        <w:t>aforementioned</w:t>
      </w:r>
      <w:r w:rsidR="008E0E07">
        <w:t xml:space="preserve"> syntheses, these modifications demonstrated the need for rigorous manual curation to add known biochemical pathways that were not part of the automated reconstruction and remove pathways that are known not to function in the organism. </w:t>
      </w:r>
      <w:r w:rsidR="00650EC2">
        <w:t>By employing these methods</w:t>
      </w:r>
      <w:r w:rsidR="008E0E07">
        <w:t xml:space="preserve"> and by working </w:t>
      </w:r>
      <w:r w:rsidR="00692E06">
        <w:t>collaboratively with</w:t>
      </w:r>
      <w:r w:rsidR="008E0E07">
        <w:t xml:space="preserve"> biochemical experts</w:t>
      </w:r>
      <w:r w:rsidR="00650EC2">
        <w:t xml:space="preserve">, we have </w:t>
      </w:r>
      <w:r w:rsidR="008E0E07">
        <w:t>created a reconstruction</w:t>
      </w:r>
      <w:r w:rsidR="00650EC2">
        <w:t xml:space="preserve"> that is </w:t>
      </w:r>
      <w:r w:rsidR="008E0E07">
        <w:t xml:space="preserve">qualitatively </w:t>
      </w:r>
      <w:r w:rsidR="00650EC2">
        <w:t xml:space="preserve">consistent with accumulated biochemical knowledge of our organism. </w:t>
      </w:r>
    </w:p>
    <w:p w14:paraId="3A0A049C" w14:textId="1A6CA3B2" w:rsidR="00B36C33" w:rsidRDefault="00B36C33" w:rsidP="00B36C33">
      <w:pPr>
        <w:pStyle w:val="Heading2"/>
      </w:pPr>
      <w:r>
        <w:t>Model Validation</w:t>
      </w:r>
    </w:p>
    <w:p w14:paraId="137EFBCF" w14:textId="4AF61000" w:rsidR="00966C6C" w:rsidRDefault="001F417F" w:rsidP="007A2129">
      <w:pPr>
        <w:spacing w:line="480" w:lineRule="auto"/>
      </w:pPr>
      <w:r>
        <w:t xml:space="preserve">Evaluating the metabolic network reconstruction by qualitatively comparing it to known biochemical phenomena is a </w:t>
      </w:r>
      <w:r w:rsidR="00692E06">
        <w:t>valuable</w:t>
      </w:r>
      <w:r>
        <w:t xml:space="preserve"> way to gauge how close the network can represent actual biochemistry. To make more quantitative comparisons, we must convert the reconstruction to a </w:t>
      </w:r>
      <w:r>
        <w:lastRenderedPageBreak/>
        <w:t>metabolic model by imposing flux constraints on the network, enforcing mass balance on all metabolites, and optimizing to an objective function</w:t>
      </w:r>
      <w:r w:rsidR="00EC4669">
        <w:t xml:space="preserve"> (see Methods)</w:t>
      </w:r>
      <w:r>
        <w:t>. A</w:t>
      </w:r>
      <w:r w:rsidR="00650EC2">
        <w:t xml:space="preserve"> common way of </w:t>
      </w:r>
      <w:r>
        <w:t xml:space="preserve">quantitatively </w:t>
      </w:r>
      <w:r w:rsidR="00650EC2">
        <w:t>e</w:t>
      </w:r>
      <w:r>
        <w:t>valuating the resulting model is to simulate maximum cell growth under steady-</w:t>
      </w:r>
      <w:r w:rsidR="00EC4669">
        <w:t>state conditions and compare</w:t>
      </w:r>
      <w:r w:rsidR="00650EC2">
        <w:t xml:space="preserve"> growth yield predictions to experimentally-determined values. Due to the narrow range of possible substrates for our </w:t>
      </w:r>
      <w:r>
        <w:t xml:space="preserve">hydrogenotrophic </w:t>
      </w:r>
      <w:r w:rsidR="00650EC2">
        <w:t>system</w:t>
      </w:r>
      <w:r w:rsidR="00D56916">
        <w:t xml:space="preserve"> and scarcity of growth yield data for our organism, we generated our own experimental measurements of growth yield. We conducted chemostat growth experiments under H2-limiting conditions and measured growth yields as described previously </w:t>
      </w:r>
      <w:r w:rsidR="00D56916">
        <w:fldChar w:fldCharType="begin"/>
      </w:r>
      <w:r w:rsidR="00F5100D">
        <w:instrText xml:space="preserve"> ADDIN ZOTERO_ITEM CSL_CITATION {"citationID":"vqfbkr6og","properties":{"formattedCitation":"(41)","plainCitation":"(41)"},"citationItems":[{"id":73,"uris":["http://zotero.org/users/2565720/items/T5C439F9"],"uri":["http://zotero.org/users/2565720/items/T5C439F9"],"itemData":{"id":73,"type":"article-journal","title":"Effects of H2 and Formate on Growth Yield and Regulation of Methanogenesis in &lt;i&gt;Methanococcus maripaludis&lt;/i&gt;","container-title":"Journal of Bacteriology","page":"1456-1462","volume":"195","issue":"7","source":"jb.asm.org","abstract":"Hydrogenotrophic methanogenic Archaea are defined by an H2 requirement for growth. Despite this requirement, many hydrogenotrophs are also capable of growth with formate as an electron donor for methanogenesis. While certain responses of these organisms to hydrogen availability have been characterized, responses to formate starvation have not been reported. Here we report that during continuous culture of Methanococcus maripaludis under defined nutrient conditions, growth yields relative to methane production decreased markedly with either H2 excess or formate excess. Analysis of the growth yields of several mutants suggests that this phenomenon occurs independently of the storage of intracellular carbon or a transcriptional response to methanogenesis. Using microarray analysis, we found that the expression of genes encoding coenzyme F420-dependent steps of methanogenesis, including one of two formate dehydrogenases, increased with H2 starvation but with formate occurred at high levels regardless of limitation or excess. One gene, encoding H2-dependent methylene-tetrahydromethanopterin dehydrogenase, decreased in expression with either H2 limitation or formate limitation. Expression of genes for the second formate dehydrogenase, molybdenum-dependent formylmethanofuran dehydrogenase, and molybdenum transport increased specifically with formate limitation. Of the two formate dehydrogenases, only the first could support growth on formate in batch culture where formate was in excess.","DOI":"10.1128/JB.02141-12","ISSN":"0021-9193, 1098-5530","note":"PMID: 23335420","journalAbbreviation":"J. Bacteriol.","language":"en","author":[{"family":"Costa","given":"Kyle C."},{"family":"Yoon","given":"Sung Ho"},{"family":"Pan","given":"Min"},{"family":"Burn","given":"June A."},{"family":"Baliga","given":"Nitin S."},{"family":"Leigh","given":"John A."}],"issued":{"date-parts":[["2013",4,1]]},"PMID":"23335420"}}],"schema":"https://github.com/citation-style-language/schema/raw/master/csl-citation.json"} </w:instrText>
      </w:r>
      <w:r w:rsidR="00D56916">
        <w:fldChar w:fldCharType="separate"/>
      </w:r>
      <w:r w:rsidR="00F5100D" w:rsidRPr="00F5100D">
        <w:rPr>
          <w:rFonts w:cs="Times New Roman"/>
        </w:rPr>
        <w:t>(41)</w:t>
      </w:r>
      <w:r w:rsidR="00D56916">
        <w:fldChar w:fldCharType="end"/>
      </w:r>
      <w:r w:rsidR="00D56916">
        <w:t>, but varied our dilution rate to gather a range of different yield measurements. Cell density was assessed using optical density (OD</w:t>
      </w:r>
      <w:r w:rsidR="00D56916" w:rsidRPr="00D56916">
        <w:rPr>
          <w:vertAlign w:val="subscript"/>
        </w:rPr>
        <w:t>660</w:t>
      </w:r>
      <w:r w:rsidR="00D56916">
        <w:t xml:space="preserve">) </w:t>
      </w:r>
      <w:r w:rsidR="00966C6C">
        <w:t>and was previously reported as OD</w:t>
      </w:r>
      <w:r w:rsidR="00966C6C" w:rsidRPr="00966C6C">
        <w:rPr>
          <w:vertAlign w:val="subscript"/>
        </w:rPr>
        <w:t>660</w:t>
      </w:r>
      <w:r w:rsidR="00966C6C">
        <w:t>=1 corresponding to 0.34 mg(dry weight)</w:t>
      </w:r>
      <w:r w:rsidR="00966C6C">
        <w:rPr>
          <w:rFonts w:cs="Times New Roman"/>
        </w:rPr>
        <w:t>∙</w:t>
      </w:r>
      <w:r w:rsidR="00966C6C">
        <w:t>ml</w:t>
      </w:r>
      <w:r w:rsidR="00966C6C" w:rsidRPr="006A723F">
        <w:rPr>
          <w:vertAlign w:val="superscript"/>
        </w:rPr>
        <w:t>-1</w:t>
      </w:r>
      <w:r w:rsidR="00966C6C">
        <w:t xml:space="preserve"> </w:t>
      </w:r>
      <w:r w:rsidR="00966C6C">
        <w:fldChar w:fldCharType="begin"/>
      </w:r>
      <w:r w:rsidR="00F5100D">
        <w:instrText xml:space="preserve"> ADDIN ZOTERO_ITEM CSL_CITATION {"citationID":"asci2795q","properties":{"formattedCitation":"(34)","plainCitation":"(34)"},"citationItems":[{"id":25,"uris":["http://zotero.org/users/2565720/items/WZA4SPA5"],"uri":["http://zotero.org/users/2565720/items/WZA4SPA5"],"itemData":{"id":25,"type":"article-journal","title":"Formate-Dependent H2 Production by the Mesophilic Methanogen &lt;i&gt;Methanococcus maripaludis&lt;/i&gt;","container-title":"Applied and Environmental Microbiology","page":"6584-6590","volume":"74","issue":"21","source":"aem.asm.org","abstract":"Methanococcus maripaludis, an H2- and formate-utilizing methanogen, produced H2 at high rates from formate. The rates and kinetics of H2 production depended upon the growth conditions, and H2 availability during growth was a major factor. Specific activities of resting cells grown with formate or H2 were 0.4 to 1.4 U·mg−1 (dry weight). H2 production in formate-grown cells followed Michaelis-Menten kinetics, and the concentration of formate required for half-maximal activity (Kf) was 3.6 mM. In contrast, in H2-grown cells this process followed sigmoidal kinetics, and the Kf was 9 mM. A key enzyme for formate-dependent H2 production was formate dehydrogenase, Fdh. H2 production and growth were severely reduced in a mutant containing a deletion of the gene encoding the Fdh1 isozyme, indicating that it was the primary Fdh. In contrast, a mutant containing a deletion of the gene encoding the Fdh2 isozyme possessed near-wild-type activities, indicating that this isozyme did not play a major role. H2 production by a mutant containing a deletion of the coenzyme F420-reducing hydrogenase Fru was also severely reduced, suggesting that the major pathway of H2 production comprised Fdh1 and Fru. Because a Δfru-Δfrc mutant retained 10% of the wild-type activity, an additional pathway is present. Mutants possessing deletions of the gene encoding the F420-dependent methylene-H4MTP dehydrogenase (Mtd) or the H2-forming methylene-H4MTP dehydrogenase (Hmd) also possessed reduced activity, which suggested that this second pathway was comprised of Fdh1-Mtd-Hmd. In contrast to H2 production, the cellular rates of methanogenesis were unaffected in these mutants, which suggested that the observed H2 production was not a direct intermediate of methanogenesis. In conclusion, high rates of formate-dependent H2 production demonstrated the potential of M. maripaludis for the microbial production of H2 from formate.","DOI":"10.1128/AEM.01455-08","ISSN":"0099-2240, 1098-5336","note":"PMID: 18791018","journalAbbreviation":"Appl. Environ. Microbiol.","language":"en","author":[{"family":"Lupa","given":"Boguslaw"},{"family":"Hendrickson","given":"Erik L."},{"family":"Leigh","given":"John A."},{"family":"Whitman","given":"William B."}],"issued":{"date-parts":[["2008",11,1]]},"PMID":"18791018"}}],"schema":"https://github.com/citation-style-language/schema/raw/master/csl-citation.json"} </w:instrText>
      </w:r>
      <w:r w:rsidR="00966C6C">
        <w:fldChar w:fldCharType="separate"/>
      </w:r>
      <w:r w:rsidR="00552A03" w:rsidRPr="00552A03">
        <w:rPr>
          <w:rFonts w:cs="Times New Roman"/>
        </w:rPr>
        <w:t>(34)</w:t>
      </w:r>
      <w:r w:rsidR="00966C6C">
        <w:fldChar w:fldCharType="end"/>
      </w:r>
      <w:r w:rsidR="00966C6C">
        <w:t>. W</w:t>
      </w:r>
      <w:r w:rsidR="00D56916">
        <w:t>e</w:t>
      </w:r>
      <w:r w:rsidR="00966C6C">
        <w:t xml:space="preserve"> were unsure of the efficacy of this value, thus we re-measured the correlation</w:t>
      </w:r>
      <w:r w:rsidR="00D56916">
        <w:t xml:space="preserve"> using a combination of centrifugation and vacuum filtering (see Methods). </w:t>
      </w:r>
      <w:r w:rsidR="00966C6C">
        <w:t xml:space="preserve">Based upon our calibration curve (see </w:t>
      </w:r>
      <w:commentRangeStart w:id="6"/>
      <w:r w:rsidR="00966C6C">
        <w:t xml:space="preserve">Supplementary </w:t>
      </w:r>
      <w:commentRangeEnd w:id="6"/>
      <w:r w:rsidR="00966C6C">
        <w:rPr>
          <w:rStyle w:val="CommentReference"/>
          <w:rFonts w:asciiTheme="minorHAnsi" w:hAnsiTheme="minorHAnsi"/>
        </w:rPr>
        <w:commentReference w:id="6"/>
      </w:r>
      <w:r w:rsidR="00966C6C">
        <w:t>Information)</w:t>
      </w:r>
      <w:r w:rsidR="00D56916">
        <w:t xml:space="preserve"> </w:t>
      </w:r>
      <w:r w:rsidR="00966C6C">
        <w:t>we determined that OD</w:t>
      </w:r>
      <w:r w:rsidR="00966C6C" w:rsidRPr="00966C6C">
        <w:rPr>
          <w:vertAlign w:val="subscript"/>
        </w:rPr>
        <w:t>660</w:t>
      </w:r>
      <w:r w:rsidR="00966C6C">
        <w:t xml:space="preserve">=1 corresponded to 0.49 </w:t>
      </w:r>
      <w:proofErr w:type="gramStart"/>
      <w:r w:rsidR="00966C6C">
        <w:t>mg(</w:t>
      </w:r>
      <w:proofErr w:type="gramEnd"/>
      <w:r w:rsidR="00966C6C">
        <w:t>dry weight)</w:t>
      </w:r>
      <w:r w:rsidR="00966C6C">
        <w:rPr>
          <w:rFonts w:cs="Times New Roman"/>
        </w:rPr>
        <w:t>∙</w:t>
      </w:r>
      <w:r w:rsidR="00966C6C">
        <w:t>ml</w:t>
      </w:r>
      <w:r w:rsidR="00966C6C" w:rsidRPr="006A723F">
        <w:rPr>
          <w:vertAlign w:val="superscript"/>
        </w:rPr>
        <w:t>-1</w:t>
      </w:r>
      <w:r w:rsidR="00966C6C">
        <w:t xml:space="preserve">. </w:t>
      </w:r>
    </w:p>
    <w:p w14:paraId="5937D85C" w14:textId="56E8C501" w:rsidR="00C82E52" w:rsidRDefault="00966C6C" w:rsidP="007A2129">
      <w:pPr>
        <w:spacing w:line="480" w:lineRule="auto"/>
      </w:pPr>
      <w:r>
        <w:t>Using our calibrated cell density value, we calculated 7 steady state methane evolution and growth rates during H</w:t>
      </w:r>
      <w:r w:rsidRPr="00966C6C">
        <w:rPr>
          <w:vertAlign w:val="subscript"/>
        </w:rPr>
        <w:t>2</w:t>
      </w:r>
      <w:r>
        <w:t>-limited growth. Prior to testing our model on this dataset, we also recognized that our model was essentially untrained in terms of ATP maintenance</w:t>
      </w:r>
      <w:r w:rsidR="00B65741">
        <w:t xml:space="preserve"> and contained automated values from our first draft reconstruction</w:t>
      </w:r>
      <w:r>
        <w:t xml:space="preserve">. </w:t>
      </w:r>
      <w:r w:rsidR="00B65741">
        <w:t xml:space="preserve">Growth yield predictions can also vary considerably in response to model ATP maintenance energies </w:t>
      </w:r>
      <w:r w:rsidR="00B65741">
        <w:fldChar w:fldCharType="begin"/>
      </w:r>
      <w:r w:rsidR="00F5100D">
        <w:instrText xml:space="preserve"> ADDIN ZOTERO_ITEM CSL_CITATION {"citationID":"uin4blve5","properties":{"formattedCitation":"(48)","plainCitation":"(48)"},"citationItems":[{"id":18,"uris":["http://zotero.org/users/2565720/items/I8WP5J89"],"uri":["http://zotero.org/users/2565720/items/I8WP5J89"],"itemData":{"id":18,"type":"article-journal","title":"Genomically and biochemically accurate metabolic reconstruction of &lt;i&gt;Methanosarcina barkeri&lt;/i&gt; Fusaro, iMG746","container-title":"Biotechnology Journal","page":"1070-1079","volume":"8","issue":"9","source":"CrossRef","DOI":"10.1002/biot.201200266","ISSN":"18606768","language":"en","author":[{"family":"Gonnerman","given":"Matthew C."},{"family":"Benedict","given":"Matthew N."},{"family":"Feist","given":"Adam M."},{"family":"Metcalf","given":"William W."},{"family":"Price","given":"Nathan D."}],"issued":{"date-parts":[["2013",9]]}}}],"schema":"https://github.com/citation-style-language/schema/raw/master/csl-citation.json"} </w:instrText>
      </w:r>
      <w:r w:rsidR="00B65741">
        <w:fldChar w:fldCharType="separate"/>
      </w:r>
      <w:r w:rsidR="00276128" w:rsidRPr="00276128">
        <w:rPr>
          <w:rFonts w:cs="Times New Roman"/>
        </w:rPr>
        <w:t>(48)</w:t>
      </w:r>
      <w:r w:rsidR="00B65741">
        <w:fldChar w:fldCharType="end"/>
      </w:r>
      <w:r w:rsidR="00B65741">
        <w:t xml:space="preserve">, thus </w:t>
      </w:r>
      <w:r w:rsidRPr="00B65741">
        <w:rPr>
          <w:szCs w:val="24"/>
        </w:rPr>
        <w:t>it was</w:t>
      </w:r>
      <w:r>
        <w:t xml:space="preserve"> crucial to train our</w:t>
      </w:r>
      <w:r w:rsidR="00B65741">
        <w:t xml:space="preserve"> model by fitting to our experimental dataset. However, we were also wary of overfitting our model by training and testing on the same set of samples. We addressed both concerns by performing leave one out cross validation (LOOCV) on our full dataset (see Methods). As shown by Figure 2, using this method allowed us to essentially test our model’s growth yield predictions </w:t>
      </w:r>
      <w:r w:rsidR="00B65741">
        <w:lastRenderedPageBreak/>
        <w:t>on 8 separate test points. Furthermore, our model consistently predicted growth yields within close range of measured values, particularly for lower growth rates (&lt;0.08 h</w:t>
      </w:r>
      <w:r w:rsidR="00B65741" w:rsidRPr="00B65741">
        <w:rPr>
          <w:vertAlign w:val="superscript"/>
        </w:rPr>
        <w:t>-1</w:t>
      </w:r>
      <w:r w:rsidR="00B65741">
        <w:t>).</w:t>
      </w:r>
    </w:p>
    <w:p w14:paraId="0BEB1A4A" w14:textId="45818D3E" w:rsidR="00650EC2" w:rsidRDefault="00B65741" w:rsidP="007A2129">
      <w:pPr>
        <w:spacing w:line="480" w:lineRule="auto"/>
      </w:pPr>
      <w:r>
        <w:t xml:space="preserve">Following our LOOCV growth yield analysis, we used </w:t>
      </w:r>
      <w:r w:rsidR="00552A03">
        <w:t>the</w:t>
      </w:r>
      <w:r>
        <w:t xml:space="preserve"> full dataset to set</w:t>
      </w:r>
      <w:r w:rsidR="00CE717D">
        <w:t xml:space="preserve"> </w:t>
      </w:r>
      <w:r w:rsidR="008D38C6">
        <w:t>growth associated maintenance (GAM)</w:t>
      </w:r>
      <w:r>
        <w:t xml:space="preserve"> and non-growth associated maintenance (NGAM). </w:t>
      </w:r>
      <w:r w:rsidR="005B4979">
        <w:t xml:space="preserve">GAM was originally set </w:t>
      </w:r>
      <w:r w:rsidR="008D38C6">
        <w:t>as 40.11 (mmol per grams [cell mass])</w:t>
      </w:r>
      <w:r w:rsidR="005B4979">
        <w:t xml:space="preserve">, a relatively low value when compared with that of a fast-growing bacterial species, such as the GAM of 59.81 in </w:t>
      </w:r>
      <w:r w:rsidR="005B4979">
        <w:rPr>
          <w:i/>
        </w:rPr>
        <w:t xml:space="preserve">E. coli </w:t>
      </w:r>
      <w:r w:rsidR="005B4979">
        <w:rPr>
          <w:i/>
        </w:rPr>
        <w:fldChar w:fldCharType="begin"/>
      </w:r>
      <w:r w:rsidR="00F5100D">
        <w:rPr>
          <w:i/>
        </w:rPr>
        <w:instrText xml:space="preserve"> ADDIN ZOTERO_ITEM CSL_CITATION {"citationID":"Bcn0Pkvz","properties":{"formattedCitation":"(49)","plainCitation":"(49)"},"citationItems":[{"id":449,"uris":["http://zotero.org/users/2565720/items/MPABTFNK"],"uri":["http://zotero.org/users/2565720/items/MPABTFNK"],"itemData":{"id":449,"type":"article-journal","title":"A genome-scale metabolic reconstruction for Escherichia coli K-12 MG1655 that accounts for 1260 ORFs and thermodynamic information","container-title":"Molecular Systems Biology","volume":"3","source":"CrossRef","URL":"http://msb.embopress.org/cgi/doi/10.1038/msb4100155","DOI":"10.1038/msb4100155","ISSN":"1744-4292","author":[{"family":"Feist","given":"Adam M"},{"family":"Henry","given":"Christopher S"},{"family":"Reed","given":"Jennifer L"},{"family":"Krummenacker","given":"Markus"},{"family":"Joyce","given":"Andrew R"},{"family":"Karp","given":"Peter D"},{"family":"Broadbelt","given":"Linda J"},{"family":"Hatzimanikatis","given":"Vassily"},{"family":"Palsson","given":"Bernhard Ø"}],"issued":{"date-parts":[["2007",6,26]]},"accessed":{"date-parts":[["2015",12,10]]}}}],"schema":"https://github.com/citation-style-language/schema/raw/master/csl-citation.json"} </w:instrText>
      </w:r>
      <w:r w:rsidR="005B4979">
        <w:rPr>
          <w:i/>
        </w:rPr>
        <w:fldChar w:fldCharType="separate"/>
      </w:r>
      <w:r w:rsidR="00276128" w:rsidRPr="00276128">
        <w:rPr>
          <w:rFonts w:cs="Times New Roman"/>
        </w:rPr>
        <w:t>(49)</w:t>
      </w:r>
      <w:r w:rsidR="005B4979">
        <w:rPr>
          <w:i/>
        </w:rPr>
        <w:fldChar w:fldCharType="end"/>
      </w:r>
      <w:r w:rsidR="005B4979">
        <w:t>. NGAM, represented by simple ATP hydrolysis, was unbounded in our first draft reconstr</w:t>
      </w:r>
      <w:r w:rsidR="00066B7A">
        <w:t xml:space="preserve">uction and took on a value of 0 </w:t>
      </w:r>
      <w:r w:rsidR="005B4979">
        <w:t>during all model simulations. After training on our full dataset, we</w:t>
      </w:r>
      <w:r w:rsidR="00552A03">
        <w:t xml:space="preserve"> set our GAM and NGAM values to</w:t>
      </w:r>
      <w:r w:rsidR="008D38C6">
        <w:t xml:space="preserve"> </w:t>
      </w:r>
      <w:r w:rsidR="006B3255">
        <w:t>169.9 and 5.0</w:t>
      </w:r>
      <w:r w:rsidR="005B4979">
        <w:t xml:space="preserve"> (mmol per grams [cell mass]), respectively. </w:t>
      </w:r>
      <w:r w:rsidR="00066B7A">
        <w:t xml:space="preserve">Notably, these maintenance values are much higher than those in other methanogen models; for example, </w:t>
      </w:r>
      <w:r w:rsidR="00552A03">
        <w:t xml:space="preserve">fellow methanogen </w:t>
      </w:r>
      <w:r w:rsidR="00066B7A">
        <w:rPr>
          <w:i/>
        </w:rPr>
        <w:t xml:space="preserve">Methanosarcina barkeri </w:t>
      </w:r>
      <w:r w:rsidR="00552A03">
        <w:t>was</w:t>
      </w:r>
      <w:r w:rsidR="00066B7A">
        <w:t xml:space="preserve"> reported to have a GAM of</w:t>
      </w:r>
      <w:r w:rsidR="00552A03">
        <w:t xml:space="preserve"> </w:t>
      </w:r>
      <w:r w:rsidR="00066B7A">
        <w:t>65.00 (mmol per grams [cell mass]),</w:t>
      </w:r>
      <w:r w:rsidR="00D3056C">
        <w:t xml:space="preserve"> about</w:t>
      </w:r>
      <w:r w:rsidR="006B3255">
        <w:t xml:space="preserve"> </w:t>
      </w:r>
      <w:r w:rsidR="00D3056C">
        <w:t>38%</w:t>
      </w:r>
      <w:r w:rsidR="006B3255">
        <w:t xml:space="preserve"> of our calculated value</w:t>
      </w:r>
      <w:r w:rsidR="00066B7A">
        <w:t xml:space="preserve">. This difference is reflective of the </w:t>
      </w:r>
      <w:r w:rsidR="006B3255">
        <w:t xml:space="preserve">observed differences in growth yield for these organisms during hydrogenotrophic growth. Using the same formula for growth yield </w:t>
      </w:r>
      <w:r w:rsidR="00D3056C">
        <w:t xml:space="preserve">in each case </w:t>
      </w:r>
      <w:r w:rsidR="006B3255">
        <w:t xml:space="preserve">at nearly identical doubling times of 12 h, </w:t>
      </w:r>
      <w:r w:rsidR="006B3255">
        <w:rPr>
          <w:i/>
        </w:rPr>
        <w:t xml:space="preserve">M. barkeri </w:t>
      </w:r>
      <w:r w:rsidR="006B3255">
        <w:t xml:space="preserve">reportedly grew at a yield of </w:t>
      </w:r>
      <w:r w:rsidR="00D3056C">
        <w:t>about 7.35 g(dry weight)</w:t>
      </w:r>
      <w:r w:rsidR="00D3056C">
        <w:rPr>
          <w:rFonts w:cs="Times New Roman"/>
        </w:rPr>
        <w:t>∙</w:t>
      </w:r>
      <w:r w:rsidR="00D3056C">
        <w:t>mol CH</w:t>
      </w:r>
      <w:r w:rsidR="00D3056C" w:rsidRPr="00D3056C">
        <w:rPr>
          <w:vertAlign w:val="subscript"/>
        </w:rPr>
        <w:t>4</w:t>
      </w:r>
      <w:r w:rsidR="00D3056C" w:rsidRPr="006A723F">
        <w:rPr>
          <w:vertAlign w:val="superscript"/>
        </w:rPr>
        <w:t>-1</w:t>
      </w:r>
      <w:r w:rsidR="00D3056C">
        <w:t xml:space="preserve"> and </w:t>
      </w:r>
      <w:r w:rsidR="00D3056C">
        <w:rPr>
          <w:i/>
        </w:rPr>
        <w:t xml:space="preserve">M. maripaludis </w:t>
      </w:r>
      <w:r w:rsidR="00D3056C">
        <w:t xml:space="preserve">grew at a </w:t>
      </w:r>
      <w:commentRangeStart w:id="7"/>
      <w:r w:rsidR="00D3056C">
        <w:t>yield</w:t>
      </w:r>
      <w:commentRangeEnd w:id="7"/>
      <w:r w:rsidR="00C51ABC">
        <w:rPr>
          <w:rStyle w:val="CommentReference"/>
          <w:rFonts w:asciiTheme="minorHAnsi" w:hAnsiTheme="minorHAnsi"/>
        </w:rPr>
        <w:commentReference w:id="7"/>
      </w:r>
      <w:r w:rsidR="00D3056C">
        <w:t xml:space="preserve"> of about 2.40 g(dry weight)</w:t>
      </w:r>
      <w:r w:rsidR="00D3056C">
        <w:rPr>
          <w:rFonts w:cs="Times New Roman"/>
        </w:rPr>
        <w:t>∙</w:t>
      </w:r>
      <w:r w:rsidR="00D3056C">
        <w:t>mol CH</w:t>
      </w:r>
      <w:r w:rsidR="00D3056C" w:rsidRPr="00D3056C">
        <w:rPr>
          <w:vertAlign w:val="subscript"/>
        </w:rPr>
        <w:t>4</w:t>
      </w:r>
      <w:r w:rsidR="00D3056C" w:rsidRPr="006A723F">
        <w:rPr>
          <w:vertAlign w:val="superscript"/>
        </w:rPr>
        <w:t>-1</w:t>
      </w:r>
      <w:r w:rsidR="00D3056C">
        <w:t xml:space="preserve">, or about 33%. Thus, our high GAM requirement reflects observed differences in growth data when comparing to a methylotrophic methanogen. </w:t>
      </w:r>
      <w:r w:rsidR="00435253">
        <w:t xml:space="preserve">Though growth yield validation is not an absolute measure of model performance, our model’s ability to closely reproduce experimental results </w:t>
      </w:r>
      <w:r w:rsidR="00243CF0">
        <w:t xml:space="preserve">in a LOOCV setting that mitigated </w:t>
      </w:r>
      <w:r w:rsidR="00435253">
        <w:t xml:space="preserve">overfitting suggested a high propensity for generating viable growth predictions. This result bodes well for our model’s utility as a predictive tool as we look to use it to generate quantitatively feasible growth hypotheses for novel strain designs. </w:t>
      </w:r>
    </w:p>
    <w:p w14:paraId="353B564A" w14:textId="032F8468" w:rsidR="00243CF0" w:rsidRDefault="00AD6208" w:rsidP="007A2129">
      <w:pPr>
        <w:spacing w:line="480" w:lineRule="auto"/>
      </w:pPr>
      <w:r>
        <w:lastRenderedPageBreak/>
        <w:t xml:space="preserve">Gene knockout experiments present a </w:t>
      </w:r>
      <w:r w:rsidR="00584373">
        <w:t>different method</w:t>
      </w:r>
      <w:r>
        <w:t xml:space="preserve"> for validating a metabolic reconstruction based on its model. </w:t>
      </w:r>
      <w:r w:rsidR="001E6ABD">
        <w:t>At its</w:t>
      </w:r>
      <w:r>
        <w:t xml:space="preserve"> core, a constraint-based model</w:t>
      </w:r>
      <w:r w:rsidR="001E6ABD">
        <w:t xml:space="preserve"> is </w:t>
      </w:r>
      <w:r>
        <w:t>built around gene-protein-reaction relationships that connect genotype to growth phenotype. Thus, comparing model predictions of gene knockout lethality provide</w:t>
      </w:r>
      <w:r w:rsidR="00243CF0">
        <w:t>s</w:t>
      </w:r>
      <w:r>
        <w:t xml:space="preserve"> an excellent way to quantitatively measure the qualitative content of the model. This process hinges on the availability of gene knockout data for the organism being modeled, ideally with the abundance of data found for </w:t>
      </w:r>
      <w:r w:rsidR="00584373">
        <w:t xml:space="preserve">a traditional model organism </w:t>
      </w:r>
      <w:r>
        <w:t xml:space="preserve">such as </w:t>
      </w:r>
      <w:r>
        <w:rPr>
          <w:i/>
        </w:rPr>
        <w:t xml:space="preserve">Escherichia coli </w:t>
      </w:r>
      <w:r w:rsidR="00584373">
        <w:rPr>
          <w:i/>
        </w:rPr>
        <w:fldChar w:fldCharType="begin"/>
      </w:r>
      <w:r w:rsidR="00F5100D">
        <w:rPr>
          <w:i/>
        </w:rPr>
        <w:instrText xml:space="preserve"> ADDIN ZOTERO_ITEM CSL_CITATION {"citationID":"26th8g5t52","properties":{"formattedCitation":"(50)","plainCitation":"(50)"},"citationItems":[{"id":392,"uris":["http://zotero.org/users/2565720/items/23MX95KI"],"uri":["http://zotero.org/users/2565720/items/23MX95KI"],"itemData":{"id":392,"type":"article-journal","title":"A comprehensive genome-scale reconstruction of &lt;i&gt;Escherichia coli&lt;/i&gt; metabolism--2011","container-title":"Molecular Systems Biology","page":"535-535","volume":"7","issue":"1","source":"CrossRef","DOI":"10.1038/msb.2011.65","ISSN":"1744-4292","language":"en","author":[{"family":"Orth","given":"J. D."},{"family":"Conrad","given":"T. M."},{"family":"Na","given":"J."},{"family":"Lerman","given":"J. A."},{"family":"Nam","given":"H."},{"family":"Feist","given":"A. M."},{"family":"Palsson","given":"B. O."}],"issued":{"date-parts":[["2014",4,16]]}}}],"schema":"https://github.com/citation-style-language/schema/raw/master/csl-citation.json"} </w:instrText>
      </w:r>
      <w:r w:rsidR="00584373">
        <w:rPr>
          <w:i/>
        </w:rPr>
        <w:fldChar w:fldCharType="separate"/>
      </w:r>
      <w:r w:rsidR="00276128" w:rsidRPr="00276128">
        <w:rPr>
          <w:rFonts w:cs="Times New Roman"/>
        </w:rPr>
        <w:t>(50)</w:t>
      </w:r>
      <w:r w:rsidR="00584373">
        <w:rPr>
          <w:i/>
        </w:rPr>
        <w:fldChar w:fldCharType="end"/>
      </w:r>
      <w:r w:rsidR="00584373">
        <w:t>.</w:t>
      </w:r>
      <w:r w:rsidR="00967F47">
        <w:t xml:space="preserve"> </w:t>
      </w:r>
      <w:r>
        <w:t xml:space="preserve">In the case of </w:t>
      </w:r>
      <w:r>
        <w:rPr>
          <w:i/>
        </w:rPr>
        <w:t>M. maripaludis</w:t>
      </w:r>
      <w:r w:rsidR="001E6ABD">
        <w:t xml:space="preserve"> transposon mutagenesis </w:t>
      </w:r>
      <w:r w:rsidR="00F42364">
        <w:t>has been used to calculate an essentiality index</w:t>
      </w:r>
      <w:r w:rsidR="001E6ABD">
        <w:t xml:space="preserve"> of all genes in </w:t>
      </w:r>
      <w:r w:rsidR="001E6ABD">
        <w:rPr>
          <w:i/>
        </w:rPr>
        <w:t xml:space="preserve">M. maripaludis </w:t>
      </w:r>
      <w:r w:rsidR="001E6ABD">
        <w:rPr>
          <w:i/>
        </w:rPr>
        <w:fldChar w:fldCharType="begin"/>
      </w:r>
      <w:r w:rsidR="00F5100D">
        <w:rPr>
          <w:i/>
        </w:rPr>
        <w:instrText xml:space="preserve"> ADDIN ZOTERO_ITEM CSL_CITATION {"citationID":"289b8k3usl","properties":{"formattedCitation":"(51)","plainCitation":"(51)"},"citationItems":[{"id":56,"uris":["http://zotero.org/users/2565720/items/ARVWTIRD"],"uri":["http://zotero.org/users/2565720/items/ARVWTIRD"],"itemData":{"id":56,"type":"article-journal","title":"Genome-scale analysis of gene function in the hydrogenotrophic methanogenic archaeon &lt;i&gt;Methanococcus maripaludis&lt;/i&gt;","container-title":"Proceedings of the National Academy of Sciences","page":"4726-4731","volume":"110","issue":"12","source":"www.pnas.org","abstract":"A comprehensive whole-genome analysis of gene function by transposon mutagenesis and deep sequencing methodology has been implemented successfully in a representative of the Archaea domain. Libraries of transposon mutants were generated for the hydrogenotrophic, methanogenic archaeon Methanococcus maripaludis S2 using a derivative of the Tn5 transposon. About 89,000 unique insertions were mapped to the genome, which allowed for the classification of 526 genes or about 30% of the genome as possibly essential or strongly advantageous for growth in rich medium. Many of these genes were homologous to eukaryotic genes that encode fundamental processes in replication, transcription, and translation, providing direct evidence for their importance in Archaea. Some genes classified as possibly essential were unique to the archaeal or methanococcal lineages, such as that encoding DNA polymerase PolD. In contrast, the archaeal homolog to the gene encoding DNA polymerase B was not essential for growth, a conclusion confirmed by construction of an independent deletion mutation. Thus PolD, and not PolB, likely plays a fundamental role in DNA replication in methanococci. Similarly, 121 hypothetical ORFs were classified as possibly essential and likely play fundamental roles in methanococcal information processing or metabolism that are not established outside this group of prokaryotes.","DOI":"10.1073/pnas.1220225110","ISSN":"0027-8424, 1091-6490","note":"PMID: 23487778","journalAbbreviation":"PNAS","language":"en","author":[{"family":"Sarmiento","given":"Felipe"},{"family":"Mrázek","given":"Jan"},{"family":"Whitman","given":"William B."}],"issued":{"date-parts":[["2013",3,19]]},"PMID":"23487778"}}],"schema":"https://github.com/citation-style-language/schema/raw/master/csl-citation.json"} </w:instrText>
      </w:r>
      <w:r w:rsidR="001E6ABD">
        <w:rPr>
          <w:i/>
        </w:rPr>
        <w:fldChar w:fldCharType="separate"/>
      </w:r>
      <w:r w:rsidR="00276128" w:rsidRPr="00276128">
        <w:rPr>
          <w:rFonts w:cs="Times New Roman"/>
        </w:rPr>
        <w:t>(51)</w:t>
      </w:r>
      <w:r w:rsidR="001E6ABD">
        <w:rPr>
          <w:i/>
        </w:rPr>
        <w:fldChar w:fldCharType="end"/>
      </w:r>
      <w:r w:rsidR="00243CF0">
        <w:t xml:space="preserve"> and provided a “first pass” test set for gene essentiality. This dataset contained 4 different libraries with gene essentiality predictions in defined media, thus genes were predicted to be essential in 0-4 cases. </w:t>
      </w:r>
      <w:commentRangeStart w:id="8"/>
      <w:r w:rsidR="00243CF0">
        <w:t xml:space="preserve">We tested against this set four times using different essentiality thresholds; e.g. “Case 4” counted a gene in the dataset as </w:t>
      </w:r>
      <w:r w:rsidR="00756FF0">
        <w:t xml:space="preserve">essential only if it was predicted as essential in all 4 libraries, “Case 1” counted a gene in the dataset as essential if it was predicted as essential in at least 1 library. </w:t>
      </w:r>
      <w:r w:rsidR="00243CF0">
        <w:t>The iMR540 reconstruction shared 542 genes with this dataset</w:t>
      </w:r>
      <w:r w:rsidR="00756FF0">
        <w:t xml:space="preserve">, thus we were able to compare gene essentiality predictions across nearly the entire model. As shown in Figure 3, our model’s predictive accuracy in the four cases ranged from 61.8-65.7% and our Matthew’s Correlation Coefficient (MCC) ranged from 0.289-0.331. Predictive accuracy was maximized in the “Case 3” dataset whereas MCC was highest for “Case 2”, a small discrepancy in metrics that reflects less frequent prediction of false negative outcomes when total negative outcomes are increased. </w:t>
      </w:r>
      <w:commentRangeEnd w:id="8"/>
      <w:r w:rsidR="00756FF0">
        <w:rPr>
          <w:rStyle w:val="CommentReference"/>
          <w:rFonts w:asciiTheme="minorHAnsi" w:hAnsiTheme="minorHAnsi"/>
        </w:rPr>
        <w:commentReference w:id="8"/>
      </w:r>
      <w:r w:rsidR="00756FF0">
        <w:t xml:space="preserve">Overall, these metrics show a slight positive correlation between essentiality index predictions and gene essentiality predictions from out model. However, essentiality index is disparate from </w:t>
      </w:r>
      <w:r w:rsidR="005652C8">
        <w:t xml:space="preserve">gene knockout data, thus even though this dataset provided a broad assessment of our model’s </w:t>
      </w:r>
      <w:r w:rsidR="005652C8">
        <w:lastRenderedPageBreak/>
        <w:t xml:space="preserve">ability to predict gene essentiality, it does not provide the same clear picture as actual knockout experiments. </w:t>
      </w:r>
    </w:p>
    <w:p w14:paraId="3A8609F4" w14:textId="078E20ED" w:rsidR="009F4D6C" w:rsidRDefault="005652C8" w:rsidP="007A2129">
      <w:pPr>
        <w:spacing w:line="480" w:lineRule="auto"/>
      </w:pPr>
      <w:r>
        <w:t xml:space="preserve">For </w:t>
      </w:r>
      <w:r>
        <w:rPr>
          <w:i/>
        </w:rPr>
        <w:t>M. maripaludis</w:t>
      </w:r>
      <w:r w:rsidR="00F42364">
        <w:t xml:space="preserve"> </w:t>
      </w:r>
      <w:r w:rsidR="001E6ABD">
        <w:t xml:space="preserve">there is relatively little data where gene knockout experiments have been systematically carried out </w:t>
      </w:r>
      <w:r w:rsidR="00DC2671">
        <w:rPr>
          <w:i/>
        </w:rPr>
        <w:t>in vivo.</w:t>
      </w:r>
      <w:r w:rsidR="001E6ABD">
        <w:rPr>
          <w:i/>
        </w:rPr>
        <w:t xml:space="preserve"> </w:t>
      </w:r>
      <w:r w:rsidR="00F42364">
        <w:t xml:space="preserve">Because much of methanogenesis revolves around the function of different hydrogenases, the bulk of available gene knockout data involves hydrogenase knockouts on different media. </w:t>
      </w:r>
      <w:r w:rsidR="001E6ABD">
        <w:t xml:space="preserve">For our </w:t>
      </w:r>
      <w:r w:rsidR="00F42364">
        <w:t>test set</w:t>
      </w:r>
      <w:r w:rsidR="001E6ABD">
        <w:t xml:space="preserve">, </w:t>
      </w:r>
      <w:r w:rsidR="00650EC2">
        <w:t xml:space="preserve">we were able to assemble a knockout panel of 30 </w:t>
      </w:r>
      <w:r w:rsidR="00F42364">
        <w:t>binary growth phenotypes based on</w:t>
      </w:r>
      <w:r w:rsidR="00650EC2">
        <w:t xml:space="preserve"> previous publications</w:t>
      </w:r>
      <w:r w:rsidR="00F42364">
        <w:t xml:space="preserve"> </w:t>
      </w:r>
      <w:r w:rsidR="00F42364">
        <w:fldChar w:fldCharType="begin"/>
      </w:r>
      <w:r w:rsidR="00F5100D">
        <w:instrText xml:space="preserve"> ADDIN ZOTERO_ITEM CSL_CITATION {"citationID":"pNaGrqI1","properties":{"formattedCitation":"{\\rtf (32\\uc0\\u8211{}37)}","plainCitation":"(32–37)"},"citationItems":[{"id":358,"uris":["http://zotero.org/users/2565720/items/7SS9Q56S"],"uri":["http://zotero.org/users/2565720/items/7SS9Q56S"],"itemData":{"id":358,"type":"article-journal","title":"Disruption of the Operon Encoding Ehb Hydrogenase Limits Anabolic CO2 Assimilation in the Archaeon &lt;i&gt;Methanococcus maripaludis&lt;/i&gt;","container-title":"Journal of Bacteriology","page":"1373-1380","volume":"188","issue":"4","source":"jb.asm.org","abstract":"Methanococcus maripaludis is a mesophilic archaeon that reduces CO2 to methane with H2 or formate as an energy source. It contains two membrane-bound energy-conserving hydrogenases, Eha and Ehb. To determine the role of Ehb, a deletion in the ehb operon was constructed to yield the mutant, strain S40. Growth of S40 was severely impaired in minimal medium. Both acetate and yeast extract were necessary to restore growth to nearly wild-type levels, suggesting that Ehb was involved in multiple steps in carbon assimilation. However, no differences in the total hydrogenase specific activities were found between the wild type and mutant in either cell extracts or membrane-purified fractions. Methanogenesis by resting cells with pyruvate as the electron donor was also reduced by 30% in S40, suggesting a defect in pyruvate oxidation. CO dehydrogenase/acetyl coenzyme A (CoA) synthase and pyruvate oxidoreductase had higher specific activities in the mutant, and genes encoding these enzymes, as well as AMP-forming acetyl-CoA synthetase, were expressed at increased levels. These observations support a role for Ehb in anabolic CO2 assimilation in methanococci.","DOI":"10.1128/JB.188.4.1373-1380.2006","ISSN":"0021-9193, 1098-5530","note":"PMID: 16452419","journalAbbreviation":"J. Bacteriol.","language":"en","author":[{"family":"Porat","given":"Iris"},{"family":"Kim","given":"Wonduck"},{"family":"Hendrickson","given":"Erik L."},{"family":"Xia","given":"Qiangwei"},{"family":"Zhang","given":"Yi"},{"family":"Wang","given":"Tiansong"},{"family":"Taub","given":"Fred"},{"family":"Moore","given":"Brian C."},{"family":"Anderson","given":"Iain J."},{"family":"Hackett","given":"Murray"},{"family":"Leigh","given":"John A."},{"family":"Whitman","given":"William B."}],"issued":{"date-parts":[["2006",2,15]]},"PMID":"16452419"}},{"id":354,"uris":["http://zotero.org/users/2565720/items/IDJDZ2SU"],"uri":["http://zotero.org/users/2565720/items/IDJDZ2SU"],"itemData":{"id":354,"type":"article-journal","title":"Essential anaplerotic role for the energy-converting hydrogenase Eha in hydrogenotrophic methanogenesis","container-title":"Proceedings of the National Academy of Sciences","page":"15473-15478","volume":"109","issue":"38","source":"www.pnas.org","abstract":"Despite decades of study, electron flow and energy conservation in methanogenic Archaea are still not thoroughly understood. For methanogens without cytochromes, flavin-based electron bifurcation has been proposed as an essential energy-conserving mechanism that couples exergonic and endergonic reactions of methanogenesis. However, an alternative hypothesis posits that the energy-converting hydrogenase Eha provides a chemiosmosis-driven electron input to the endergonic reaction. In vivo evidence for both hypotheses is incomplete. By genetically eliminating all nonessential pathways of H2 metabolism in the model methanogen Methanococcus maripaludis and using formate as an additional electron donor, we isolate electron flow for methanogenesis from flux through Eha. We find that Eha does not function stoichiometrically for methanogenesis, implying that electron bifurcation must operate in vivo. We show that Eha is nevertheless essential, and a substoichiometric requirement for H2 suggests that its role is anaplerotic. Indeed, H2 via Eha stimulates methanogenesis from formate when intermediates are not otherwise replenished. These results fit the model for electron bifurcation, which renders the methanogenic pathway cyclic, and as such requires the replenishment of intermediates. Defining a role for Eha and verifying electron bifurcation provide a complete model of methanogenesis where all necessary electron inputs are accounted for.","DOI":"10.1073/pnas.1208779109","ISSN":"0027-8424, 1091-6490","note":"PMID: 22872868","journalAbbreviation":"PNAS","language":"en","author":[{"family":"Lie","given":"Thomas J."},{"family":"Costa","given":"Kyle C."},{"family":"Lupa","given":"Boguslaw"},{"family":"Korpole","given":"Suresh"},{"family":"Whitman","given":"William B."},{"family":"Leigh","given":"John A."}],"issued":{"date-parts":[["2012",9,18]]},"PMID":"22872868"}},{"id":25,"uris":["http://zotero.org/users/2565720/items/WZA4SPA5"],"uri":["http://zotero.org/users/2565720/items/WZA4SPA5"],"itemData":{"id":25,"type":"article-journal","title":"Formate-Dependent H2 Production by the Mesophilic Methanogen &lt;i&gt;Methanococcus maripaludis&lt;/i&gt;","container-title":"Applied and Environmental Microbiology","page":"6584-6590","volume":"74","issue":"21","source":"aem.asm.org","abstract":"Methanococcus maripaludis, an H2- and formate-utilizing methanogen, produced H2 at high rates from formate. The rates and kinetics of H2 production depended upon the growth conditions, and H2 availability during growth was a major factor. Specific activities of resting cells grown with formate or H2 were 0.4 to 1.4 U·mg−1 (dry weight). H2 production in formate-grown cells followed Michaelis-Menten kinetics, and the concentration of formate required for half-maximal activity (Kf) was 3.6 mM. In contrast, in H2-grown cells this process followed sigmoidal kinetics, and the Kf was 9 mM. A key enzyme for formate-dependent H2 production was formate dehydrogenase, Fdh. H2 production and growth were severely reduced in a mutant containing a deletion of the gene encoding the Fdh1 isozyme, indicating that it was the primary Fdh. In contrast, a mutant containing a deletion of the gene encoding the Fdh2 isozyme possessed near-wild-type activities, indicating that this isozyme did not play a major role. H2 production by a mutant containing a deletion of the coenzyme F420-reducing hydrogenase Fru was also severely reduced, suggesting that the major pathway of H2 production comprised Fdh1 and Fru. Because a Δfru-Δfrc mutant retained 10% of the wild-type activity, an additional pathway is present. Mutants possessing deletions of the gene encoding the F420-dependent methylene-H4MTP dehydrogenase (Mtd) or the H2-forming methylene-H4MTP dehydrogenase (Hmd) also possessed reduced activity, which suggested that this second pathway was comprised of Fdh1-Mtd-Hmd. In contrast to H2 production, the cellular rates of methanogenesis were unaffected in these mutants, which suggested that the observed H2 production was not a direct intermediate of methanogenesis. In conclusion, high rates of formate-dependent H2 production demonstrated the potential of M. maripaludis for the microbial production of H2 from formate.","DOI":"10.1128/AEM.01455-08","ISSN":"0099-2240, 1098-5336","note":"PMID: 18791018","journalAbbreviation":"Appl. Environ. Microbiol.","language":"en","author":[{"family":"Lupa","given":"Boguslaw"},{"family":"Hendrickson","given":"Erik L."},{"family":"Leigh","given":"John A."},{"family":"Whitman","given":"William B."}],"issued":{"date-parts":[["2008",11,1]]},"PMID":"18791018"}},{"id":52,"uris":["http://zotero.org/users/2565720/items/U4KKPEB7"],"uri":["http://zotero.org/users/2565720/items/U4KKPEB7"],"itemData":{"id":52,"type":"article-journal","title":"H2-Independent Growth of the Hydrogenotrophic Methanogen &lt;i&gt;Methanococcus maripaludis&lt;/i&gt;","container-title":"mBio","page":"e00062-13","volume":"4","issue":"2","source":"mbio.asm.org","abstract":"Hydrogenotrophic methanogenic Archaea require reduced ferredoxin as an anaplerotic source of electrons for methanogenesis. H2 oxidation by the hydrogenase Eha provides these electrons, consistent with an H2 requirement for growth. Here we report the identification of alternative pathways of ferredoxin reduction in Methanococcus maripaludis that operate independently of Eha to stimulate methanogenesis. A suppressor mutation that increased expression of the glycolytic enzyme glyceraldehyde-3-phosphate:ferredoxin oxidoreductase resulted in a strain capable of H2-independent ferredoxin reduction and growth with formate as the sole electron donor. In this background, it was possible to eliminate all seven hydrogenases of M. maripaludis. Alternatively, carbon monoxide oxidation by carbon monoxide dehydrogenase could also generate reduced ferredoxin that feeds into methanogenesis. In either case, the reduced ferredoxin generated was inefficient at stimulating methanogenesis, resulting in a slow growth phenotype. As methanogenesis is limited by the availability of reduced ferredoxin under these conditions, other electron donors, such as reduced coenzyme F420, should be abundant. Indeed, when F420-reducing hydrogenase was reintroduced into the hydrogenase-free mutant, the equilibrium of H2 production via an F420-dependent formate:H2 lyase activity shifted markedly toward H2 compared to the wild type.\nIMPORTANCE Hydrogenotrophic methanogens are thought to require H2 as a substrate for growth and methanogenesis. Here we show alternative pathways in methanogenic metabolism that alleviate this H2 requirement and demonstrate, for the first time, a hydrogenotrophic methanogen that is capable of growth in the complete absence of H2. The demonstration of alternative pathways in methanogenic metabolism suggests that this important group of organisms is metabolically more versatile than previously thought.","DOI":"10.1128/mBio.00062-13","ISSN":", 2150-7511","note":"PMID: 23443005","journalAbbreviation":"mBio","language":"en","author":[{"family":"Costa","given":"Kyle C."},{"family":"Lie","given":"Thomas J."},{"family":"Jacobs","given":"Michael A."},{"family":"Leigh","given":"John A."}],"issued":{"date-parts":[["2013",5,1]]},"PMID":"23443005"}},{"id":362,"uris":["http://zotero.org/users/2565720/items/RK2ZM9JE"],"uri":["http://zotero.org/users/2565720/items/RK2ZM9JE"],"itemData":{"id":362,"type":"article-journal","title":"Protein complexing in a methanogen suggests electron bifurcation and electron delivery from formate to heterodisulfide reductase","container-title":"Proceedings of the National Academy of Sciences","page":"11050-11055","volume":"107","issue":"24","source":"www.pnas.org","abstract":"In methanogenic Archaea, the final step of methanogenesis generates methane and a heterodisulfide of coenzyme M and coenzyme B (CoM-S-S-CoB). Reduction of this heterodisulfide by heterodisulfide reductase to regenerate HS-CoM and HS-CoB is an exergonic process. Thauer et al. [Thauer, et al. 2008 Nat Rev Microbiol 6:579–591] recently suggested that in hydrogenotrophic methanogens the energy of heterodisulfide reduction powers the most endergonic reaction in the pathway, catalyzed by the formylmethanofuran dehydrogenase, via flavin-based electron bifurcation. Here we present evidence that these two steps in methanogenesis are physically linked. We identify a protein complex from the hydrogenotrophic methanogen, Methanococcus maripaludis, that contains heterodisulfide reductase, formylmethanofuran dehydrogenase, F420-nonreducing hydrogenase, and formate dehydrogenase. In addition to establishing a physical basis for the electron-bifurcation model of energy conservation, the composition of the complex also suggests that either H2 or formate (two alternative electron donors for methanogenesis) can donate electrons to the heterodisulfide-H2 via F420-nonreducing hydrogenase or formate via formate dehydrogenase. Electron flow from formate to the heterodisulfide rather than the use of H2 as an intermediate represents a previously unknown path of electron flow in methanogenesis. We further tested whether this path occurs by constructing a mutant lacking F420-nonreducing hydrogenase. The mutant displayed growth equal to wild-type with formate but markedly slower growth with hydrogen. The results support the model of electron bifurcation and suggest that formate, like H2, is closely integrated into the methanogenic pathway.","DOI":"10.1073/pnas.1003653107","ISSN":"0027-8424, 1091-6490","note":"PMID: 20534465","journalAbbreviation":"PNAS","language":"en","author":[{"family":"Costa","given":"Kyle C."},{"family":"Wong","given":"Phoebe M."},{"family":"Wang","given":"Tiansong"},{"family":"Lie","given":"Thomas J."},{"family":"Dodsworth","given":"Jeremy A."},{"family":"Swanson","given":"Ingrid"},{"family":"Burn","given":"June A."},{"family":"Hackett","given":"Murray"},{"family":"Leigh","given":"John A."}],"issued":{"date-parts":[["2010",6,15]]},"PMID":"20534465"}},{"id":104,"uris":["http://zotero.org/users/2565720/items/GDJNQU3B"],"uri":["http://zotero.org/users/2565720/items/GDJNQU3B"],"itemData":{"id":104,"type":"article-journal","title":"Roles of Coenzyme F420-Reducing Hydrogenases and Hydrogen- and F420-Dependent Methylenetetrahydromethanopterin Dehydrogenases in Reduction of F420 and Production of Hydrogen during Methanogenesis","container-title":"Journal of Bacteriology","page":"4818-4821","volume":"190","issue":"14","source":"jb.asm.org","abstract":"Reduced coenzyme F420 (F420H2) is an essential intermediate in methanogenesis from CO2. During methanogenesis from H2 and CO2, F420H2 is provided by the action of F420-reducing hydrogenases. However, an alternative pathway has been proposed, where H2-dependent methylenetetrahydromethanopterin dehydrogenase (Hmd) and F420H2-dependent methylenetetrahydromethanopterin dehydrogenase (Mtd) together reduce F420 with H2. Here we report the construction of mutants of Methanococcus maripaludis that are defective in each putative pathway. Their analysis demonstrates that either pathway supports growth on H2 and CO2. Furthermore, we show that during growth on formate instead of H2, where F420H2 is a direct product of formate oxidation, H2 production occurs. H2 presumably arises from the oxidation of F420H2, and the analysis of the mutants during growth on formate suggests that this too can occur by either pathway. We designate the alternative pathway for the interconversion of H2 and F420H2 the Hmd-Mtd cycle.","DOI":"10.1128/JB.00255-08","ISSN":"0021-9193, 1098-5530","note":"PMID: 18487331","journalAbbreviation":"J. Bacteriol.","language":"en","author":[{"family":"Hendrickson","given":"Erik L."},{"family":"Leigh","given":"John A."}],"issued":{"date-parts":[["2008",7,15]]},"PMID":"18487331"}}],"schema":"https://github.com/citation-style-language/schema/raw/master/csl-citation.json"} </w:instrText>
      </w:r>
      <w:r w:rsidR="00F42364">
        <w:fldChar w:fldCharType="separate"/>
      </w:r>
      <w:r w:rsidR="00552A03" w:rsidRPr="00552A03">
        <w:rPr>
          <w:rFonts w:cs="Times New Roman"/>
          <w:szCs w:val="24"/>
        </w:rPr>
        <w:t>(32–37)</w:t>
      </w:r>
      <w:r w:rsidR="00F42364">
        <w:fldChar w:fldCharType="end"/>
      </w:r>
      <w:r w:rsidR="00650EC2">
        <w:t>. Th</w:t>
      </w:r>
      <w:r w:rsidR="00F42364">
        <w:t xml:space="preserve">ough the breadth of these knockout genotypes is limited, they are all vital pieces of </w:t>
      </w:r>
      <w:r w:rsidR="00650EC2">
        <w:t xml:space="preserve">central carbon metabolism and </w:t>
      </w:r>
      <w:r w:rsidR="00F42364">
        <w:t>therefore</w:t>
      </w:r>
      <w:r w:rsidR="00650EC2">
        <w:t xml:space="preserve">, they give us a good idea of how well our model can predict knockouts in central catabolism. In comparing with these data, </w:t>
      </w:r>
      <w:r w:rsidR="009D69A7">
        <w:t xml:space="preserve">as shown in Figure 3, </w:t>
      </w:r>
      <w:r w:rsidR="00F42364">
        <w:t xml:space="preserve">our model achieved 90% prediction accuracy and a Matthew’s correlation coefficient of 0.67. These high values suggested that our model is an excellent predictor of growth phenotype based on genotype changes in central carbon metabolism. This result was particularly encouraging because we avoided training our model on this dataset in the interest of preventing overfitting our model to the validation set. </w:t>
      </w:r>
    </w:p>
    <w:p w14:paraId="555C425A" w14:textId="0305DFCD" w:rsidR="00650EC2" w:rsidRDefault="00F42364" w:rsidP="007A2129">
      <w:pPr>
        <w:spacing w:line="480" w:lineRule="auto"/>
      </w:pPr>
      <w:r>
        <w:t xml:space="preserve">It is also worth noting that all </w:t>
      </w:r>
      <w:r w:rsidR="004D13B8">
        <w:t xml:space="preserve">3 incorrect predictions </w:t>
      </w:r>
      <w:r w:rsidR="005652C8">
        <w:t>have similar</w:t>
      </w:r>
      <w:r w:rsidR="004D13B8">
        <w:t xml:space="preserve"> bases</w:t>
      </w:r>
      <w:r w:rsidR="005652C8">
        <w:t xml:space="preserve"> in the model</w:t>
      </w:r>
      <w:r w:rsidR="004D13B8">
        <w:t xml:space="preserve">. In these cases, knockouts of 5 or 6 hydrogenases are </w:t>
      </w:r>
      <w:r w:rsidR="005652C8">
        <w:t xml:space="preserve">experimentally found to be </w:t>
      </w:r>
      <w:r w:rsidR="004D13B8">
        <w:t>lethal in formate-grown cells</w:t>
      </w:r>
      <w:r w:rsidR="005652C8">
        <w:t>, yet our model predicts these knockouts to be non-lethal. The reason for this disagreement lies in acetyl-CoA synthase (ACS), which ordinarily works with carbon monoxide dehydrogenase (CODH)</w:t>
      </w:r>
      <w:r w:rsidR="004D13B8">
        <w:t xml:space="preserve"> </w:t>
      </w:r>
      <w:r w:rsidR="005652C8">
        <w:t>to synthesize biosynthetic equivalents of acetyl-CoA from 5-Methyl-H</w:t>
      </w:r>
      <w:r w:rsidR="005652C8" w:rsidRPr="005652C8">
        <w:rPr>
          <w:vertAlign w:val="subscript"/>
        </w:rPr>
        <w:t>4</w:t>
      </w:r>
      <w:r w:rsidR="005652C8">
        <w:t xml:space="preserve">MPT using electrons from ferredoxin. During a 5- or 6-hydrogenase knockout, </w:t>
      </w:r>
      <w:r w:rsidR="005652C8">
        <w:rPr>
          <w:i/>
        </w:rPr>
        <w:t xml:space="preserve">M. maripaludis </w:t>
      </w:r>
      <w:r w:rsidR="005652C8">
        <w:t xml:space="preserve">loses its ability to generate anaplerotic ferredoxin from </w:t>
      </w:r>
      <w:proofErr w:type="spellStart"/>
      <w:r w:rsidR="005652C8">
        <w:t>Eha</w:t>
      </w:r>
      <w:proofErr w:type="spellEnd"/>
      <w:r w:rsidR="005652C8">
        <w:t>/</w:t>
      </w:r>
      <w:proofErr w:type="spellStart"/>
      <w:r w:rsidR="005652C8">
        <w:t>Ehb</w:t>
      </w:r>
      <w:proofErr w:type="spellEnd"/>
      <w:r w:rsidR="005652C8">
        <w:t xml:space="preserve"> hydrogenase, but in iMR540 this is supplemented by the ACS-CODH complex working in reverse to reduce ferredoxin by oxidizing acetyl-coA. This reverse pathway is made possible by a predicted alternate acetyl-coA </w:t>
      </w:r>
      <w:r w:rsidR="005652C8">
        <w:lastRenderedPageBreak/>
        <w:t xml:space="preserve">synthesis pathway </w:t>
      </w:r>
      <w:r w:rsidR="00557844">
        <w:t xml:space="preserve">from glycine, in which glycine can be converted to acetyl-coA through acetate. </w:t>
      </w:r>
      <w:r w:rsidR="00C70679">
        <w:t>Notably,</w:t>
      </w:r>
      <w:r w:rsidR="00557844">
        <w:t xml:space="preserve"> this alternate route cannot provide the same growt</w:t>
      </w:r>
      <w:r w:rsidR="00C70679">
        <w:t xml:space="preserve">h yield as the wild type strain but is </w:t>
      </w:r>
      <w:r w:rsidR="00557844">
        <w:t>pre</w:t>
      </w:r>
      <w:r w:rsidR="00C70679">
        <w:t>dicted to be sufficient for preventing complete</w:t>
      </w:r>
      <w:r w:rsidR="00557844">
        <w:t xml:space="preserve"> lethality. This alternate pathway, which was added from </w:t>
      </w:r>
      <w:proofErr w:type="spellStart"/>
      <w:r w:rsidR="00557844">
        <w:t>Kbase</w:t>
      </w:r>
      <w:proofErr w:type="spellEnd"/>
      <w:r w:rsidR="00557844">
        <w:t xml:space="preserve"> during the automated reconstruction process, provides an interesting target for further experiments and we are currently investigating its potential as an alternative acetyl-coA synthesis pathway.</w:t>
      </w:r>
    </w:p>
    <w:p w14:paraId="5C3276FB" w14:textId="77777777" w:rsidR="00992E1B" w:rsidRDefault="00992E1B" w:rsidP="00992E1B">
      <w:pPr>
        <w:pStyle w:val="Heading2"/>
      </w:pPr>
      <w:r>
        <w:t>Thermodynamic Calculations</w:t>
      </w:r>
    </w:p>
    <w:p w14:paraId="328C7F12" w14:textId="6144B226" w:rsidR="006D6FE3" w:rsidRDefault="00992E1B" w:rsidP="00992E1B">
      <w:pPr>
        <w:spacing w:line="480" w:lineRule="auto"/>
      </w:pPr>
      <w:r>
        <w:t xml:space="preserve">Free energy plays a key role in biochemistry as all biological systems must have a sufficiently low overall free energy to support </w:t>
      </w:r>
      <w:commentRangeStart w:id="9"/>
      <w:r>
        <w:t>growth</w:t>
      </w:r>
      <w:commentRangeEnd w:id="9"/>
      <w:r w:rsidR="005C589C">
        <w:rPr>
          <w:rStyle w:val="CommentReference"/>
          <w:rFonts w:asciiTheme="minorHAnsi" w:hAnsiTheme="minorHAnsi"/>
        </w:rPr>
        <w:commentReference w:id="9"/>
      </w:r>
      <w:r>
        <w:t xml:space="preserve">. </w:t>
      </w:r>
      <w:r w:rsidR="00111F78">
        <w:t>When simulating</w:t>
      </w:r>
      <w:r>
        <w:t xml:space="preserve"> </w:t>
      </w:r>
      <w:r w:rsidR="004B077E">
        <w:t>optimal growth using a metabolic model</w:t>
      </w:r>
      <w:r>
        <w:t xml:space="preserve"> we expect the same rules to apply to our system, hence we can apply ther</w:t>
      </w:r>
      <w:r w:rsidR="004B077E">
        <w:t xml:space="preserve">modynamic constraints to the model </w:t>
      </w:r>
      <w:r>
        <w:t>based on metabolite free energies of formation. In a previous study, free energies of formation were used to constrain reversibility of all internal model reactions based on the second law of thermodynamics</w:t>
      </w:r>
      <w:r w:rsidR="00111F78">
        <w:t xml:space="preserve"> </w:t>
      </w:r>
      <w:r w:rsidR="00111F78">
        <w:fldChar w:fldCharType="begin"/>
      </w:r>
      <w:r w:rsidR="00F5100D">
        <w:instrText xml:space="preserve"> ADDIN ZOTERO_ITEM CSL_CITATION {"citationID":"2p3t5qv1lr","properties":{"formattedCitation":"(21)","plainCitation":"(21)"},"citationItems":[{"id":147,"uris":["http://zotero.org/users/2565720/items/K56TQDNQ"],"uri":["http://zotero.org/users/2565720/items/K56TQDNQ"],"itemData":{"id":147,"type":"article-journal","title":"Thermodynamics-Based Metabolic Flux Analysis","container-title":"Biophysical Journal","page":"1792-1805","volume":"92","issue":"5","source":"CrossRef","DOI":"10.1529/biophysj.106.093138","ISSN":"00063495","language":"en","author":[{"family":"Henry","given":"Christopher S."},{"family":"Broadbelt","given":"Linda J."},{"family":"Hatzimanikatis","given":"Vassily"}],"issued":{"date-parts":[["2007",3]]}}}],"schema":"https://github.com/citation-style-language/schema/raw/master/csl-citation.json"} </w:instrText>
      </w:r>
      <w:r w:rsidR="00111F78">
        <w:fldChar w:fldCharType="separate"/>
      </w:r>
      <w:r w:rsidR="00552A03" w:rsidRPr="00552A03">
        <w:rPr>
          <w:rFonts w:cs="Times New Roman"/>
        </w:rPr>
        <w:t>(21)</w:t>
      </w:r>
      <w:r w:rsidR="00111F78">
        <w:fldChar w:fldCharType="end"/>
      </w:r>
      <w:r w:rsidR="00111F78">
        <w:t xml:space="preserve">. This method, while rigorous, is highly dependent on concentration and can be overly </w:t>
      </w:r>
      <w:r w:rsidR="004B077E">
        <w:t>restrictive with regard to predicted flux distributions</w:t>
      </w:r>
      <w:r w:rsidR="00111F78">
        <w:t xml:space="preserve">; thus it is most effective when paired with metabolite </w:t>
      </w:r>
      <w:r w:rsidR="005C589C">
        <w:t xml:space="preserve">effective </w:t>
      </w:r>
      <w:r w:rsidR="00111F78">
        <w:t xml:space="preserve">concentration data </w:t>
      </w:r>
      <w:r w:rsidR="00111F78">
        <w:fldChar w:fldCharType="begin"/>
      </w:r>
      <w:r w:rsidR="00F5100D">
        <w:instrText xml:space="preserve"> ADDIN ZOTERO_ITEM CSL_CITATION {"citationID":"f23h5d5rc","properties":{"formattedCitation":"(22)","plainCitation":"(22)"},"citationItems":[{"id":161,"uris":["http://zotero.org/users/2565720/items/SMSZVUAX"],"uri":["http://zotero.org/users/2565720/items/SMSZVUAX"],"itemData":{"id":161,"type":"article-journal","title":"Including metabolite concentrations into flux balance analysis: thermodynamic realizability as a constraint on flux distributions in metabolic networks","container-title":"BMC systems biology","page":"23","volume":"1","issue":"1","source":"Google Scholar","shortTitle":"Including metabolite concentrations into flux balance analysis","author":[{"family":"Hoppe","given":"Andreas"},{"family":"Hoffmann","given":"Sabrina"},{"family":"Holzhütter","given":"Hermann-Georg"}],"issued":{"date-parts":[["2007"]]}}}],"schema":"https://github.com/citation-style-language/schema/raw/master/csl-citation.json"} </w:instrText>
      </w:r>
      <w:r w:rsidR="00111F78">
        <w:fldChar w:fldCharType="separate"/>
      </w:r>
      <w:r w:rsidR="00552A03" w:rsidRPr="00552A03">
        <w:rPr>
          <w:rFonts w:cs="Times New Roman"/>
        </w:rPr>
        <w:t>(22)</w:t>
      </w:r>
      <w:r w:rsidR="00111F78">
        <w:fldChar w:fldCharType="end"/>
      </w:r>
      <w:r w:rsidR="00111F78">
        <w:t>.</w:t>
      </w:r>
      <w:r w:rsidR="00673E4C">
        <w:t xml:space="preserve"> </w:t>
      </w:r>
      <w:r w:rsidR="00111F78">
        <w:t xml:space="preserve">Lacking extensive </w:t>
      </w:r>
      <w:r w:rsidR="005C589C">
        <w:t xml:space="preserve">effective </w:t>
      </w:r>
      <w:r w:rsidR="00111F78">
        <w:t xml:space="preserve">concentration data for </w:t>
      </w:r>
      <w:r w:rsidR="00111F78">
        <w:rPr>
          <w:i/>
        </w:rPr>
        <w:t xml:space="preserve">M. maripaludis, </w:t>
      </w:r>
      <w:r w:rsidR="00111F78">
        <w:t xml:space="preserve">we chose to represent free energy constraints in a </w:t>
      </w:r>
      <w:r w:rsidR="004B077E">
        <w:t xml:space="preserve">novel approach where we add free energies only to exchange reactions, the set of metabolites that can be taken up or produced by the model. These metabolites effectively represent the overall biochemical “reaction” </w:t>
      </w:r>
      <w:r w:rsidR="00DC26B4">
        <w:t>of a</w:t>
      </w:r>
      <w:r w:rsidR="004B077E">
        <w:t xml:space="preserve"> </w:t>
      </w:r>
      <w:proofErr w:type="gramStart"/>
      <w:r w:rsidR="004B077E">
        <w:t>model,</w:t>
      </w:r>
      <w:proofErr w:type="gramEnd"/>
      <w:r w:rsidR="004B077E">
        <w:t xml:space="preserve"> therefore it is reasonable to expect this overall reaction </w:t>
      </w:r>
      <w:r w:rsidR="005C589C">
        <w:t>must</w:t>
      </w:r>
      <w:r w:rsidR="004B077E">
        <w:t xml:space="preserve"> produce a negative overall free energy</w:t>
      </w:r>
      <w:r w:rsidR="005C589C">
        <w:t xml:space="preserve"> to support growth</w:t>
      </w:r>
      <w:r w:rsidR="00DC26B4">
        <w:t>. This additional constraint can be added by</w:t>
      </w:r>
      <w:r w:rsidR="006D6FE3">
        <w:t xml:space="preserve"> restricting overall free energy to be negative, the equivalent of imposing the second law of thermodynamics on the organism </w:t>
      </w:r>
      <w:commentRangeStart w:id="10"/>
      <w:r w:rsidR="006D6FE3">
        <w:t>itself</w:t>
      </w:r>
      <w:commentRangeEnd w:id="10"/>
      <w:r w:rsidR="00967F47">
        <w:rPr>
          <w:rStyle w:val="CommentReference"/>
          <w:rFonts w:asciiTheme="minorHAnsi" w:hAnsiTheme="minorHAnsi"/>
        </w:rPr>
        <w:commentReference w:id="10"/>
      </w:r>
      <w:r w:rsidR="006D6FE3">
        <w:t xml:space="preserve">. </w:t>
      </w:r>
    </w:p>
    <w:p w14:paraId="42919EC9" w14:textId="2D59F85D" w:rsidR="00992E1B" w:rsidRDefault="006D6FE3" w:rsidP="007A2129">
      <w:pPr>
        <w:spacing w:line="480" w:lineRule="auto"/>
      </w:pPr>
      <w:r>
        <w:lastRenderedPageBreak/>
        <w:t xml:space="preserve">We expect that </w:t>
      </w:r>
      <w:r w:rsidR="00DC26B4">
        <w:t>this straightforward calculation (see Methods)</w:t>
      </w:r>
      <w:r>
        <w:t xml:space="preserve"> will be a useful addition to our model, particularly as we aim to use it as a platform for generating possible strain designs. With regard to free energy, methanogens are particularly notable in that they subsist close to the thermodynamic limit to support growth </w:t>
      </w:r>
      <w:r>
        <w:fldChar w:fldCharType="begin"/>
      </w:r>
      <w:r w:rsidR="00F5100D">
        <w:instrText xml:space="preserve"> ADDIN ZOTERO_ITEM CSL_CITATION {"citationID":"1dpvgoc3al","properties":{"formattedCitation":"(20)","plainCitation":"(20)"},"citationItems":[{"id":312,"uris":["http://zotero.org/users/2565720/items/RRE8QV7S"],"uri":["http://zotero.org/users/2565720/items/RRE8QV7S"],"itemData":{"id":312,"type":"article-journal","title":"Anaerobic microbial metabolism can proceed close to thermodynamic limits","container-title":"Nature","page":"454-456","volume":"415","issue":"6870","source":"www.nature.com.proxy2.library.illinois.edu","abstract":"Many fermentative bacteria obtain energy for growth by reactions in which the change in free energy (G') is less than that needed to synthesize ATP. These bacteria couple substrate metabolism directly to ATP synthesis, however, by classical phosphoryl transfer reactions. An explanation for the energy economy of these organisms is that biological systems conserve energy in discrete amounts, with a minimum, biochemically convertible energy value of about -20 kJ mol-1 (refs 1, 2, 3). This concept predicts that anaerobic substrate decay ceases before the minimum free energy value is reached, and several studies support this prediction. Here we show that metabolism by syntrophic associations, in which the degradation of a substrate by one species is thermodynamically possible only through removal of the end product by another species, can occur at values close to thermodynamic equilibrium (G' 0 kJ mol-1). The free energy remaining when substrate metabolism halts is not constant; it depends on the terminal electron-accepting reaction and the amount of energy required for substrate activation. Syntrophic associations metabolize near thermodynamic equilibrium, indicating that bacteria operate extremely efficient catabolic systems.","DOI":"10.1038/415454a","ISSN":"0028-0836","journalAbbreviation":"Nature","author":[{"family":"Jackson","given":"Bradley E."},{"family":"McInerney","given":"Michael J."}],"issued":{"date-parts":[["2002",1,24]]}}}],"schema":"https://github.com/citation-style-language/schema/raw/master/csl-citation.json"} </w:instrText>
      </w:r>
      <w:r>
        <w:fldChar w:fldCharType="separate"/>
      </w:r>
      <w:r w:rsidR="00552A03" w:rsidRPr="00552A03">
        <w:rPr>
          <w:rFonts w:cs="Times New Roman"/>
        </w:rPr>
        <w:t>(20)</w:t>
      </w:r>
      <w:r>
        <w:fldChar w:fldCharType="end"/>
      </w:r>
      <w:r>
        <w:t xml:space="preserve">. It follows that for any potential strain design, we must pay particular attention to the overall free energy of our system, lest it dip below this vital threshold. It may also provide a metric for differentiating between multiple </w:t>
      </w:r>
      <w:r w:rsidR="008946EC">
        <w:t xml:space="preserve">feasible strain designs by ranking them in order of thermodynamic feasibility. At the very least, it serves as an additional capability of our model and as a checkpoint to ensure that our overall stoichiometry matches up with overall free energy. </w:t>
      </w:r>
      <w:r>
        <w:t xml:space="preserve">We have included example functions for </w:t>
      </w:r>
      <w:r w:rsidR="008946EC">
        <w:t>adding metabolite free energies to our model and performing FBA with an additional</w:t>
      </w:r>
      <w:r>
        <w:t xml:space="preserve"> free energy calculation (see Supplementary Materials)</w:t>
      </w:r>
      <w:r w:rsidR="008946EC">
        <w:t>.</w:t>
      </w:r>
    </w:p>
    <w:p w14:paraId="4063BF53" w14:textId="6CA3AFC4" w:rsidR="00B36C33" w:rsidRDefault="00603980" w:rsidP="00B36C33">
      <w:pPr>
        <w:pStyle w:val="Heading2"/>
      </w:pPr>
      <w:r>
        <w:t>Reconstruction and Model</w:t>
      </w:r>
      <w:r w:rsidR="00B36C33">
        <w:t xml:space="preserve"> </w:t>
      </w:r>
      <w:r w:rsidR="001637CD">
        <w:t xml:space="preserve">Availability </w:t>
      </w:r>
      <w:r w:rsidR="00967F47">
        <w:rPr>
          <w:rStyle w:val="CommentReference"/>
          <w:rFonts w:asciiTheme="minorHAnsi" w:eastAsiaTheme="minorHAnsi" w:hAnsiTheme="minorHAnsi" w:cstheme="minorBidi"/>
          <w:b w:val="0"/>
          <w:bCs w:val="0"/>
          <w:color w:val="auto"/>
        </w:rPr>
        <w:commentReference w:id="11"/>
      </w:r>
    </w:p>
    <w:p w14:paraId="3F60C21B" w14:textId="1FB9FFF3" w:rsidR="00322F94" w:rsidRDefault="00603980" w:rsidP="00603980">
      <w:pPr>
        <w:spacing w:line="480" w:lineRule="auto"/>
      </w:pPr>
      <w:r>
        <w:t xml:space="preserve">Reconstructing a metabolic network is an iterative process and therefore, it is paramount that reconstructions be as clear as possible to encourage future updates and expansions </w:t>
      </w:r>
      <w:r>
        <w:fldChar w:fldCharType="begin"/>
      </w:r>
      <w:r w:rsidR="00F5100D">
        <w:instrText xml:space="preserve"> ADDIN ZOTERO_ITEM CSL_CITATION {"citationID":"2q74n3gsc3","properties":{"formattedCitation":"(30)","plainCitation":"(30)"},"citationItems":[{"id":87,"uris":["http://zotero.org/users/2565720/items/J6WIU5F9"],"uri":["http://zotero.org/users/2565720/items/J6WIU5F9"],"itemData":{"id":87,"type":"article-journal","title":"Transparency in metabolic network reconstruction enables scalable biological discovery","container-title":"Current Opinion in Biotechnology","collection-title":"Systems Biology • Nanobiotechnology","page":"105-109","volume":"34","source":"ScienceDirect","abstract":"Reconstructing metabolic pathways has long been a focus of active research. Now, draft models can be generated from genomic annotation and used to simulate metabolic fluxes of mass and energy at the whole-cell scale. This approach has led to an explosion in the number of functional metabolic network models. However, more models have not led to expanded coverage of metabolic reactions known to occur in the biosphere. Thus, there exists opportunity to reconsider the process of reconstruction and model derivation to better support the less-scalable investigative processes of biocuration and experimentation. Realizing this opportunity to improve our knowledge of metabolism requires developing new tools that make reconstructions more useful by highlighting metabolic network knowledge limitations to guide future research.","DOI":"10.1016/j.copbio.2014.12.010","ISSN":"0958-1669","journalAbbreviation":"Current Opinion in Biotechnology","author":[{"family":"Heavner","given":"Benjamin D"},{"family":"Price","given":"Nathan D"}],"issued":{"date-parts":[["2015",8]]}}}],"schema":"https://github.com/citation-style-language/schema/raw/master/csl-citation.json"} </w:instrText>
      </w:r>
      <w:r>
        <w:fldChar w:fldCharType="separate"/>
      </w:r>
      <w:r w:rsidR="00552A03" w:rsidRPr="00552A03">
        <w:rPr>
          <w:rFonts w:cs="Times New Roman"/>
        </w:rPr>
        <w:t>(30)</w:t>
      </w:r>
      <w:r>
        <w:fldChar w:fldCharType="end"/>
      </w:r>
      <w:r>
        <w:t>. We have strived for clarity in both our nomenclature and in our decision making process for including each reaction present in our reconstruction</w:t>
      </w:r>
      <w:r w:rsidR="00992E1B">
        <w:t xml:space="preserve">. Reactions and metabolites in our </w:t>
      </w:r>
      <w:r w:rsidR="00967F47">
        <w:t>network</w:t>
      </w:r>
      <w:r w:rsidR="00992E1B">
        <w:t xml:space="preserve"> are based upon identifiers and names found in </w:t>
      </w:r>
      <w:proofErr w:type="spellStart"/>
      <w:r w:rsidR="00992E1B">
        <w:t>Kbase</w:t>
      </w:r>
      <w:proofErr w:type="spellEnd"/>
      <w:r w:rsidR="00992E1B">
        <w:t xml:space="preserve">, but also include crosslinks to </w:t>
      </w:r>
      <w:proofErr w:type="spellStart"/>
      <w:r w:rsidR="00557844">
        <w:t>ChEBI</w:t>
      </w:r>
      <w:proofErr w:type="spellEnd"/>
      <w:r w:rsidR="00557844">
        <w:t xml:space="preserve"> </w:t>
      </w:r>
      <w:r w:rsidR="00557844">
        <w:fldChar w:fldCharType="begin"/>
      </w:r>
      <w:r w:rsidR="00F5100D">
        <w:instrText xml:space="preserve"> ADDIN ZOTERO_ITEM CSL_CITATION {"citationID":"ousa9qvtq","properties":{"formattedCitation":"(52)","plainCitation":"(52)"},"citationItems":[{"id":406,"uris":["http://zotero.org/users/2565720/items/D7X4S8P3"],"uri":["http://zotero.org/users/2565720/items/D7X4S8P3"],"itemData":{"id":406,"type":"article-journal","title":"ChEBI: a database and ontology for chemical entities of biological interest","container-title":"Nucleic Acids Research","page":"D344-D350","volume":"36","issue":"suppl 1","source":"nar.oxfordjournals.org","abstract":"Chemical Entities of Biological Interest (ChEBI) is a freely available dictionary of molecular entities focused on ‘small’ chemical compounds. The molecular entities in question are either natural products or synthetic products used to intervene in the processes of living organisms. Genome-encoded macromolecules (nucleic acids, proteins and peptides derived from proteins by cleavage) are not as a rule included in ChEBI. In addition to molecular entities, ChEBI contains groups (parts of molecular entities) and classes of entities. ChEBI includes an ontological classification, whereby the relationships between molecular entities or classes of entities and their parents and/or children are specified. ChEBI is available online at http://www.ebi.ac.uk/chebi/","DOI":"10.1093/nar/gkm791","ISSN":"0305-1048, 1362-4962","note":"PMID: 17932057","shortTitle":"ChEBI","journalAbbreviation":"Nucl. Acids Res.","language":"en","author":[{"family":"Degtyarenko","given":"Kirill"},{"family":"Matos","given":"Paula","dropping-particle":"de"},{"family":"Ennis","given":"Marcus"},{"family":"Hastings","given":"Janna"},{"family":"Zbinden","given":"Martin"},{"family":"McNaught","given":"Alan"},{"family":"Alcántara","given":"Rafael"},{"family":"Darsow","given":"Michael"},{"family":"Guedj","given":"Mickaël"},{"family":"Ashburner","given":"Michael"}],"issued":{"date-parts":[["2008",1,1]]},"PMID":"17932057"}}],"schema":"https://github.com/citation-style-language/schema/raw/master/csl-citation.json"} </w:instrText>
      </w:r>
      <w:r w:rsidR="00557844">
        <w:fldChar w:fldCharType="separate"/>
      </w:r>
      <w:r w:rsidR="00276128" w:rsidRPr="00276128">
        <w:rPr>
          <w:rFonts w:cs="Times New Roman"/>
        </w:rPr>
        <w:t>(52)</w:t>
      </w:r>
      <w:r w:rsidR="00557844">
        <w:fldChar w:fldCharType="end"/>
      </w:r>
      <w:r w:rsidR="00557844">
        <w:t xml:space="preserve"> and </w:t>
      </w:r>
      <w:r w:rsidR="00992E1B">
        <w:t>KEGG</w:t>
      </w:r>
      <w:r w:rsidR="00322F94">
        <w:t xml:space="preserve"> identifiers </w:t>
      </w:r>
      <w:r w:rsidR="00322F94">
        <w:fldChar w:fldCharType="begin"/>
      </w:r>
      <w:r w:rsidR="00F5100D">
        <w:instrText xml:space="preserve"> ADDIN ZOTERO_ITEM CSL_CITATION {"citationID":"1o8214b19b","properties":{"formattedCitation":"(24)","plainCitation":"(24)"},"citationItems":[{"id":100,"uris":["http://zotero.org/users/2565720/items/NMEMK8QT"],"uri":["http://zotero.org/users/2565720/items/NMEMK8QT"],"itemData":{"id":100,"type":"article-journal","title":"KEGG: Kyoto Encyclopedia of Genes and Genomes","container-title":"Nucleic Acids Research","page":"27-30","volume":"28","issue":"1","source":"nar.oxfordjournals.org","abstract":"KEGG (Kyoto Encyclopedia of Genes and Genomes) is a knowledge base for systematic analysis of gene functions, linking genomic information with higher order functional information. The genomic information is stored in the GENES database, which is a collection of gene catalogs for all the completely sequenced genomes and some partial genomes with up-to-date annotation of gene functions. The higher order functional information is stored in the PATHWAY database, which contains graphical representations of cellular processes, such as metabolism, membrane transport, signal transduction and cell cycle. The PATHWAY database is supplemented by a set of ortholog group tables for the information about conserved subpathways (pathway motifs), which are often encoded by positionally coupled genes on the chromosome and which are especially useful in predicting gene functions. A third database in KEGG is LIGAND for the information about chemical compounds, enzyme molecules and enzymatic reactions. KEGG provides Java graphics tools for browsing genome maps, comparing two genome maps and manipulating expression maps, as well as computational tools for sequence comparison, graph comparison and path computation. The KEGG databases are daily updated and made freely available (http://www.genome.ad.jp/kegg/ ).","DOI":"10.1093/nar/28.1.27","ISSN":"0305-1048, 1362-4962","note":"PMID: 10592173","shortTitle":"KEGG","journalAbbreviation":"Nucl. Acids Res.","language":"en","author":[{"family":"Kanehisa","given":"Minoru"},{"family":"Goto","given":"Susumu"}],"issued":{"date-parts":[["2000",1,1]]},"PMID":"10592173"}}],"schema":"https://github.com/citation-style-language/schema/raw/master/csl-citation.json"} </w:instrText>
      </w:r>
      <w:r w:rsidR="00322F94">
        <w:fldChar w:fldCharType="separate"/>
      </w:r>
      <w:r w:rsidR="00552A03" w:rsidRPr="00552A03">
        <w:rPr>
          <w:rFonts w:cs="Times New Roman"/>
        </w:rPr>
        <w:t>(24)</w:t>
      </w:r>
      <w:r w:rsidR="00322F94">
        <w:fldChar w:fldCharType="end"/>
      </w:r>
      <w:r w:rsidR="00322F94">
        <w:t xml:space="preserve">, enzyme commission numbers, and reaction subsystems where available. Each reaction and gene in the </w:t>
      </w:r>
      <w:r w:rsidR="00967F47">
        <w:t>reconstruction</w:t>
      </w:r>
      <w:r w:rsidR="00322F94">
        <w:t xml:space="preserve"> is justified and connected to its literature and/or database source (see Supplementary Materials).</w:t>
      </w:r>
      <w:r w:rsidR="00992E1B">
        <w:t xml:space="preserve"> </w:t>
      </w:r>
    </w:p>
    <w:p w14:paraId="0994C86E" w14:textId="740DE17B" w:rsidR="00322F94" w:rsidRPr="00516D83" w:rsidRDefault="00992E1B" w:rsidP="00603980">
      <w:pPr>
        <w:spacing w:line="480" w:lineRule="auto"/>
      </w:pPr>
      <w:r>
        <w:t>Additionally, we have sought to maximize usability of both our reconstruction and the resulting model.</w:t>
      </w:r>
      <w:r w:rsidR="00322F94">
        <w:t xml:space="preserve"> The systems biology markup language (SBML) is a standard medium for distributing metabolic reconstructions </w:t>
      </w:r>
      <w:r w:rsidR="00322F94">
        <w:fldChar w:fldCharType="begin"/>
      </w:r>
      <w:r w:rsidR="00F5100D">
        <w:instrText xml:space="preserve"> ADDIN ZOTERO_ITEM CSL_CITATION {"citationID":"mvn2s0n0e","properties":{"formattedCitation":"(53)","plainCitation":"(53)"},"citationItems":[{"id":19,"uris":["http://zotero.org/users/2565720/items/T2IVKTZH"],"uri":["http://zotero.org/users/2565720/items/T2IVKTZH"],"itemData":{"id":19,"type":"article-journal","title":"The systems biology markup language (SBML): a medium for representation and exchange of biochemical network models","container-title":"Bioinformatics","page":"524-531","volume":"19","issue":"4","source":"bioinformatics.oxfordjournals.org","abstract":"Motivation: Molecular biotechnology now makes it possible to build elaborate systems models, but the systems biology community needs information standards if models are to be shared, evaluated and developed cooperatively.\nResults: We summarize the Systems Biology Markup Language (SBML) Level 1, a free, open, XML-based format for representing biochemical reaction networks. SBML is a software-independent language for describing models common to research in many areas of computational biology, including cell signaling pathways, metabolic pathways, gene regulation, and others.\nAvailability: The specification of SBML Level 1 is freely available from http://www.sbml.org/\nContact: sysbio-team@caltech.edu","DOI":"10.1093/bioinformatics/btg015","ISSN":"1367-4803, 1460-2059","note":"PMID: 12611808","shortTitle":"The systems biology markup language (SBML)","journalAbbreviation":"Bioinformatics","language":"en","author":[{"family":"Hucka","given":"M."},{"family":"Finney","given":"A."},{"family":"Sauro","given":"H. M."},{"family":"Bolouri","given":"H."},{"family":"Doyle","given":"J. C."},{"family":"Kitano","given":"H."},{"family":"Forum","given":"and the rest of the SBML"},{"family":"Arkin","given":"A. P."},{"family":"Bornstein","given":"B. J."},{"family":"Bray","given":"D."},{"family":"Cornish-Bowden","given":"A."},{"family":"Cuellar","given":"A. A."},{"family":"Dronov","given":"S."},{"family":"Gilles","given":"E. D."},{"family":"Ginkel","given":"M."},{"family":"Gor","given":"V."},{"family":"Goryanin","given":"I. I."},{"family":"Hedley","given":"W. J."},{"family":"Hodgman","given":"T. C."},{"family":"Hofmeyr","given":"J.-H."},{"family":"Hunter","given":"P. J."},{"family":"Juty","given":"N. S."},{"family":"Kasberger","given":"J. L."},{"family":"Kremling","given":"A."},{"family":"Kummer","given":"U."},{"family":"Novère","given":"N. Le"},{"family":"Loew","given":"L. M."},{"family":"Lucio","given":"D."},{"family":"Mendes","given":"P."},{"family":"Minch","given":"E."},{"family":"Mjolsness","given":"E. D."},{"family":"Nakayama","given":"Y."},{"family":"Nelson","given":"M. R."},{"family":"Nielsen","given":"P. F."},{"family":"Sakurada","given":"T."},{"family":"Schaff","given":"J. C."},{"family":"Shapiro","given":"B. E."},{"family":"Shimizu","given":"T. S."},{"family":"Spence","given":"H. D."},{"family":"Stelling","given":"J."},{"family":"Takahashi","given":"K."},{"family":"Tomita","given":"M."},{"family":"Wagner","given":"J."},{"family":"Wang","given":"J."}],"issued":{"date-parts":[["2003",3,1]]},"PMID":"12611808"}}],"schema":"https://github.com/citation-style-language/schema/raw/master/csl-citation.json"} </w:instrText>
      </w:r>
      <w:r w:rsidR="00322F94">
        <w:fldChar w:fldCharType="separate"/>
      </w:r>
      <w:r w:rsidR="00276128" w:rsidRPr="00276128">
        <w:rPr>
          <w:rFonts w:cs="Times New Roman"/>
        </w:rPr>
        <w:t>(53)</w:t>
      </w:r>
      <w:r w:rsidR="00322F94">
        <w:fldChar w:fldCharType="end"/>
      </w:r>
      <w:r w:rsidR="00322F94">
        <w:t>; thus, we have included our reaction network in SBML</w:t>
      </w:r>
      <w:r w:rsidR="00557844">
        <w:t xml:space="preserve"> level 2, </w:t>
      </w:r>
      <w:r w:rsidR="00557844">
        <w:lastRenderedPageBreak/>
        <w:t>the highest version currently su</w:t>
      </w:r>
      <w:r w:rsidR="00F877E6">
        <w:t xml:space="preserve">pported by the COBRA Toolbox </w:t>
      </w:r>
      <w:r w:rsidR="00557844">
        <w:fldChar w:fldCharType="begin"/>
      </w:r>
      <w:r w:rsidR="00F5100D">
        <w:instrText xml:space="preserve"> ADDIN ZOTERO_ITEM CSL_CITATION {"citationID":"2or91em3fk","properties":{"formattedCitation":"(29)","plainCitation":"(29)"},"citationItems":[{"id":81,"uris":["http://zotero.org/users/2565720/items/XX4R24A3"],"uri":["http://zotero.org/users/2565720/items/XX4R24A3"],"itemData":{"id":81,"type":"article-journal","title":"Quantitative prediction of cellular metabolism with constraint-based models: the COBRA Toolbox v2.0","container-title":"Nature Protocols","page":"1290-1307","volume":"6","issue":"9","source":"www.nature.com","abstract":"Over the past decade, a growing community of researchers has emerged around the use of constraint-based reconstruction and analysis (COBRA) methods to simulate, analyze and predict a variety of metabolic phenotypes using genome-scale models. The COBRA Toolbox, a MATLAB package for implementing COBRA methods, was presented earlier. Here we present a substantial update of this in silico toolbox. Version 2.0 of the COBRA Toolbox expands the scope of computations by including in silico analysis methods developed since its original release. New functions include (i) network gap filling, (ii) 13C analysis, (iii) metabolic engineering, (iv) omics-guided analysis and (v) visualization. As with the first version, the COBRA Toolbox reads and writes systems biology markup language–formatted models. In version 2.0, we improved performance, usability and the level of documentation. A suite of test scripts can now be used to learn the core functionality of the toolbox and validate results. This toolbox lowers the barrier of entry to use powerful COBRA methods.\nView full text","DOI":"10.1038/nprot.2011.308","ISSN":"1754-2189","shortTitle":"Quantitative prediction of cellular metabolism with constraint-based models","journalAbbreviation":"Nat. Protocols","language":"en","author":[{"family":"Schellenberger","given":"Jan"},{"family":"Que","given":"Richard"},{"family":"Fleming","given":"Ronan M. T."},{"family":"Thiele","given":"Ines"},{"family":"Orth","given":"Jeffrey D."},{"family":"Feist","given":"Adam M."},{"family":"Zielinski","given":"Daniel C."},{"family":"Bordbar","given":"Aarash"},{"family":"Lewis","given":"Nathan E."},{"family":"Rahmanian","given":"Sorena"},{"family":"Kang","given":"Joseph"},{"family":"Hyduke","given":"Daniel R."},{"family":"Palsson","given":"Bernhard Ø"}],"issued":{"date-parts":[["2011",9]]}}}],"schema":"https://github.com/citation-style-language/schema/raw/master/csl-citation.json"} </w:instrText>
      </w:r>
      <w:r w:rsidR="00557844">
        <w:fldChar w:fldCharType="separate"/>
      </w:r>
      <w:r w:rsidR="00552A03" w:rsidRPr="00552A03">
        <w:rPr>
          <w:rFonts w:cs="Times New Roman"/>
        </w:rPr>
        <w:t>(29)</w:t>
      </w:r>
      <w:r w:rsidR="00557844">
        <w:fldChar w:fldCharType="end"/>
      </w:r>
      <w:r w:rsidR="00322F94">
        <w:t xml:space="preserve">. In our experience using </w:t>
      </w:r>
      <w:r w:rsidR="00967F47">
        <w:t>reconstructions</w:t>
      </w:r>
      <w:r w:rsidR="00322F94">
        <w:t xml:space="preserve"> from other groups, we have found a wide range of usability, from </w:t>
      </w:r>
      <w:r w:rsidR="00967F47">
        <w:t>those</w:t>
      </w:r>
      <w:r w:rsidR="00322F94">
        <w:t xml:space="preserve"> that can easily be imported and simulated to those that are difficult to use and interpret. In the interest of making our simulations and results easy to reproduce, we have included our </w:t>
      </w:r>
      <w:r w:rsidR="00967F47">
        <w:t>reconstruction</w:t>
      </w:r>
      <w:r w:rsidR="00322F94">
        <w:t xml:space="preserve"> in MATLAB data structure format and all of our codes for simulating model growth on different media and gene knockout phenotypes (see Supplementary Materials). </w:t>
      </w:r>
      <w:r w:rsidR="00A512C1">
        <w:t>In the interest of transparency and to support the</w:t>
      </w:r>
      <w:r w:rsidR="00E515B0">
        <w:t xml:space="preserve"> iterative process of reconstructing metabolic networks, we have also made our codes and reconstruction available on </w:t>
      </w:r>
      <w:proofErr w:type="spellStart"/>
      <w:r w:rsidR="00E515B0">
        <w:t>Github</w:t>
      </w:r>
      <w:proofErr w:type="spellEnd"/>
      <w:r w:rsidR="00E515B0">
        <w:t xml:space="preserve"> (</w:t>
      </w:r>
      <w:r w:rsidR="00E515B0" w:rsidRPr="00E515B0">
        <w:t>https://github.com/marichards/methanococcus</w:t>
      </w:r>
      <w:r w:rsidR="00E515B0">
        <w:t>).</w:t>
      </w:r>
    </w:p>
    <w:p w14:paraId="4F6A5CBF" w14:textId="77777777" w:rsidR="00414739" w:rsidRDefault="00414739" w:rsidP="00414739">
      <w:pPr>
        <w:pStyle w:val="Heading1"/>
      </w:pPr>
      <w:commentRangeStart w:id="12"/>
      <w:r>
        <w:t>Discussion</w:t>
      </w:r>
      <w:commentRangeEnd w:id="12"/>
      <w:r w:rsidR="003B00CF">
        <w:rPr>
          <w:rStyle w:val="CommentReference"/>
          <w:rFonts w:asciiTheme="minorHAnsi" w:eastAsiaTheme="minorHAnsi" w:hAnsiTheme="minorHAnsi" w:cstheme="minorBidi"/>
          <w:b w:val="0"/>
          <w:bCs w:val="0"/>
          <w:color w:val="auto"/>
        </w:rPr>
        <w:commentReference w:id="12"/>
      </w:r>
    </w:p>
    <w:p w14:paraId="63E23DC8" w14:textId="5FD0E2F2" w:rsidR="00CF4E3A" w:rsidRDefault="00A512C1" w:rsidP="007A2129">
      <w:pPr>
        <w:spacing w:line="480" w:lineRule="auto"/>
      </w:pPr>
      <w:r>
        <w:t xml:space="preserve">Metabolic reconstructions provide us with a computational approach to studying the complexity of genome-scale biochemistry. With </w:t>
      </w:r>
      <w:r w:rsidR="00B25F12">
        <w:t>iMR540</w:t>
      </w:r>
      <w:r>
        <w:t xml:space="preserve">, we have created the most comprehensive </w:t>
      </w:r>
      <w:r w:rsidR="00444242">
        <w:t>reconstruction</w:t>
      </w:r>
      <w:r>
        <w:t xml:space="preserve"> of </w:t>
      </w:r>
      <w:r>
        <w:rPr>
          <w:i/>
        </w:rPr>
        <w:t xml:space="preserve">M. maripaludis </w:t>
      </w:r>
      <w:r>
        <w:t>currently available</w:t>
      </w:r>
      <w:r w:rsidR="00444242">
        <w:t>, the first manually-curated reconstruction built on top of likelihood based gap</w:t>
      </w:r>
      <w:r w:rsidR="00CD3E73">
        <w:t xml:space="preserve"> </w:t>
      </w:r>
      <w:r w:rsidR="00444242">
        <w:t xml:space="preserve">filling, and a straightforward new method to add thermodynamic constraints to metabolic models. </w:t>
      </w:r>
    </w:p>
    <w:p w14:paraId="2111911F" w14:textId="77777777" w:rsidR="00CF4E3A" w:rsidRDefault="00444242" w:rsidP="007A2129">
      <w:pPr>
        <w:spacing w:line="480" w:lineRule="auto"/>
      </w:pPr>
      <w:r>
        <w:t xml:space="preserve">Our reconstruction process hinged first and foremost on literature sources, which provided </w:t>
      </w:r>
      <w:r w:rsidR="00CF4E3A">
        <w:t xml:space="preserve">high </w:t>
      </w:r>
      <w:r>
        <w:t xml:space="preserve">quality </w:t>
      </w:r>
      <w:r w:rsidR="00CF4E3A">
        <w:t>biochemical information</w:t>
      </w:r>
      <w:r>
        <w:t xml:space="preserve">. </w:t>
      </w:r>
      <w:r w:rsidR="00CF4E3A">
        <w:t xml:space="preserve">Through manual curation from these sources, we created a model with an accurate representation of the Wolfe Cycle, added pathways to synthesize methanogenic coenzymes, included </w:t>
      </w:r>
      <w:proofErr w:type="spellStart"/>
      <w:r w:rsidR="00CF4E3A">
        <w:t>archaellin</w:t>
      </w:r>
      <w:proofErr w:type="spellEnd"/>
      <w:r w:rsidR="00CF4E3A">
        <w:t xml:space="preserve"> and </w:t>
      </w:r>
      <w:proofErr w:type="spellStart"/>
      <w:r w:rsidR="00CF4E3A">
        <w:t>archaeol</w:t>
      </w:r>
      <w:proofErr w:type="spellEnd"/>
      <w:r w:rsidR="00CF4E3A">
        <w:t xml:space="preserve"> lipid </w:t>
      </w:r>
      <w:proofErr w:type="spellStart"/>
      <w:r w:rsidR="00CF4E3A">
        <w:t>biosyntheses</w:t>
      </w:r>
      <w:proofErr w:type="spellEnd"/>
      <w:r w:rsidR="00CF4E3A">
        <w:t>, and corrected the sulfur assimilation pathway. The efficacy of rigorous manual curation is shown not only in t</w:t>
      </w:r>
      <w:r>
        <w:t xml:space="preserve">he qualitative accuracy of our </w:t>
      </w:r>
      <w:r w:rsidR="00CF4E3A">
        <w:t xml:space="preserve">reconstruction, but also in the </w:t>
      </w:r>
      <w:r>
        <w:t>formidable quantitative capabilities</w:t>
      </w:r>
      <w:r w:rsidR="00CF4E3A">
        <w:t xml:space="preserve"> of the resulting </w:t>
      </w:r>
      <w:commentRangeStart w:id="13"/>
      <w:r w:rsidR="00CF4E3A">
        <w:t>model</w:t>
      </w:r>
      <w:commentRangeEnd w:id="13"/>
      <w:r w:rsidR="00CF4E3A">
        <w:t xml:space="preserve">. </w:t>
      </w:r>
      <w:r w:rsidR="00CF4E3A">
        <w:rPr>
          <w:rStyle w:val="CommentReference"/>
          <w:rFonts w:asciiTheme="minorHAnsi" w:hAnsiTheme="minorHAnsi"/>
        </w:rPr>
        <w:commentReference w:id="13"/>
      </w:r>
    </w:p>
    <w:p w14:paraId="7BEEF50C" w14:textId="204DEEBB" w:rsidR="00CF4F3E" w:rsidRDefault="00CF4E3A" w:rsidP="007A2129">
      <w:pPr>
        <w:spacing w:line="480" w:lineRule="auto"/>
      </w:pPr>
      <w:r>
        <w:lastRenderedPageBreak/>
        <w:t>This reconstruction is also, to our knowledge, the first genome scale metabolic network created using likelihood-based gap</w:t>
      </w:r>
      <w:r w:rsidR="00CD3E73">
        <w:t xml:space="preserve"> </w:t>
      </w:r>
      <w:r>
        <w:t xml:space="preserve">filling. Favoring this method over a maximum parsimony method helped us to automatically identify 66 more genes, increasing the gene coverage of our reconstruction prior to the start of manual curation. Simultaneously, we were also able to assign </w:t>
      </w:r>
      <w:r w:rsidR="00EA0242">
        <w:t>reaction likelihood scores f</w:t>
      </w:r>
      <w:r>
        <w:t>o</w:t>
      </w:r>
      <w:r w:rsidR="00EA0242">
        <w:t>r</w:t>
      </w:r>
      <w:r>
        <w:t xml:space="preserve"> many of the reactions, </w:t>
      </w:r>
      <w:r w:rsidR="00CF4F3E">
        <w:t>lending a measure of confidence level for including each reaction in the network.</w:t>
      </w:r>
      <w:r>
        <w:t xml:space="preserve"> </w:t>
      </w:r>
    </w:p>
    <w:p w14:paraId="7B481CFC" w14:textId="22B9C4EF" w:rsidR="00CF4F3E" w:rsidRDefault="00CF4F3E" w:rsidP="007A2129">
      <w:pPr>
        <w:spacing w:line="480" w:lineRule="auto"/>
      </w:pPr>
      <w:r>
        <w:t xml:space="preserve">For a methanogen living close to the edge of thermodynamic feasibility, we also thought it salient to include some calculation of overall free energy when simulating our model. We have thus introduced a novel method of predicting overall model free energy generation based solely on standard free energies and concentrations of exchange metabolites. Though a </w:t>
      </w:r>
      <w:r w:rsidR="00CD3A80">
        <w:t>relatively</w:t>
      </w:r>
      <w:r>
        <w:t xml:space="preserve"> trivial </w:t>
      </w:r>
      <w:r w:rsidR="00CD3A80">
        <w:t>calculation</w:t>
      </w:r>
      <w:r>
        <w:t xml:space="preserve">, our method gives a quick assessment of whether a predicted flux distribution is thermodynamically possible and could prove a particularly useful tool for guiding future metabolic engineering designs. </w:t>
      </w:r>
    </w:p>
    <w:p w14:paraId="3A81E831" w14:textId="68E410B6" w:rsidR="00E03BFB" w:rsidRDefault="00CF4F3E" w:rsidP="007A2129">
      <w:pPr>
        <w:spacing w:line="480" w:lineRule="auto"/>
      </w:pPr>
      <w:r>
        <w:t xml:space="preserve">We recognize that our reconstruction effort represents only an incremental </w:t>
      </w:r>
      <w:r w:rsidR="00EA0242">
        <w:t>step toward</w:t>
      </w:r>
      <w:r>
        <w:t xml:space="preserve"> understanding </w:t>
      </w:r>
      <w:r>
        <w:rPr>
          <w:i/>
        </w:rPr>
        <w:t xml:space="preserve">M. maripaludis </w:t>
      </w:r>
      <w:r>
        <w:t xml:space="preserve">metabolism and that many other users may follow in our footsteps. With these considerations in mind, we strived for maximum transparency in our metabolic network to make our reconstruction decisions apparent to future users and to make our results easily reproducible. In addition to distributing our model in SBML format, we have also included </w:t>
      </w:r>
      <w:r w:rsidR="00E03BFB">
        <w:t>numerous functions for modifying the reconstruction, simulating</w:t>
      </w:r>
      <w:r>
        <w:t xml:space="preserve"> growth</w:t>
      </w:r>
      <w:r w:rsidR="00E03BFB">
        <w:t xml:space="preserve">, and predicting gene knockout lethality. By following this model of reconstruction distribution, we hope to encourage increased transparency and user-friendliness in all metabolic network reconstructions. </w:t>
      </w:r>
    </w:p>
    <w:p w14:paraId="64AA0910" w14:textId="1A8365E7" w:rsidR="00CD20A3" w:rsidRDefault="00CD20A3" w:rsidP="007A2129">
      <w:pPr>
        <w:spacing w:line="480" w:lineRule="auto"/>
      </w:pPr>
      <w:r>
        <w:lastRenderedPageBreak/>
        <w:t xml:space="preserve">Along these lines, it is crucial to recognize that our reconstruction is by no means a finished product and must be expanded and improved in the future. It is a common fallacy to believe that any model, particularly one that focuses solely on one aspect of a biological system, can be relied upon to produce quantitatively accurate </w:t>
      </w:r>
      <w:r w:rsidR="00DA7656">
        <w:t xml:space="preserve">growth </w:t>
      </w:r>
      <w:r>
        <w:t>predi</w:t>
      </w:r>
      <w:r w:rsidR="00DA7656">
        <w:t xml:space="preserve">ctions, particularly when using a model as a platform for strain design. The iMR540 reconstruction contains many of the most crucial areas of metabolism and thus captures the majority of known metabolism, but there is far more about this organism that remains unknown and that therefore remains unpredictable through merely metabolic means. For example, </w:t>
      </w:r>
      <w:r w:rsidR="00DA7656">
        <w:rPr>
          <w:i/>
        </w:rPr>
        <w:t xml:space="preserve">M. maripaludis </w:t>
      </w:r>
      <w:r w:rsidR="00DA7656">
        <w:t>cannot grow on acetate alone, yet it can take up acetate and use it as a supplementary carbon source for growth if also given formate or H</w:t>
      </w:r>
      <w:r w:rsidR="00DA7656" w:rsidRPr="00DA7656">
        <w:rPr>
          <w:vertAlign w:val="subscript"/>
        </w:rPr>
        <w:t>2</w:t>
      </w:r>
      <w:r w:rsidR="00DA7656">
        <w:t>+CO</w:t>
      </w:r>
      <w:r w:rsidR="00DA7656" w:rsidRPr="00DA7656">
        <w:rPr>
          <w:vertAlign w:val="subscript"/>
        </w:rPr>
        <w:t>2</w:t>
      </w:r>
      <w:r w:rsidR="00DA7656">
        <w:t xml:space="preserve">. Through the metabolic lens of iMR540, we predict that </w:t>
      </w:r>
      <w:r w:rsidR="00DA7656">
        <w:rPr>
          <w:i/>
        </w:rPr>
        <w:t xml:space="preserve">M. maripaludis </w:t>
      </w:r>
      <w:r w:rsidR="00DA7656">
        <w:t xml:space="preserve">should be able to achieve </w:t>
      </w:r>
      <w:proofErr w:type="spellStart"/>
      <w:r w:rsidR="00DA7656">
        <w:t>acetotrophic</w:t>
      </w:r>
      <w:proofErr w:type="spellEnd"/>
      <w:r w:rsidR="00DA7656">
        <w:t xml:space="preserve"> growth, yet this plainly goes against empirical evidence to this point. This example illustrates two salient points as they relate to this and other reconstructions. </w:t>
      </w:r>
    </w:p>
    <w:p w14:paraId="70983703" w14:textId="15882FFB" w:rsidR="00DA7656" w:rsidRPr="00DA7656" w:rsidRDefault="00DA7656" w:rsidP="007A2129">
      <w:pPr>
        <w:spacing w:line="480" w:lineRule="auto"/>
      </w:pPr>
      <w:r>
        <w:t xml:space="preserve">Firstly, we emphasize again that this reconstruction is a living network, meant not as a final product but as the first iteration of a malleable entity. The answer to biological quandaries such as the inability of </w:t>
      </w:r>
      <w:r>
        <w:rPr>
          <w:i/>
        </w:rPr>
        <w:t xml:space="preserve">M. maripaludis </w:t>
      </w:r>
      <w:r>
        <w:t xml:space="preserve">to grow on acetate alone may or may not lie in a purely metabolic model, but careful manual additions to our </w:t>
      </w:r>
      <w:r w:rsidR="008314CD">
        <w:t>reconstruction can only enrich</w:t>
      </w:r>
      <w:r>
        <w:t xml:space="preserve"> our understanding of metabolism and help us resolve how this system fits with </w:t>
      </w:r>
      <w:r w:rsidR="008314CD">
        <w:t xml:space="preserve">transcriptional regulation and other systems within the cell. Secondly, we stress that quantitative model predictions should very rarely, if ever, be taken as absolutes in and of themselves. It is particularly tempting to examine predicted model flux distributions and to declare an individual distribution or range of distributions as what is expected out of the actual organism. In reality, a metabolic model’s power lies in predicting the scope of what we believe is metabolically possible, not what will actually happen in a living </w:t>
      </w:r>
      <w:proofErr w:type="gramStart"/>
      <w:r w:rsidR="008314CD">
        <w:t>system.</w:t>
      </w:r>
      <w:proofErr w:type="gramEnd"/>
      <w:r w:rsidR="008314CD">
        <w:t xml:space="preserve"> Thus, we </w:t>
      </w:r>
      <w:r w:rsidR="00347F50">
        <w:t xml:space="preserve">expect that future modelers </w:t>
      </w:r>
      <w:r w:rsidR="00347F50">
        <w:lastRenderedPageBreak/>
        <w:t xml:space="preserve">will </w:t>
      </w:r>
      <w:r w:rsidR="008314CD">
        <w:t xml:space="preserve">our reconstruction and model as tools to generate testable experimental hypotheses and to catalyze elucidation of novel pathways in </w:t>
      </w:r>
      <w:r w:rsidR="008314CD">
        <w:rPr>
          <w:i/>
        </w:rPr>
        <w:t>M. maripaludis</w:t>
      </w:r>
      <w:r w:rsidR="008314CD">
        <w:t xml:space="preserve">. </w:t>
      </w:r>
      <w:r w:rsidR="00347F50">
        <w:t>Above all, the goal of a metabolic network reconstruction is to create a realistic representation of organism metabolism that can then be used to push forward biological discovery and fuel innovations in strain design. With this reconstruction, we have contributed a tool to help understand the unique biochemistry of hydrogenotrophic methanogens and unlock their potential as metabolic engineering targets.</w:t>
      </w:r>
    </w:p>
    <w:p w14:paraId="30078ECD" w14:textId="29663604" w:rsidR="00650EC2" w:rsidRDefault="00E03BFB" w:rsidP="00EA0242">
      <w:pPr>
        <w:spacing w:line="480" w:lineRule="auto"/>
      </w:pPr>
      <w:r>
        <w:t>Taken together, this work demonstrates both the importance of doing extensive manual curation and the effectiveness of using automated gene homology based methods when rec</w:t>
      </w:r>
      <w:r w:rsidR="00EA0242">
        <w:t>onstructing metabolic networks. Automated methods such as likelihood based gap</w:t>
      </w:r>
      <w:r w:rsidR="00CD3E73">
        <w:t xml:space="preserve"> </w:t>
      </w:r>
      <w:r w:rsidR="00EA0242">
        <w:t>filling are invaluable in their ability to quickly expand and enrich the reaction network</w:t>
      </w:r>
      <w:r w:rsidR="00CD3A80">
        <w:t xml:space="preserve">, but </w:t>
      </w:r>
      <w:r w:rsidR="00EA0242">
        <w:t>literature from experimental studies</w:t>
      </w:r>
      <w:r w:rsidR="00CD3A80">
        <w:t xml:space="preserve"> still</w:t>
      </w:r>
      <w:r w:rsidR="00EA0242">
        <w:t xml:space="preserve"> serves as the gold standard for adding new pieces to a reconstruction</w:t>
      </w:r>
      <w:r w:rsidR="00CD3A80">
        <w:t xml:space="preserve"> and verifying biochemical pathways</w:t>
      </w:r>
      <w:r w:rsidR="00EA0242">
        <w:t>. Above all, the goal of a metabolic network reconstruction is to create a realistic representation of organism metabolism that can then be used to push forward biological discovery and fuel innovations in strain design. With this reconstruction, we have contributed a</w:t>
      </w:r>
      <w:r>
        <w:t xml:space="preserve"> tool to help understand the unique biochemistry of hydrogenotrophic methanogens and unlock their </w:t>
      </w:r>
      <w:r w:rsidR="00EA0242">
        <w:t xml:space="preserve">potential as </w:t>
      </w:r>
      <w:r>
        <w:t xml:space="preserve">metabolic engineering </w:t>
      </w:r>
      <w:r w:rsidR="00EA0242">
        <w:t>targets</w:t>
      </w:r>
      <w:r>
        <w:t xml:space="preserve">. </w:t>
      </w:r>
    </w:p>
    <w:p w14:paraId="2DA253A2" w14:textId="77777777" w:rsidR="00414739" w:rsidRDefault="00414739" w:rsidP="00414739">
      <w:pPr>
        <w:pStyle w:val="Heading1"/>
      </w:pPr>
      <w:r>
        <w:t>Acknowledgements</w:t>
      </w:r>
    </w:p>
    <w:p w14:paraId="476F3110" w14:textId="69AF48AB" w:rsidR="00414739" w:rsidRDefault="000F5D2B" w:rsidP="00BF524A">
      <w:pPr>
        <w:spacing w:line="480" w:lineRule="auto"/>
      </w:pPr>
      <w:r>
        <w:t xml:space="preserve">We would like to thank </w:t>
      </w:r>
      <w:proofErr w:type="spellStart"/>
      <w:r>
        <w:t>Eliora</w:t>
      </w:r>
      <w:proofErr w:type="spellEnd"/>
      <w:r>
        <w:t xml:space="preserve"> </w:t>
      </w:r>
      <w:proofErr w:type="spellStart"/>
      <w:r>
        <w:t>Gachelet</w:t>
      </w:r>
      <w:proofErr w:type="spellEnd"/>
      <w:r>
        <w:t xml:space="preserve"> </w:t>
      </w:r>
      <w:r w:rsidR="00BF524A">
        <w:t xml:space="preserve">for assisting </w:t>
      </w:r>
      <w:r w:rsidR="00CD3E73">
        <w:t xml:space="preserve">enormously </w:t>
      </w:r>
      <w:r w:rsidR="00BF524A">
        <w:t xml:space="preserve">in chemostat growth experiments </w:t>
      </w:r>
      <w:r>
        <w:t xml:space="preserve">and </w:t>
      </w:r>
      <w:r w:rsidR="00CD3E73">
        <w:t xml:space="preserve">Dr. </w:t>
      </w:r>
      <w:r>
        <w:t xml:space="preserve">Matthew Benedict for </w:t>
      </w:r>
      <w:r w:rsidR="00BF524A">
        <w:t>his expertise and advice concerning methanogenic archaea, likelihood-based gap</w:t>
      </w:r>
      <w:r w:rsidR="00CD3E73">
        <w:t xml:space="preserve"> </w:t>
      </w:r>
      <w:r w:rsidR="00BF524A">
        <w:t>filling, and metabolic model construction.</w:t>
      </w:r>
    </w:p>
    <w:p w14:paraId="0FBA0A08" w14:textId="77777777" w:rsidR="00A40676" w:rsidRPr="00A40676" w:rsidRDefault="00414739" w:rsidP="00BF524A">
      <w:pPr>
        <w:pStyle w:val="Heading1"/>
      </w:pPr>
      <w:r>
        <w:lastRenderedPageBreak/>
        <w:t>References</w:t>
      </w:r>
    </w:p>
    <w:p w14:paraId="2D314A2F" w14:textId="77777777" w:rsidR="00276128" w:rsidRDefault="00A40676" w:rsidP="00276128">
      <w:pPr>
        <w:pStyle w:val="Bibliography"/>
      </w:pPr>
      <w:r>
        <w:fldChar w:fldCharType="begin"/>
      </w:r>
      <w:r w:rsidR="00276128">
        <w:instrText xml:space="preserve"> ADDIN ZOTERO_BIBL {"custom":[]} CSL_BIBLIOGRAPHY </w:instrText>
      </w:r>
      <w:r>
        <w:fldChar w:fldCharType="separate"/>
      </w:r>
      <w:r w:rsidR="00276128">
        <w:t xml:space="preserve">1. </w:t>
      </w:r>
      <w:r w:rsidR="00276128">
        <w:tab/>
      </w:r>
      <w:r w:rsidR="00276128">
        <w:rPr>
          <w:b/>
          <w:bCs/>
        </w:rPr>
        <w:t>Haynes CA</w:t>
      </w:r>
      <w:r w:rsidR="00276128">
        <w:t xml:space="preserve">, </w:t>
      </w:r>
      <w:r w:rsidR="00276128">
        <w:rPr>
          <w:b/>
          <w:bCs/>
        </w:rPr>
        <w:t>Gonzalez R</w:t>
      </w:r>
      <w:r w:rsidR="00276128">
        <w:t xml:space="preserve">. 2014. Rethinking biological activation of methane and conversion to liquid fuels. Nat Chem Biol </w:t>
      </w:r>
      <w:r w:rsidR="00276128">
        <w:rPr>
          <w:b/>
          <w:bCs/>
        </w:rPr>
        <w:t>10</w:t>
      </w:r>
      <w:r w:rsidR="00276128">
        <w:t>:331–339.</w:t>
      </w:r>
    </w:p>
    <w:p w14:paraId="56F7C484" w14:textId="77777777" w:rsidR="00276128" w:rsidRDefault="00276128" w:rsidP="00276128">
      <w:pPr>
        <w:pStyle w:val="Bibliography"/>
      </w:pPr>
      <w:r>
        <w:t xml:space="preserve">2. </w:t>
      </w:r>
      <w:r>
        <w:tab/>
      </w:r>
      <w:r>
        <w:rPr>
          <w:b/>
          <w:bCs/>
        </w:rPr>
        <w:t>Levi M</w:t>
      </w:r>
      <w:r>
        <w:t xml:space="preserve">. 2013. Climate consequences of natural gas as a bridge fuel. Clim Change </w:t>
      </w:r>
      <w:r>
        <w:rPr>
          <w:b/>
          <w:bCs/>
        </w:rPr>
        <w:t>118</w:t>
      </w:r>
      <w:r>
        <w:t>:609–623.</w:t>
      </w:r>
    </w:p>
    <w:p w14:paraId="7A3AD4D1" w14:textId="77777777" w:rsidR="00276128" w:rsidRDefault="00276128" w:rsidP="00276128">
      <w:pPr>
        <w:pStyle w:val="Bibliography"/>
      </w:pPr>
      <w:r>
        <w:t xml:space="preserve">3. </w:t>
      </w:r>
      <w:r>
        <w:tab/>
      </w:r>
      <w:r>
        <w:rPr>
          <w:b/>
          <w:bCs/>
        </w:rPr>
        <w:t>Mueller TJ</w:t>
      </w:r>
      <w:r>
        <w:t xml:space="preserve">, </w:t>
      </w:r>
      <w:r>
        <w:rPr>
          <w:b/>
          <w:bCs/>
        </w:rPr>
        <w:t>Grisewood MJ</w:t>
      </w:r>
      <w:r>
        <w:t xml:space="preserve">, </w:t>
      </w:r>
      <w:r>
        <w:rPr>
          <w:b/>
          <w:bCs/>
        </w:rPr>
        <w:t>Nazem-Bokaee H</w:t>
      </w:r>
      <w:r>
        <w:t xml:space="preserve">, </w:t>
      </w:r>
      <w:r>
        <w:rPr>
          <w:b/>
          <w:bCs/>
        </w:rPr>
        <w:t>Gopalakrishnan S</w:t>
      </w:r>
      <w:r>
        <w:t xml:space="preserve">, </w:t>
      </w:r>
      <w:r>
        <w:rPr>
          <w:b/>
          <w:bCs/>
        </w:rPr>
        <w:t>Ferry JG</w:t>
      </w:r>
      <w:r>
        <w:t xml:space="preserve">, </w:t>
      </w:r>
      <w:r>
        <w:rPr>
          <w:b/>
          <w:bCs/>
        </w:rPr>
        <w:t>Wood TK</w:t>
      </w:r>
      <w:r>
        <w:t xml:space="preserve">, </w:t>
      </w:r>
      <w:r>
        <w:rPr>
          <w:b/>
          <w:bCs/>
        </w:rPr>
        <w:t>Maranas CD</w:t>
      </w:r>
      <w:r>
        <w:t xml:space="preserve">. 2014. Methane oxidation by anaerobic archaea for conversion to liquid fuels. J Ind Microbiol Biotechnol </w:t>
      </w:r>
      <w:r>
        <w:rPr>
          <w:b/>
          <w:bCs/>
        </w:rPr>
        <w:t>42</w:t>
      </w:r>
      <w:r>
        <w:t>:391–401.</w:t>
      </w:r>
    </w:p>
    <w:p w14:paraId="3E03401A" w14:textId="77777777" w:rsidR="00276128" w:rsidRDefault="00276128" w:rsidP="00276128">
      <w:pPr>
        <w:pStyle w:val="Bibliography"/>
      </w:pPr>
      <w:r>
        <w:t xml:space="preserve">4. </w:t>
      </w:r>
      <w:r>
        <w:tab/>
      </w:r>
      <w:r>
        <w:rPr>
          <w:b/>
          <w:bCs/>
        </w:rPr>
        <w:t>Thauer RK</w:t>
      </w:r>
      <w:r>
        <w:t xml:space="preserve">, </w:t>
      </w:r>
      <w:r>
        <w:rPr>
          <w:b/>
          <w:bCs/>
        </w:rPr>
        <w:t>Kaster A-K</w:t>
      </w:r>
      <w:r>
        <w:t xml:space="preserve">, </w:t>
      </w:r>
      <w:r>
        <w:rPr>
          <w:b/>
          <w:bCs/>
        </w:rPr>
        <w:t>Seedorf H</w:t>
      </w:r>
      <w:r>
        <w:t xml:space="preserve">, </w:t>
      </w:r>
      <w:r>
        <w:rPr>
          <w:b/>
          <w:bCs/>
        </w:rPr>
        <w:t>Buckel W</w:t>
      </w:r>
      <w:r>
        <w:t xml:space="preserve">, </w:t>
      </w:r>
      <w:r>
        <w:rPr>
          <w:b/>
          <w:bCs/>
        </w:rPr>
        <w:t>Hedderich R</w:t>
      </w:r>
      <w:r>
        <w:t xml:space="preserve">. 2008. Methanogenic archaea: ecologically relevant differences in energy conservation. Nat Rev Microbiol </w:t>
      </w:r>
      <w:r>
        <w:rPr>
          <w:b/>
          <w:bCs/>
        </w:rPr>
        <w:t>6</w:t>
      </w:r>
      <w:r>
        <w:t>:579–591.</w:t>
      </w:r>
    </w:p>
    <w:p w14:paraId="1DBEE7C2" w14:textId="77777777" w:rsidR="00276128" w:rsidRDefault="00276128" w:rsidP="00276128">
      <w:pPr>
        <w:pStyle w:val="Bibliography"/>
      </w:pPr>
      <w:r>
        <w:t xml:space="preserve">5. </w:t>
      </w:r>
      <w:r>
        <w:tab/>
      </w:r>
      <w:r>
        <w:rPr>
          <w:b/>
          <w:bCs/>
        </w:rPr>
        <w:t>DiMarco AA</w:t>
      </w:r>
      <w:r>
        <w:t xml:space="preserve">, </w:t>
      </w:r>
      <w:r>
        <w:rPr>
          <w:b/>
          <w:bCs/>
        </w:rPr>
        <w:t>Bobik TA</w:t>
      </w:r>
      <w:r>
        <w:t xml:space="preserve">, </w:t>
      </w:r>
      <w:r>
        <w:rPr>
          <w:b/>
          <w:bCs/>
        </w:rPr>
        <w:t>Wolfe RS</w:t>
      </w:r>
      <w:r>
        <w:t xml:space="preserve">. 1990. Unusual coenzymes of methanogenesis. Annu Rev Biochem </w:t>
      </w:r>
      <w:r>
        <w:rPr>
          <w:b/>
          <w:bCs/>
        </w:rPr>
        <w:t>59</w:t>
      </w:r>
      <w:r>
        <w:t>:355–394.</w:t>
      </w:r>
    </w:p>
    <w:p w14:paraId="3FCDCDCD" w14:textId="77777777" w:rsidR="00276128" w:rsidRDefault="00276128" w:rsidP="00276128">
      <w:pPr>
        <w:pStyle w:val="Bibliography"/>
      </w:pPr>
      <w:r>
        <w:t xml:space="preserve">6. </w:t>
      </w:r>
      <w:r>
        <w:tab/>
      </w:r>
      <w:r>
        <w:rPr>
          <w:b/>
          <w:bCs/>
        </w:rPr>
        <w:t>Deppenmeier U</w:t>
      </w:r>
      <w:r>
        <w:t xml:space="preserve">. 2002. The unique biochemistry of methanogenesis. Prog Nucleic Acid Res Mol Biol </w:t>
      </w:r>
      <w:r>
        <w:rPr>
          <w:b/>
          <w:bCs/>
        </w:rPr>
        <w:t>71</w:t>
      </w:r>
      <w:r>
        <w:t>:223–283.</w:t>
      </w:r>
    </w:p>
    <w:p w14:paraId="555D0085" w14:textId="77777777" w:rsidR="00276128" w:rsidRDefault="00276128" w:rsidP="00276128">
      <w:pPr>
        <w:pStyle w:val="Bibliography"/>
      </w:pPr>
      <w:r>
        <w:t xml:space="preserve">7. </w:t>
      </w:r>
      <w:r>
        <w:tab/>
      </w:r>
      <w:r>
        <w:rPr>
          <w:b/>
          <w:bCs/>
        </w:rPr>
        <w:t>Heiden S</w:t>
      </w:r>
      <w:r>
        <w:t xml:space="preserve">, </w:t>
      </w:r>
      <w:r>
        <w:rPr>
          <w:b/>
          <w:bCs/>
        </w:rPr>
        <w:t>Hedderich R</w:t>
      </w:r>
      <w:r>
        <w:t xml:space="preserve">, </w:t>
      </w:r>
      <w:r>
        <w:rPr>
          <w:b/>
          <w:bCs/>
        </w:rPr>
        <w:t>Setzke E</w:t>
      </w:r>
      <w:r>
        <w:t xml:space="preserve">, </w:t>
      </w:r>
      <w:r>
        <w:rPr>
          <w:b/>
          <w:bCs/>
        </w:rPr>
        <w:t>Thauer RK</w:t>
      </w:r>
      <w:r>
        <w:t xml:space="preserve">. 1993. Purification of a cytochrome b containing H2:heterodisulfide oxidoreductase complex from membranes of </w:t>
      </w:r>
      <w:r>
        <w:rPr>
          <w:i/>
          <w:iCs/>
        </w:rPr>
        <w:t>Methanosarcina barkeri</w:t>
      </w:r>
      <w:r>
        <w:t xml:space="preserve">. Eur J Biochem </w:t>
      </w:r>
      <w:r>
        <w:rPr>
          <w:b/>
          <w:bCs/>
        </w:rPr>
        <w:t>213</w:t>
      </w:r>
      <w:r>
        <w:t>:529–535.</w:t>
      </w:r>
    </w:p>
    <w:p w14:paraId="6BE9E05B" w14:textId="77777777" w:rsidR="00276128" w:rsidRDefault="00276128" w:rsidP="00276128">
      <w:pPr>
        <w:pStyle w:val="Bibliography"/>
      </w:pPr>
      <w:r>
        <w:t xml:space="preserve">8. </w:t>
      </w:r>
      <w:r>
        <w:tab/>
      </w:r>
      <w:r>
        <w:rPr>
          <w:b/>
          <w:bCs/>
        </w:rPr>
        <w:t>Jones WJ</w:t>
      </w:r>
      <w:r>
        <w:t xml:space="preserve">, </w:t>
      </w:r>
      <w:r>
        <w:rPr>
          <w:b/>
          <w:bCs/>
        </w:rPr>
        <w:t>Paynter MJB</w:t>
      </w:r>
      <w:r>
        <w:t xml:space="preserve">, </w:t>
      </w:r>
      <w:r>
        <w:rPr>
          <w:b/>
          <w:bCs/>
        </w:rPr>
        <w:t>Gupta R</w:t>
      </w:r>
      <w:r>
        <w:t xml:space="preserve">. 1983. Characterization of </w:t>
      </w:r>
      <w:r>
        <w:rPr>
          <w:i/>
          <w:iCs/>
        </w:rPr>
        <w:t>Methanococcus maripaludis</w:t>
      </w:r>
      <w:r>
        <w:t xml:space="preserve"> sp. nov., a new methanogen isolated from salt marsh sediment. Arch Microbiol </w:t>
      </w:r>
      <w:r>
        <w:rPr>
          <w:b/>
          <w:bCs/>
        </w:rPr>
        <w:t>135</w:t>
      </w:r>
      <w:r>
        <w:t>:91–97.</w:t>
      </w:r>
    </w:p>
    <w:p w14:paraId="0650EE6F" w14:textId="77777777" w:rsidR="00276128" w:rsidRDefault="00276128" w:rsidP="00276128">
      <w:pPr>
        <w:pStyle w:val="Bibliography"/>
      </w:pPr>
      <w:r>
        <w:lastRenderedPageBreak/>
        <w:t xml:space="preserve">9. </w:t>
      </w:r>
      <w:r>
        <w:tab/>
      </w:r>
      <w:r>
        <w:rPr>
          <w:b/>
          <w:bCs/>
        </w:rPr>
        <w:t>Hendrickson EL</w:t>
      </w:r>
      <w:r>
        <w:t xml:space="preserve">, </w:t>
      </w:r>
      <w:r>
        <w:rPr>
          <w:b/>
          <w:bCs/>
        </w:rPr>
        <w:t>Kaul R</w:t>
      </w:r>
      <w:r>
        <w:t xml:space="preserve">, </w:t>
      </w:r>
      <w:r>
        <w:rPr>
          <w:b/>
          <w:bCs/>
        </w:rPr>
        <w:t>Zhou Y</w:t>
      </w:r>
      <w:r>
        <w:t xml:space="preserve">, </w:t>
      </w:r>
      <w:r>
        <w:rPr>
          <w:b/>
          <w:bCs/>
        </w:rPr>
        <w:t>Bovee D</w:t>
      </w:r>
      <w:r>
        <w:t xml:space="preserve">, </w:t>
      </w:r>
      <w:r>
        <w:rPr>
          <w:b/>
          <w:bCs/>
        </w:rPr>
        <w:t>Chapman P</w:t>
      </w:r>
      <w:r>
        <w:t xml:space="preserve">, </w:t>
      </w:r>
      <w:r>
        <w:rPr>
          <w:b/>
          <w:bCs/>
        </w:rPr>
        <w:t>Chung J</w:t>
      </w:r>
      <w:r>
        <w:t xml:space="preserve">, </w:t>
      </w:r>
      <w:r>
        <w:rPr>
          <w:b/>
          <w:bCs/>
        </w:rPr>
        <w:t>Macario EC de</w:t>
      </w:r>
      <w:r>
        <w:t xml:space="preserve">, </w:t>
      </w:r>
      <w:r>
        <w:rPr>
          <w:b/>
          <w:bCs/>
        </w:rPr>
        <w:t>Dodsworth JA</w:t>
      </w:r>
      <w:r>
        <w:t xml:space="preserve">, </w:t>
      </w:r>
      <w:r>
        <w:rPr>
          <w:b/>
          <w:bCs/>
        </w:rPr>
        <w:t>Gillett W</w:t>
      </w:r>
      <w:r>
        <w:t xml:space="preserve">, </w:t>
      </w:r>
      <w:r>
        <w:rPr>
          <w:b/>
          <w:bCs/>
        </w:rPr>
        <w:t>Graham DE</w:t>
      </w:r>
      <w:r>
        <w:t xml:space="preserve">, </w:t>
      </w:r>
      <w:r>
        <w:rPr>
          <w:b/>
          <w:bCs/>
        </w:rPr>
        <w:t>Hackett M</w:t>
      </w:r>
      <w:r>
        <w:t xml:space="preserve">, </w:t>
      </w:r>
      <w:r>
        <w:rPr>
          <w:b/>
          <w:bCs/>
        </w:rPr>
        <w:t>Haydock AK</w:t>
      </w:r>
      <w:r>
        <w:t xml:space="preserve">, </w:t>
      </w:r>
      <w:r>
        <w:rPr>
          <w:b/>
          <w:bCs/>
        </w:rPr>
        <w:t>Kang A</w:t>
      </w:r>
      <w:r>
        <w:t xml:space="preserve">, </w:t>
      </w:r>
      <w:r>
        <w:rPr>
          <w:b/>
          <w:bCs/>
        </w:rPr>
        <w:t>Land ML</w:t>
      </w:r>
      <w:r>
        <w:t xml:space="preserve">, </w:t>
      </w:r>
      <w:r>
        <w:rPr>
          <w:b/>
          <w:bCs/>
        </w:rPr>
        <w:t>Levy R</w:t>
      </w:r>
      <w:r>
        <w:t xml:space="preserve">, </w:t>
      </w:r>
      <w:r>
        <w:rPr>
          <w:b/>
          <w:bCs/>
        </w:rPr>
        <w:t>Lie TJ</w:t>
      </w:r>
      <w:r>
        <w:t xml:space="preserve">, </w:t>
      </w:r>
      <w:r>
        <w:rPr>
          <w:b/>
          <w:bCs/>
        </w:rPr>
        <w:t>Major TA</w:t>
      </w:r>
      <w:r>
        <w:t xml:space="preserve">, </w:t>
      </w:r>
      <w:r>
        <w:rPr>
          <w:b/>
          <w:bCs/>
        </w:rPr>
        <w:t>Moore BC</w:t>
      </w:r>
      <w:r>
        <w:t xml:space="preserve">, </w:t>
      </w:r>
      <w:r>
        <w:rPr>
          <w:b/>
          <w:bCs/>
        </w:rPr>
        <w:t>Porat I</w:t>
      </w:r>
      <w:r>
        <w:t xml:space="preserve">, </w:t>
      </w:r>
      <w:r>
        <w:rPr>
          <w:b/>
          <w:bCs/>
        </w:rPr>
        <w:t>Palmeiri A</w:t>
      </w:r>
      <w:r>
        <w:t xml:space="preserve">, </w:t>
      </w:r>
      <w:r>
        <w:rPr>
          <w:b/>
          <w:bCs/>
        </w:rPr>
        <w:t>Rouse G</w:t>
      </w:r>
      <w:r>
        <w:t xml:space="preserve">, </w:t>
      </w:r>
      <w:r>
        <w:rPr>
          <w:b/>
          <w:bCs/>
        </w:rPr>
        <w:t>Saenphimmachak C</w:t>
      </w:r>
      <w:r>
        <w:t xml:space="preserve">, </w:t>
      </w:r>
      <w:r>
        <w:rPr>
          <w:b/>
          <w:bCs/>
        </w:rPr>
        <w:t>Söll D</w:t>
      </w:r>
      <w:r>
        <w:t xml:space="preserve">, </w:t>
      </w:r>
      <w:r>
        <w:rPr>
          <w:b/>
          <w:bCs/>
        </w:rPr>
        <w:t>Dien SV</w:t>
      </w:r>
      <w:r>
        <w:t xml:space="preserve">, </w:t>
      </w:r>
      <w:r>
        <w:rPr>
          <w:b/>
          <w:bCs/>
        </w:rPr>
        <w:t>Wang T</w:t>
      </w:r>
      <w:r>
        <w:t xml:space="preserve">, </w:t>
      </w:r>
      <w:r>
        <w:rPr>
          <w:b/>
          <w:bCs/>
        </w:rPr>
        <w:t>Whitman WB</w:t>
      </w:r>
      <w:r>
        <w:t xml:space="preserve">, </w:t>
      </w:r>
      <w:r>
        <w:rPr>
          <w:b/>
          <w:bCs/>
        </w:rPr>
        <w:t>Xia Q</w:t>
      </w:r>
      <w:r>
        <w:t xml:space="preserve">, </w:t>
      </w:r>
      <w:r>
        <w:rPr>
          <w:b/>
          <w:bCs/>
        </w:rPr>
        <w:t>Zhang Y</w:t>
      </w:r>
      <w:r>
        <w:t xml:space="preserve">, </w:t>
      </w:r>
      <w:r>
        <w:rPr>
          <w:b/>
          <w:bCs/>
        </w:rPr>
        <w:t>Larimer FW</w:t>
      </w:r>
      <w:r>
        <w:t xml:space="preserve">, </w:t>
      </w:r>
      <w:r>
        <w:rPr>
          <w:b/>
          <w:bCs/>
        </w:rPr>
        <w:t>Olson MV</w:t>
      </w:r>
      <w:r>
        <w:t xml:space="preserve">, </w:t>
      </w:r>
      <w:r>
        <w:rPr>
          <w:b/>
          <w:bCs/>
        </w:rPr>
        <w:t>Leigh JA</w:t>
      </w:r>
      <w:r>
        <w:t xml:space="preserve">. 2004. Complete Genome Sequence of the Genetically Tractable Hydrogenotrophic Methanogen </w:t>
      </w:r>
      <w:r>
        <w:rPr>
          <w:i/>
          <w:iCs/>
        </w:rPr>
        <w:t>Methanococcus maripaludis</w:t>
      </w:r>
      <w:r>
        <w:t xml:space="preserve">. J Bacteriol </w:t>
      </w:r>
      <w:r>
        <w:rPr>
          <w:b/>
          <w:bCs/>
        </w:rPr>
        <w:t>186</w:t>
      </w:r>
      <w:r>
        <w:t>:6956–6969.</w:t>
      </w:r>
    </w:p>
    <w:p w14:paraId="69D7D709" w14:textId="77777777" w:rsidR="00276128" w:rsidRDefault="00276128" w:rsidP="00276128">
      <w:pPr>
        <w:pStyle w:val="Bibliography"/>
      </w:pPr>
      <w:r>
        <w:t xml:space="preserve">10. </w:t>
      </w:r>
      <w:r>
        <w:tab/>
      </w:r>
      <w:r>
        <w:rPr>
          <w:b/>
          <w:bCs/>
        </w:rPr>
        <w:t>Sarmiento FB</w:t>
      </w:r>
      <w:r>
        <w:t xml:space="preserve">, </w:t>
      </w:r>
      <w:r>
        <w:rPr>
          <w:b/>
          <w:bCs/>
        </w:rPr>
        <w:t>Leigh JA</w:t>
      </w:r>
      <w:r>
        <w:t xml:space="preserve">, </w:t>
      </w:r>
      <w:r>
        <w:rPr>
          <w:b/>
          <w:bCs/>
        </w:rPr>
        <w:t>Whitman WB</w:t>
      </w:r>
      <w:r>
        <w:t xml:space="preserve">. 2011. Chapter three - Genetic Systems for Hydrogenotrophic Methanogens, p. 43–73. </w:t>
      </w:r>
      <w:r>
        <w:rPr>
          <w:i/>
          <w:iCs/>
        </w:rPr>
        <w:t>In</w:t>
      </w:r>
      <w:r>
        <w:t xml:space="preserve"> Ragsdale, ACR and SW (ed.), Methods in Enzymology. Academic Press.</w:t>
      </w:r>
    </w:p>
    <w:p w14:paraId="186175C0" w14:textId="77777777" w:rsidR="00276128" w:rsidRDefault="00276128" w:rsidP="00276128">
      <w:pPr>
        <w:pStyle w:val="Bibliography"/>
      </w:pPr>
      <w:r>
        <w:t xml:space="preserve">11. </w:t>
      </w:r>
      <w:r>
        <w:tab/>
      </w:r>
      <w:r>
        <w:rPr>
          <w:b/>
          <w:bCs/>
        </w:rPr>
        <w:t>Kauffman KJ</w:t>
      </w:r>
      <w:r>
        <w:t xml:space="preserve">, </w:t>
      </w:r>
      <w:r>
        <w:rPr>
          <w:b/>
          <w:bCs/>
        </w:rPr>
        <w:t>Prakash P</w:t>
      </w:r>
      <w:r>
        <w:t xml:space="preserve">, </w:t>
      </w:r>
      <w:r>
        <w:rPr>
          <w:b/>
          <w:bCs/>
        </w:rPr>
        <w:t>Edwards JS</w:t>
      </w:r>
      <w:r>
        <w:t xml:space="preserve">. 2003. Advances in flux balance analysis. Curr Opin Biotechnol </w:t>
      </w:r>
      <w:r>
        <w:rPr>
          <w:b/>
          <w:bCs/>
        </w:rPr>
        <w:t>14</w:t>
      </w:r>
      <w:r>
        <w:t>:491–496.</w:t>
      </w:r>
    </w:p>
    <w:p w14:paraId="6DEEF56E" w14:textId="77777777" w:rsidR="00276128" w:rsidRDefault="00276128" w:rsidP="00276128">
      <w:pPr>
        <w:pStyle w:val="Bibliography"/>
      </w:pPr>
      <w:r>
        <w:t xml:space="preserve">12. </w:t>
      </w:r>
      <w:r>
        <w:tab/>
      </w:r>
      <w:r>
        <w:rPr>
          <w:b/>
          <w:bCs/>
        </w:rPr>
        <w:t>Simeonidis E</w:t>
      </w:r>
      <w:r>
        <w:t xml:space="preserve">, </w:t>
      </w:r>
      <w:r>
        <w:rPr>
          <w:b/>
          <w:bCs/>
        </w:rPr>
        <w:t>Price ND</w:t>
      </w:r>
      <w:r>
        <w:t xml:space="preserve">. 2015. Genome-scale modeling for metabolic engineering. J Ind Microbiol Biotechnol </w:t>
      </w:r>
      <w:r>
        <w:rPr>
          <w:b/>
          <w:bCs/>
        </w:rPr>
        <w:t>42</w:t>
      </w:r>
      <w:r>
        <w:t>:327–338.</w:t>
      </w:r>
    </w:p>
    <w:p w14:paraId="034A5D06" w14:textId="77777777" w:rsidR="00276128" w:rsidRDefault="00276128" w:rsidP="00276128">
      <w:pPr>
        <w:pStyle w:val="Bibliography"/>
      </w:pPr>
      <w:r>
        <w:t xml:space="preserve">13. </w:t>
      </w:r>
      <w:r>
        <w:tab/>
      </w:r>
      <w:r>
        <w:rPr>
          <w:b/>
          <w:bCs/>
        </w:rPr>
        <w:t>Milne CB</w:t>
      </w:r>
      <w:r>
        <w:t xml:space="preserve">, </w:t>
      </w:r>
      <w:r>
        <w:rPr>
          <w:b/>
          <w:bCs/>
        </w:rPr>
        <w:t>Kim P-J</w:t>
      </w:r>
      <w:r>
        <w:t xml:space="preserve">, </w:t>
      </w:r>
      <w:r>
        <w:rPr>
          <w:b/>
          <w:bCs/>
        </w:rPr>
        <w:t>Eddy JA</w:t>
      </w:r>
      <w:r>
        <w:t xml:space="preserve">, </w:t>
      </w:r>
      <w:r>
        <w:rPr>
          <w:b/>
          <w:bCs/>
        </w:rPr>
        <w:t>Price ND</w:t>
      </w:r>
      <w:r>
        <w:t xml:space="preserve">. 2009. Accomplishments in genome-scale in silico modeling for industrial and medical biotechnology. Biotechnol J </w:t>
      </w:r>
      <w:r>
        <w:rPr>
          <w:b/>
          <w:bCs/>
        </w:rPr>
        <w:t>4</w:t>
      </w:r>
      <w:r>
        <w:t>:1653–1670.</w:t>
      </w:r>
    </w:p>
    <w:p w14:paraId="56DF5D69" w14:textId="77777777" w:rsidR="00276128" w:rsidRDefault="00276128" w:rsidP="00276128">
      <w:pPr>
        <w:pStyle w:val="Bibliography"/>
      </w:pPr>
      <w:r>
        <w:t xml:space="preserve">14. </w:t>
      </w:r>
      <w:r>
        <w:tab/>
      </w:r>
      <w:r>
        <w:rPr>
          <w:b/>
          <w:bCs/>
        </w:rPr>
        <w:t>Stolyar S</w:t>
      </w:r>
      <w:r>
        <w:t xml:space="preserve">, </w:t>
      </w:r>
      <w:r>
        <w:rPr>
          <w:b/>
          <w:bCs/>
        </w:rPr>
        <w:t>Van Dien S</w:t>
      </w:r>
      <w:r>
        <w:t xml:space="preserve">, </w:t>
      </w:r>
      <w:r>
        <w:rPr>
          <w:b/>
          <w:bCs/>
        </w:rPr>
        <w:t>Hillesland KL</w:t>
      </w:r>
      <w:r>
        <w:t xml:space="preserve">, </w:t>
      </w:r>
      <w:r>
        <w:rPr>
          <w:b/>
          <w:bCs/>
        </w:rPr>
        <w:t>Pinel N</w:t>
      </w:r>
      <w:r>
        <w:t xml:space="preserve">, </w:t>
      </w:r>
      <w:r>
        <w:rPr>
          <w:b/>
          <w:bCs/>
        </w:rPr>
        <w:t>Lie TJ</w:t>
      </w:r>
      <w:r>
        <w:t xml:space="preserve">, </w:t>
      </w:r>
      <w:r>
        <w:rPr>
          <w:b/>
          <w:bCs/>
        </w:rPr>
        <w:t>Leigh JA</w:t>
      </w:r>
      <w:r>
        <w:t xml:space="preserve">, </w:t>
      </w:r>
      <w:r>
        <w:rPr>
          <w:b/>
          <w:bCs/>
        </w:rPr>
        <w:t>Stahl DA</w:t>
      </w:r>
      <w:r>
        <w:t xml:space="preserve">. 2007. Metabolic modeling of a mutualistic microbial community. Mol Syst Biol </w:t>
      </w:r>
      <w:r>
        <w:rPr>
          <w:b/>
          <w:bCs/>
        </w:rPr>
        <w:t>3</w:t>
      </w:r>
      <w:r>
        <w:t>:92.</w:t>
      </w:r>
    </w:p>
    <w:p w14:paraId="520F61C2" w14:textId="77777777" w:rsidR="00276128" w:rsidRDefault="00276128" w:rsidP="00276128">
      <w:pPr>
        <w:pStyle w:val="Bibliography"/>
      </w:pPr>
      <w:r>
        <w:t xml:space="preserve">15. </w:t>
      </w:r>
      <w:r>
        <w:tab/>
      </w:r>
      <w:r>
        <w:rPr>
          <w:b/>
          <w:bCs/>
        </w:rPr>
        <w:t>Goyal N</w:t>
      </w:r>
      <w:r>
        <w:t xml:space="preserve">, </w:t>
      </w:r>
      <w:r>
        <w:rPr>
          <w:b/>
          <w:bCs/>
        </w:rPr>
        <w:t>Widiastuti H</w:t>
      </w:r>
      <w:r>
        <w:t xml:space="preserve">, </w:t>
      </w:r>
      <w:r>
        <w:rPr>
          <w:b/>
          <w:bCs/>
        </w:rPr>
        <w:t>Karimi IA</w:t>
      </w:r>
      <w:r>
        <w:t xml:space="preserve">, </w:t>
      </w:r>
      <w:r>
        <w:rPr>
          <w:b/>
          <w:bCs/>
        </w:rPr>
        <w:t>Zhou Z</w:t>
      </w:r>
      <w:r>
        <w:t xml:space="preserve">. 2014. A genome-scale metabolic model of </w:t>
      </w:r>
      <w:r>
        <w:rPr>
          <w:i/>
          <w:iCs/>
        </w:rPr>
        <w:t>Methanococcus maripaludis S2</w:t>
      </w:r>
      <w:r>
        <w:t xml:space="preserve"> for CO2 capture and conversion to methane. Mol Biosyst </w:t>
      </w:r>
      <w:r>
        <w:rPr>
          <w:b/>
          <w:bCs/>
        </w:rPr>
        <w:t>10</w:t>
      </w:r>
      <w:r>
        <w:t>:1043–1054.</w:t>
      </w:r>
    </w:p>
    <w:p w14:paraId="33262D70" w14:textId="77777777" w:rsidR="00276128" w:rsidRDefault="00276128" w:rsidP="00276128">
      <w:pPr>
        <w:pStyle w:val="Bibliography"/>
      </w:pPr>
      <w:r>
        <w:lastRenderedPageBreak/>
        <w:t xml:space="preserve">16. </w:t>
      </w:r>
      <w:r>
        <w:tab/>
      </w:r>
      <w:r>
        <w:rPr>
          <w:b/>
          <w:bCs/>
        </w:rPr>
        <w:t>Susanti D</w:t>
      </w:r>
      <w:r>
        <w:t xml:space="preserve">, </w:t>
      </w:r>
      <w:r>
        <w:rPr>
          <w:b/>
          <w:bCs/>
        </w:rPr>
        <w:t>Mukhopadhyay B</w:t>
      </w:r>
      <w:r>
        <w:t xml:space="preserve">. 2012. An Intertwined Evolutionary History of Methanogenic Archaea and Sulfate Reduction. PLoS ONE </w:t>
      </w:r>
      <w:r>
        <w:rPr>
          <w:b/>
          <w:bCs/>
        </w:rPr>
        <w:t>7</w:t>
      </w:r>
      <w:r>
        <w:t>:e45313.</w:t>
      </w:r>
    </w:p>
    <w:p w14:paraId="5AA9F2FC" w14:textId="77777777" w:rsidR="00276128" w:rsidRDefault="00276128" w:rsidP="00276128">
      <w:pPr>
        <w:pStyle w:val="Bibliography"/>
      </w:pPr>
      <w:r>
        <w:t xml:space="preserve">17. </w:t>
      </w:r>
      <w:r>
        <w:tab/>
      </w:r>
      <w:r>
        <w:rPr>
          <w:b/>
          <w:bCs/>
        </w:rPr>
        <w:t>Graham DE</w:t>
      </w:r>
      <w:r>
        <w:t xml:space="preserve">, </w:t>
      </w:r>
      <w:r>
        <w:rPr>
          <w:b/>
          <w:bCs/>
        </w:rPr>
        <w:t>White RH</w:t>
      </w:r>
      <w:r>
        <w:t xml:space="preserve">. 2002. Elucidation of methanogenic coenzyme biosyntheses: from spectroscopy to genomics. Nat Prod Rep </w:t>
      </w:r>
      <w:r>
        <w:rPr>
          <w:b/>
          <w:bCs/>
        </w:rPr>
        <w:t>19</w:t>
      </w:r>
      <w:r>
        <w:t>:133–147.</w:t>
      </w:r>
    </w:p>
    <w:p w14:paraId="44DB8A75" w14:textId="77777777" w:rsidR="00276128" w:rsidRDefault="00276128" w:rsidP="00276128">
      <w:pPr>
        <w:pStyle w:val="Bibliography"/>
      </w:pPr>
      <w:r>
        <w:t xml:space="preserve">18. </w:t>
      </w:r>
      <w:r>
        <w:tab/>
      </w:r>
      <w:r>
        <w:rPr>
          <w:b/>
          <w:bCs/>
        </w:rPr>
        <w:t>Benedict MN</w:t>
      </w:r>
      <w:r>
        <w:t xml:space="preserve">, </w:t>
      </w:r>
      <w:r>
        <w:rPr>
          <w:b/>
          <w:bCs/>
        </w:rPr>
        <w:t>Mundy MB</w:t>
      </w:r>
      <w:r>
        <w:t xml:space="preserve">, </w:t>
      </w:r>
      <w:r>
        <w:rPr>
          <w:b/>
          <w:bCs/>
        </w:rPr>
        <w:t>Henry CS</w:t>
      </w:r>
      <w:r>
        <w:t xml:space="preserve">, </w:t>
      </w:r>
      <w:r>
        <w:rPr>
          <w:b/>
          <w:bCs/>
        </w:rPr>
        <w:t>Chia N</w:t>
      </w:r>
      <w:r>
        <w:t xml:space="preserve">, </w:t>
      </w:r>
      <w:r>
        <w:rPr>
          <w:b/>
          <w:bCs/>
        </w:rPr>
        <w:t>Price ND</w:t>
      </w:r>
      <w:r>
        <w:t xml:space="preserve">. 2014. Likelihood-Based Gene Annotations for Gap Filling and Quality Assessment in Genome-Scale Metabolic Models. PLoS Comput Biol </w:t>
      </w:r>
      <w:r>
        <w:rPr>
          <w:b/>
          <w:bCs/>
        </w:rPr>
        <w:t>10</w:t>
      </w:r>
      <w:r>
        <w:t>:e1003882.</w:t>
      </w:r>
    </w:p>
    <w:p w14:paraId="355B8D56" w14:textId="77777777" w:rsidR="00276128" w:rsidRDefault="00276128" w:rsidP="00276128">
      <w:pPr>
        <w:pStyle w:val="Bibliography"/>
      </w:pPr>
      <w:r>
        <w:t xml:space="preserve">19. </w:t>
      </w:r>
      <w:r>
        <w:tab/>
      </w:r>
      <w:r>
        <w:rPr>
          <w:b/>
          <w:bCs/>
        </w:rPr>
        <w:t>Jackson BE</w:t>
      </w:r>
      <w:r>
        <w:t xml:space="preserve">, </w:t>
      </w:r>
      <w:r>
        <w:rPr>
          <w:b/>
          <w:bCs/>
        </w:rPr>
        <w:t>McInerney MJ</w:t>
      </w:r>
      <w:r>
        <w:t xml:space="preserve">. 2002. Anaerobic microbial metabolism can proceed close to thermodynamic limits. Nature </w:t>
      </w:r>
      <w:r>
        <w:rPr>
          <w:b/>
          <w:bCs/>
        </w:rPr>
        <w:t>415</w:t>
      </w:r>
      <w:r>
        <w:t>:454–456.</w:t>
      </w:r>
    </w:p>
    <w:p w14:paraId="1449E620" w14:textId="77777777" w:rsidR="00276128" w:rsidRDefault="00276128" w:rsidP="00276128">
      <w:pPr>
        <w:pStyle w:val="Bibliography"/>
      </w:pPr>
      <w:r>
        <w:t xml:space="preserve">20. </w:t>
      </w:r>
      <w:r>
        <w:tab/>
      </w:r>
      <w:r>
        <w:rPr>
          <w:b/>
          <w:bCs/>
        </w:rPr>
        <w:t>Henry CS</w:t>
      </w:r>
      <w:r>
        <w:t xml:space="preserve">, </w:t>
      </w:r>
      <w:r>
        <w:rPr>
          <w:b/>
          <w:bCs/>
        </w:rPr>
        <w:t>Broadbelt LJ</w:t>
      </w:r>
      <w:r>
        <w:t xml:space="preserve">, </w:t>
      </w:r>
      <w:r>
        <w:rPr>
          <w:b/>
          <w:bCs/>
        </w:rPr>
        <w:t>Hatzimanikatis V</w:t>
      </w:r>
      <w:r>
        <w:t xml:space="preserve">. 2007. Thermodynamics-Based Metabolic Flux Analysis. Biophys J </w:t>
      </w:r>
      <w:r>
        <w:rPr>
          <w:b/>
          <w:bCs/>
        </w:rPr>
        <w:t>92</w:t>
      </w:r>
      <w:r>
        <w:t>:1792–1805.</w:t>
      </w:r>
    </w:p>
    <w:p w14:paraId="720E10D8" w14:textId="77777777" w:rsidR="00276128" w:rsidRDefault="00276128" w:rsidP="00276128">
      <w:pPr>
        <w:pStyle w:val="Bibliography"/>
      </w:pPr>
      <w:r>
        <w:t xml:space="preserve">21. </w:t>
      </w:r>
      <w:r>
        <w:tab/>
      </w:r>
      <w:r>
        <w:rPr>
          <w:b/>
          <w:bCs/>
        </w:rPr>
        <w:t>Hoppe A</w:t>
      </w:r>
      <w:r>
        <w:t xml:space="preserve">, </w:t>
      </w:r>
      <w:r>
        <w:rPr>
          <w:b/>
          <w:bCs/>
        </w:rPr>
        <w:t>Hoffmann S</w:t>
      </w:r>
      <w:r>
        <w:t xml:space="preserve">, </w:t>
      </w:r>
      <w:r>
        <w:rPr>
          <w:b/>
          <w:bCs/>
        </w:rPr>
        <w:t>Holzhütter H-G</w:t>
      </w:r>
      <w:r>
        <w:t xml:space="preserve">. 2007. Including metabolite concentrations into flux balance analysis: thermodynamic realizability as a constraint on flux distributions in metabolic networks. BMC Syst Biol </w:t>
      </w:r>
      <w:r>
        <w:rPr>
          <w:b/>
          <w:bCs/>
        </w:rPr>
        <w:t>1</w:t>
      </w:r>
      <w:r>
        <w:t>:23.</w:t>
      </w:r>
    </w:p>
    <w:p w14:paraId="20A929A7" w14:textId="77777777" w:rsidR="00276128" w:rsidRDefault="00276128" w:rsidP="00276128">
      <w:pPr>
        <w:pStyle w:val="Bibliography"/>
      </w:pPr>
      <w:r>
        <w:t xml:space="preserve">22. </w:t>
      </w:r>
      <w:r>
        <w:tab/>
      </w:r>
      <w:r>
        <w:rPr>
          <w:b/>
          <w:bCs/>
        </w:rPr>
        <w:t>Thiele I</w:t>
      </w:r>
      <w:r>
        <w:t xml:space="preserve">, </w:t>
      </w:r>
      <w:r>
        <w:rPr>
          <w:b/>
          <w:bCs/>
        </w:rPr>
        <w:t>Palsson BØ</w:t>
      </w:r>
      <w:r>
        <w:t xml:space="preserve">. 2010. A protocol for generating a high-quality genome-scale metabolic reconstruction. Nat Protoc </w:t>
      </w:r>
      <w:r>
        <w:rPr>
          <w:b/>
          <w:bCs/>
        </w:rPr>
        <w:t>5</w:t>
      </w:r>
      <w:r>
        <w:t>:93–121.</w:t>
      </w:r>
    </w:p>
    <w:p w14:paraId="14AFB6D3" w14:textId="77777777" w:rsidR="00276128" w:rsidRDefault="00276128" w:rsidP="00276128">
      <w:pPr>
        <w:pStyle w:val="Bibliography"/>
      </w:pPr>
      <w:r>
        <w:t xml:space="preserve">23. </w:t>
      </w:r>
      <w:r>
        <w:tab/>
      </w:r>
      <w:r>
        <w:rPr>
          <w:b/>
          <w:bCs/>
        </w:rPr>
        <w:t>Kanehisa M</w:t>
      </w:r>
      <w:r>
        <w:t xml:space="preserve">, </w:t>
      </w:r>
      <w:r>
        <w:rPr>
          <w:b/>
          <w:bCs/>
        </w:rPr>
        <w:t>Goto S</w:t>
      </w:r>
      <w:r>
        <w:t xml:space="preserve">. 2000. KEGG: Kyoto Encyclopedia of Genes and Genomes. Nucleic Acids Res </w:t>
      </w:r>
      <w:r>
        <w:rPr>
          <w:b/>
          <w:bCs/>
        </w:rPr>
        <w:t>28</w:t>
      </w:r>
      <w:r>
        <w:t>:27–30.</w:t>
      </w:r>
    </w:p>
    <w:p w14:paraId="3405773F" w14:textId="77777777" w:rsidR="00276128" w:rsidRDefault="00276128" w:rsidP="00276128">
      <w:pPr>
        <w:pStyle w:val="Bibliography"/>
      </w:pPr>
      <w:r>
        <w:t xml:space="preserve">24. </w:t>
      </w:r>
      <w:r>
        <w:tab/>
      </w:r>
      <w:r>
        <w:rPr>
          <w:b/>
          <w:bCs/>
        </w:rPr>
        <w:t>Caspi R</w:t>
      </w:r>
      <w:r>
        <w:t xml:space="preserve">, </w:t>
      </w:r>
      <w:r>
        <w:rPr>
          <w:b/>
          <w:bCs/>
        </w:rPr>
        <w:t>Altman T</w:t>
      </w:r>
      <w:r>
        <w:t xml:space="preserve">, </w:t>
      </w:r>
      <w:r>
        <w:rPr>
          <w:b/>
          <w:bCs/>
        </w:rPr>
        <w:t>Dale JM</w:t>
      </w:r>
      <w:r>
        <w:t xml:space="preserve">, </w:t>
      </w:r>
      <w:r>
        <w:rPr>
          <w:b/>
          <w:bCs/>
        </w:rPr>
        <w:t>Dreher K</w:t>
      </w:r>
      <w:r>
        <w:t xml:space="preserve">, </w:t>
      </w:r>
      <w:r>
        <w:rPr>
          <w:b/>
          <w:bCs/>
        </w:rPr>
        <w:t>Fulcher CA</w:t>
      </w:r>
      <w:r>
        <w:t xml:space="preserve">, </w:t>
      </w:r>
      <w:r>
        <w:rPr>
          <w:b/>
          <w:bCs/>
        </w:rPr>
        <w:t>Gilham F</w:t>
      </w:r>
      <w:r>
        <w:t xml:space="preserve">, </w:t>
      </w:r>
      <w:r>
        <w:rPr>
          <w:b/>
          <w:bCs/>
        </w:rPr>
        <w:t>Kaipa P</w:t>
      </w:r>
      <w:r>
        <w:t xml:space="preserve">, </w:t>
      </w:r>
      <w:r>
        <w:rPr>
          <w:b/>
          <w:bCs/>
        </w:rPr>
        <w:t>Karthikeyan AS</w:t>
      </w:r>
      <w:r>
        <w:t xml:space="preserve">, </w:t>
      </w:r>
      <w:r>
        <w:rPr>
          <w:b/>
          <w:bCs/>
        </w:rPr>
        <w:t>Kothari A</w:t>
      </w:r>
      <w:r>
        <w:t xml:space="preserve">, </w:t>
      </w:r>
      <w:r>
        <w:rPr>
          <w:b/>
          <w:bCs/>
        </w:rPr>
        <w:t>Krummenacker M</w:t>
      </w:r>
      <w:r>
        <w:t xml:space="preserve">, </w:t>
      </w:r>
      <w:r>
        <w:rPr>
          <w:b/>
          <w:bCs/>
        </w:rPr>
        <w:t>Latendresse M</w:t>
      </w:r>
      <w:r>
        <w:t xml:space="preserve">, </w:t>
      </w:r>
      <w:r>
        <w:rPr>
          <w:b/>
          <w:bCs/>
        </w:rPr>
        <w:t>Mueller LA</w:t>
      </w:r>
      <w:r>
        <w:t xml:space="preserve">, </w:t>
      </w:r>
      <w:r>
        <w:rPr>
          <w:b/>
          <w:bCs/>
        </w:rPr>
        <w:t>Paley S</w:t>
      </w:r>
      <w:r>
        <w:t xml:space="preserve">, </w:t>
      </w:r>
      <w:r>
        <w:rPr>
          <w:b/>
          <w:bCs/>
        </w:rPr>
        <w:t>Popescu L</w:t>
      </w:r>
      <w:r>
        <w:t xml:space="preserve">, </w:t>
      </w:r>
      <w:r>
        <w:rPr>
          <w:b/>
          <w:bCs/>
        </w:rPr>
        <w:lastRenderedPageBreak/>
        <w:t>Pujar A</w:t>
      </w:r>
      <w:r>
        <w:t xml:space="preserve">, </w:t>
      </w:r>
      <w:r>
        <w:rPr>
          <w:b/>
          <w:bCs/>
        </w:rPr>
        <w:t>Shearer AG</w:t>
      </w:r>
      <w:r>
        <w:t xml:space="preserve">, </w:t>
      </w:r>
      <w:r>
        <w:rPr>
          <w:b/>
          <w:bCs/>
        </w:rPr>
        <w:t>Zhang P</w:t>
      </w:r>
      <w:r>
        <w:t xml:space="preserve">, </w:t>
      </w:r>
      <w:r>
        <w:rPr>
          <w:b/>
          <w:bCs/>
        </w:rPr>
        <w:t>Karp PD</w:t>
      </w:r>
      <w:r>
        <w:t xml:space="preserve">. 2010. The MetaCyc database of metabolic pathways and enzymes and the BioCyc collection of pathway/genome databases. Nucleic Acids Res </w:t>
      </w:r>
      <w:r>
        <w:rPr>
          <w:b/>
          <w:bCs/>
        </w:rPr>
        <w:t>38</w:t>
      </w:r>
      <w:r>
        <w:t>:D473–D479.</w:t>
      </w:r>
    </w:p>
    <w:p w14:paraId="50BC8760" w14:textId="77777777" w:rsidR="00276128" w:rsidRDefault="00276128" w:rsidP="00276128">
      <w:pPr>
        <w:pStyle w:val="Bibliography"/>
      </w:pPr>
      <w:r>
        <w:t xml:space="preserve">25. </w:t>
      </w:r>
      <w:r>
        <w:tab/>
      </w:r>
      <w:r>
        <w:rPr>
          <w:b/>
          <w:bCs/>
        </w:rPr>
        <w:t>Henry CS</w:t>
      </w:r>
      <w:r>
        <w:t xml:space="preserve">, </w:t>
      </w:r>
      <w:r>
        <w:rPr>
          <w:b/>
          <w:bCs/>
        </w:rPr>
        <w:t>DeJongh M</w:t>
      </w:r>
      <w:r>
        <w:t xml:space="preserve">, </w:t>
      </w:r>
      <w:r>
        <w:rPr>
          <w:b/>
          <w:bCs/>
        </w:rPr>
        <w:t>Best AA</w:t>
      </w:r>
      <w:r>
        <w:t xml:space="preserve">, </w:t>
      </w:r>
      <w:r>
        <w:rPr>
          <w:b/>
          <w:bCs/>
        </w:rPr>
        <w:t>Frybarger PM</w:t>
      </w:r>
      <w:r>
        <w:t xml:space="preserve">, </w:t>
      </w:r>
      <w:r>
        <w:rPr>
          <w:b/>
          <w:bCs/>
        </w:rPr>
        <w:t>Linsay B</w:t>
      </w:r>
      <w:r>
        <w:t xml:space="preserve">, </w:t>
      </w:r>
      <w:r>
        <w:rPr>
          <w:b/>
          <w:bCs/>
        </w:rPr>
        <w:t>Stevens RL</w:t>
      </w:r>
      <w:r>
        <w:t xml:space="preserve">. 2010. High-throughput generation, optimization and analysis of genome-scale metabolic models. Nat Biotechnol </w:t>
      </w:r>
      <w:r>
        <w:rPr>
          <w:b/>
          <w:bCs/>
        </w:rPr>
        <w:t>28</w:t>
      </w:r>
      <w:r>
        <w:t>:977–982.</w:t>
      </w:r>
    </w:p>
    <w:p w14:paraId="6BA23F65" w14:textId="77777777" w:rsidR="00276128" w:rsidRDefault="00276128" w:rsidP="00276128">
      <w:pPr>
        <w:pStyle w:val="Bibliography"/>
      </w:pPr>
      <w:r>
        <w:t xml:space="preserve">26. </w:t>
      </w:r>
      <w:r>
        <w:tab/>
      </w:r>
      <w:r>
        <w:rPr>
          <w:b/>
          <w:bCs/>
        </w:rPr>
        <w:t>Price ND</w:t>
      </w:r>
      <w:r>
        <w:t xml:space="preserve">, </w:t>
      </w:r>
      <w:r>
        <w:rPr>
          <w:b/>
          <w:bCs/>
        </w:rPr>
        <w:t>Reed JL</w:t>
      </w:r>
      <w:r>
        <w:t xml:space="preserve">, </w:t>
      </w:r>
      <w:r>
        <w:rPr>
          <w:b/>
          <w:bCs/>
        </w:rPr>
        <w:t>Palsson BØ</w:t>
      </w:r>
      <w:r>
        <w:t xml:space="preserve">. 2004. Genome-scale models of microbial cells: evaluating the consequences of constraints. Nat Rev Microbiol </w:t>
      </w:r>
      <w:r>
        <w:rPr>
          <w:b/>
          <w:bCs/>
        </w:rPr>
        <w:t>2</w:t>
      </w:r>
      <w:r>
        <w:t>:886–897.</w:t>
      </w:r>
    </w:p>
    <w:p w14:paraId="4A66F782" w14:textId="77777777" w:rsidR="00276128" w:rsidRDefault="00276128" w:rsidP="00276128">
      <w:pPr>
        <w:pStyle w:val="Bibliography"/>
      </w:pPr>
      <w:r>
        <w:t xml:space="preserve">27. </w:t>
      </w:r>
      <w:r>
        <w:tab/>
      </w:r>
      <w:r>
        <w:rPr>
          <w:b/>
          <w:bCs/>
        </w:rPr>
        <w:t>Feist AM</w:t>
      </w:r>
      <w:r>
        <w:t xml:space="preserve">, </w:t>
      </w:r>
      <w:r>
        <w:rPr>
          <w:b/>
          <w:bCs/>
        </w:rPr>
        <w:t>Palsson BO</w:t>
      </w:r>
      <w:r>
        <w:t xml:space="preserve">. 2010. The biomass objective function. Curr Opin Microbiol </w:t>
      </w:r>
      <w:r>
        <w:rPr>
          <w:b/>
          <w:bCs/>
        </w:rPr>
        <w:t>13</w:t>
      </w:r>
      <w:r>
        <w:t>:344–349.</w:t>
      </w:r>
    </w:p>
    <w:p w14:paraId="6B320CC4" w14:textId="77777777" w:rsidR="00276128" w:rsidRDefault="00276128" w:rsidP="00276128">
      <w:pPr>
        <w:pStyle w:val="Bibliography"/>
      </w:pPr>
      <w:r>
        <w:t xml:space="preserve">28. </w:t>
      </w:r>
      <w:r>
        <w:tab/>
      </w:r>
      <w:r>
        <w:rPr>
          <w:b/>
          <w:bCs/>
        </w:rPr>
        <w:t>Schellenberger J</w:t>
      </w:r>
      <w:r>
        <w:t xml:space="preserve">, </w:t>
      </w:r>
      <w:r>
        <w:rPr>
          <w:b/>
          <w:bCs/>
        </w:rPr>
        <w:t>Que R</w:t>
      </w:r>
      <w:r>
        <w:t xml:space="preserve">, </w:t>
      </w:r>
      <w:r>
        <w:rPr>
          <w:b/>
          <w:bCs/>
        </w:rPr>
        <w:t>Fleming RMT</w:t>
      </w:r>
      <w:r>
        <w:t xml:space="preserve">, </w:t>
      </w:r>
      <w:r>
        <w:rPr>
          <w:b/>
          <w:bCs/>
        </w:rPr>
        <w:t>Thiele I</w:t>
      </w:r>
      <w:r>
        <w:t xml:space="preserve">, </w:t>
      </w:r>
      <w:r>
        <w:rPr>
          <w:b/>
          <w:bCs/>
        </w:rPr>
        <w:t>Orth JD</w:t>
      </w:r>
      <w:r>
        <w:t xml:space="preserve">, </w:t>
      </w:r>
      <w:r>
        <w:rPr>
          <w:b/>
          <w:bCs/>
        </w:rPr>
        <w:t>Feist AM</w:t>
      </w:r>
      <w:r>
        <w:t xml:space="preserve">, </w:t>
      </w:r>
      <w:r>
        <w:rPr>
          <w:b/>
          <w:bCs/>
        </w:rPr>
        <w:t>Zielinski DC</w:t>
      </w:r>
      <w:r>
        <w:t xml:space="preserve">, </w:t>
      </w:r>
      <w:r>
        <w:rPr>
          <w:b/>
          <w:bCs/>
        </w:rPr>
        <w:t>Bordbar A</w:t>
      </w:r>
      <w:r>
        <w:t xml:space="preserve">, </w:t>
      </w:r>
      <w:r>
        <w:rPr>
          <w:b/>
          <w:bCs/>
        </w:rPr>
        <w:t>Lewis NE</w:t>
      </w:r>
      <w:r>
        <w:t xml:space="preserve">, </w:t>
      </w:r>
      <w:r>
        <w:rPr>
          <w:b/>
          <w:bCs/>
        </w:rPr>
        <w:t>Rahmanian S</w:t>
      </w:r>
      <w:r>
        <w:t xml:space="preserve">, </w:t>
      </w:r>
      <w:r>
        <w:rPr>
          <w:b/>
          <w:bCs/>
        </w:rPr>
        <w:t>Kang J</w:t>
      </w:r>
      <w:r>
        <w:t xml:space="preserve">, </w:t>
      </w:r>
      <w:r>
        <w:rPr>
          <w:b/>
          <w:bCs/>
        </w:rPr>
        <w:t>Hyduke DR</w:t>
      </w:r>
      <w:r>
        <w:t xml:space="preserve">, </w:t>
      </w:r>
      <w:r>
        <w:rPr>
          <w:b/>
          <w:bCs/>
        </w:rPr>
        <w:t>Palsson BØ</w:t>
      </w:r>
      <w:r>
        <w:t xml:space="preserve">. 2011. Quantitative prediction of cellular metabolism with constraint-based models: the COBRA Toolbox v2.0. Nat Protoc </w:t>
      </w:r>
      <w:r>
        <w:rPr>
          <w:b/>
          <w:bCs/>
        </w:rPr>
        <w:t>6</w:t>
      </w:r>
      <w:r>
        <w:t>:1290–1307.</w:t>
      </w:r>
    </w:p>
    <w:p w14:paraId="7A20B389" w14:textId="77777777" w:rsidR="00276128" w:rsidRDefault="00276128" w:rsidP="00276128">
      <w:pPr>
        <w:pStyle w:val="Bibliography"/>
      </w:pPr>
      <w:r>
        <w:t xml:space="preserve">29. </w:t>
      </w:r>
      <w:r>
        <w:tab/>
      </w:r>
      <w:r>
        <w:rPr>
          <w:b/>
          <w:bCs/>
        </w:rPr>
        <w:t>Heavner BD</w:t>
      </w:r>
      <w:r>
        <w:t xml:space="preserve">, </w:t>
      </w:r>
      <w:r>
        <w:rPr>
          <w:b/>
          <w:bCs/>
        </w:rPr>
        <w:t>Price ND</w:t>
      </w:r>
      <w:r>
        <w:t xml:space="preserve">. 2015. Transparency in metabolic network reconstruction enables scalable biological discovery. Curr Opin Biotechnol </w:t>
      </w:r>
      <w:r>
        <w:rPr>
          <w:b/>
          <w:bCs/>
        </w:rPr>
        <w:t>34</w:t>
      </w:r>
      <w:r>
        <w:t>:105–109.</w:t>
      </w:r>
    </w:p>
    <w:p w14:paraId="53948408" w14:textId="77777777" w:rsidR="00276128" w:rsidRDefault="00276128" w:rsidP="00276128">
      <w:pPr>
        <w:pStyle w:val="Bibliography"/>
      </w:pPr>
      <w:r>
        <w:t xml:space="preserve">30. </w:t>
      </w:r>
      <w:r>
        <w:tab/>
      </w:r>
      <w:r>
        <w:rPr>
          <w:b/>
          <w:bCs/>
        </w:rPr>
        <w:t>Kostromins A</w:t>
      </w:r>
      <w:r>
        <w:t xml:space="preserve">, </w:t>
      </w:r>
      <w:r>
        <w:rPr>
          <w:b/>
          <w:bCs/>
        </w:rPr>
        <w:t>Stalidzans E</w:t>
      </w:r>
      <w:r>
        <w:t xml:space="preserve">. 2012. Paint4Net: COBRA Toolbox extension for visualization of stoichiometric models of metabolism. Biosystems </w:t>
      </w:r>
      <w:r>
        <w:rPr>
          <w:b/>
          <w:bCs/>
        </w:rPr>
        <w:t>109</w:t>
      </w:r>
      <w:r>
        <w:t>:233–239.</w:t>
      </w:r>
    </w:p>
    <w:p w14:paraId="039A0B17" w14:textId="77777777" w:rsidR="00276128" w:rsidRDefault="00276128" w:rsidP="00276128">
      <w:pPr>
        <w:pStyle w:val="Bibliography"/>
      </w:pPr>
      <w:r>
        <w:t xml:space="preserve">31. </w:t>
      </w:r>
      <w:r>
        <w:tab/>
      </w:r>
      <w:r>
        <w:rPr>
          <w:b/>
          <w:bCs/>
        </w:rPr>
        <w:t>Porat I</w:t>
      </w:r>
      <w:r>
        <w:t xml:space="preserve">, </w:t>
      </w:r>
      <w:r>
        <w:rPr>
          <w:b/>
          <w:bCs/>
        </w:rPr>
        <w:t>Kim W</w:t>
      </w:r>
      <w:r>
        <w:t xml:space="preserve">, </w:t>
      </w:r>
      <w:r>
        <w:rPr>
          <w:b/>
          <w:bCs/>
        </w:rPr>
        <w:t>Hendrickson EL</w:t>
      </w:r>
      <w:r>
        <w:t xml:space="preserve">, </w:t>
      </w:r>
      <w:r>
        <w:rPr>
          <w:b/>
          <w:bCs/>
        </w:rPr>
        <w:t>Xia Q</w:t>
      </w:r>
      <w:r>
        <w:t xml:space="preserve">, </w:t>
      </w:r>
      <w:r>
        <w:rPr>
          <w:b/>
          <w:bCs/>
        </w:rPr>
        <w:t>Zhang Y</w:t>
      </w:r>
      <w:r>
        <w:t xml:space="preserve">, </w:t>
      </w:r>
      <w:r>
        <w:rPr>
          <w:b/>
          <w:bCs/>
        </w:rPr>
        <w:t>Wang T</w:t>
      </w:r>
      <w:r>
        <w:t xml:space="preserve">, </w:t>
      </w:r>
      <w:r>
        <w:rPr>
          <w:b/>
          <w:bCs/>
        </w:rPr>
        <w:t>Taub F</w:t>
      </w:r>
      <w:r>
        <w:t xml:space="preserve">, </w:t>
      </w:r>
      <w:r>
        <w:rPr>
          <w:b/>
          <w:bCs/>
        </w:rPr>
        <w:t>Moore BC</w:t>
      </w:r>
      <w:r>
        <w:t xml:space="preserve">, </w:t>
      </w:r>
      <w:r>
        <w:rPr>
          <w:b/>
          <w:bCs/>
        </w:rPr>
        <w:t>Anderson IJ</w:t>
      </w:r>
      <w:r>
        <w:t xml:space="preserve">, </w:t>
      </w:r>
      <w:r>
        <w:rPr>
          <w:b/>
          <w:bCs/>
        </w:rPr>
        <w:t>Hackett M</w:t>
      </w:r>
      <w:r>
        <w:t xml:space="preserve">, </w:t>
      </w:r>
      <w:r>
        <w:rPr>
          <w:b/>
          <w:bCs/>
        </w:rPr>
        <w:t>Leigh JA</w:t>
      </w:r>
      <w:r>
        <w:t xml:space="preserve">, </w:t>
      </w:r>
      <w:r>
        <w:rPr>
          <w:b/>
          <w:bCs/>
        </w:rPr>
        <w:t>Whitman WB</w:t>
      </w:r>
      <w:r>
        <w:t xml:space="preserve">. 2006. Disruption of the Operon </w:t>
      </w:r>
      <w:r>
        <w:lastRenderedPageBreak/>
        <w:t xml:space="preserve">Encoding Ehb Hydrogenase Limits Anabolic CO2 Assimilation in the Archaeon </w:t>
      </w:r>
      <w:r>
        <w:rPr>
          <w:i/>
          <w:iCs/>
        </w:rPr>
        <w:t>Methanococcus maripaludis</w:t>
      </w:r>
      <w:r>
        <w:t xml:space="preserve">. J Bacteriol </w:t>
      </w:r>
      <w:r>
        <w:rPr>
          <w:b/>
          <w:bCs/>
        </w:rPr>
        <w:t>188</w:t>
      </w:r>
      <w:r>
        <w:t>:1373–1380.</w:t>
      </w:r>
    </w:p>
    <w:p w14:paraId="47A81F36" w14:textId="77777777" w:rsidR="00276128" w:rsidRDefault="00276128" w:rsidP="00276128">
      <w:pPr>
        <w:pStyle w:val="Bibliography"/>
      </w:pPr>
      <w:r>
        <w:t xml:space="preserve">32. </w:t>
      </w:r>
      <w:r>
        <w:tab/>
      </w:r>
      <w:r>
        <w:rPr>
          <w:b/>
          <w:bCs/>
        </w:rPr>
        <w:t>Lie TJ</w:t>
      </w:r>
      <w:r>
        <w:t xml:space="preserve">, </w:t>
      </w:r>
      <w:r>
        <w:rPr>
          <w:b/>
          <w:bCs/>
        </w:rPr>
        <w:t>Costa KC</w:t>
      </w:r>
      <w:r>
        <w:t xml:space="preserve">, </w:t>
      </w:r>
      <w:r>
        <w:rPr>
          <w:b/>
          <w:bCs/>
        </w:rPr>
        <w:t>Lupa B</w:t>
      </w:r>
      <w:r>
        <w:t xml:space="preserve">, </w:t>
      </w:r>
      <w:r>
        <w:rPr>
          <w:b/>
          <w:bCs/>
        </w:rPr>
        <w:t>Korpole S</w:t>
      </w:r>
      <w:r>
        <w:t xml:space="preserve">, </w:t>
      </w:r>
      <w:r>
        <w:rPr>
          <w:b/>
          <w:bCs/>
        </w:rPr>
        <w:t>Whitman WB</w:t>
      </w:r>
      <w:r>
        <w:t xml:space="preserve">, </w:t>
      </w:r>
      <w:r>
        <w:rPr>
          <w:b/>
          <w:bCs/>
        </w:rPr>
        <w:t>Leigh JA</w:t>
      </w:r>
      <w:r>
        <w:t xml:space="preserve">. 2012. Essential anaplerotic role for the energy-converting hydrogenase Eha in hydrogenotrophic methanogenesis. Proc Natl Acad Sci </w:t>
      </w:r>
      <w:r>
        <w:rPr>
          <w:b/>
          <w:bCs/>
        </w:rPr>
        <w:t>109</w:t>
      </w:r>
      <w:r>
        <w:t>:15473–15478.</w:t>
      </w:r>
    </w:p>
    <w:p w14:paraId="17C23AC1" w14:textId="77777777" w:rsidR="00276128" w:rsidRDefault="00276128" w:rsidP="00276128">
      <w:pPr>
        <w:pStyle w:val="Bibliography"/>
      </w:pPr>
      <w:r>
        <w:t xml:space="preserve">33. </w:t>
      </w:r>
      <w:r>
        <w:tab/>
      </w:r>
      <w:r>
        <w:rPr>
          <w:b/>
          <w:bCs/>
        </w:rPr>
        <w:t>Lupa B</w:t>
      </w:r>
      <w:r>
        <w:t xml:space="preserve">, </w:t>
      </w:r>
      <w:r>
        <w:rPr>
          <w:b/>
          <w:bCs/>
        </w:rPr>
        <w:t>Hendrickson EL</w:t>
      </w:r>
      <w:r>
        <w:t xml:space="preserve">, </w:t>
      </w:r>
      <w:r>
        <w:rPr>
          <w:b/>
          <w:bCs/>
        </w:rPr>
        <w:t>Leigh JA</w:t>
      </w:r>
      <w:r>
        <w:t xml:space="preserve">, </w:t>
      </w:r>
      <w:r>
        <w:rPr>
          <w:b/>
          <w:bCs/>
        </w:rPr>
        <w:t>Whitman WB</w:t>
      </w:r>
      <w:r>
        <w:t xml:space="preserve">. 2008. Formate-Dependent H2 Production by the Mesophilic Methanogen </w:t>
      </w:r>
      <w:r>
        <w:rPr>
          <w:i/>
          <w:iCs/>
        </w:rPr>
        <w:t>Methanococcus maripaludis</w:t>
      </w:r>
      <w:r>
        <w:t xml:space="preserve">. Appl Environ Microbiol </w:t>
      </w:r>
      <w:r>
        <w:rPr>
          <w:b/>
          <w:bCs/>
        </w:rPr>
        <w:t>74</w:t>
      </w:r>
      <w:r>
        <w:t>:6584–6590.</w:t>
      </w:r>
    </w:p>
    <w:p w14:paraId="1154B351" w14:textId="77777777" w:rsidR="00276128" w:rsidRDefault="00276128" w:rsidP="00276128">
      <w:pPr>
        <w:pStyle w:val="Bibliography"/>
      </w:pPr>
      <w:r>
        <w:t xml:space="preserve">34. </w:t>
      </w:r>
      <w:r>
        <w:tab/>
      </w:r>
      <w:r>
        <w:rPr>
          <w:b/>
          <w:bCs/>
        </w:rPr>
        <w:t>Costa KC</w:t>
      </w:r>
      <w:r>
        <w:t xml:space="preserve">, </w:t>
      </w:r>
      <w:r>
        <w:rPr>
          <w:b/>
          <w:bCs/>
        </w:rPr>
        <w:t>Lie TJ</w:t>
      </w:r>
      <w:r>
        <w:t xml:space="preserve">, </w:t>
      </w:r>
      <w:r>
        <w:rPr>
          <w:b/>
          <w:bCs/>
        </w:rPr>
        <w:t>Jacobs MA</w:t>
      </w:r>
      <w:r>
        <w:t xml:space="preserve">, </w:t>
      </w:r>
      <w:r>
        <w:rPr>
          <w:b/>
          <w:bCs/>
        </w:rPr>
        <w:t>Leigh JA</w:t>
      </w:r>
      <w:r>
        <w:t xml:space="preserve">. 2013. H2-Independent Growth of the Hydrogenotrophic Methanogen </w:t>
      </w:r>
      <w:r>
        <w:rPr>
          <w:i/>
          <w:iCs/>
        </w:rPr>
        <w:t>Methanococcus maripaludis</w:t>
      </w:r>
      <w:r>
        <w:t xml:space="preserve">. mBio </w:t>
      </w:r>
      <w:r>
        <w:rPr>
          <w:b/>
          <w:bCs/>
        </w:rPr>
        <w:t>4</w:t>
      </w:r>
      <w:r>
        <w:t>:e00062–13.</w:t>
      </w:r>
    </w:p>
    <w:p w14:paraId="796FDC8D" w14:textId="77777777" w:rsidR="00276128" w:rsidRDefault="00276128" w:rsidP="00276128">
      <w:pPr>
        <w:pStyle w:val="Bibliography"/>
      </w:pPr>
      <w:r>
        <w:t xml:space="preserve">35. </w:t>
      </w:r>
      <w:r>
        <w:tab/>
      </w:r>
      <w:r>
        <w:rPr>
          <w:b/>
          <w:bCs/>
        </w:rPr>
        <w:t>Costa KC</w:t>
      </w:r>
      <w:r>
        <w:t xml:space="preserve">, </w:t>
      </w:r>
      <w:r>
        <w:rPr>
          <w:b/>
          <w:bCs/>
        </w:rPr>
        <w:t>Wong PM</w:t>
      </w:r>
      <w:r>
        <w:t xml:space="preserve">, </w:t>
      </w:r>
      <w:r>
        <w:rPr>
          <w:b/>
          <w:bCs/>
        </w:rPr>
        <w:t>Wang T</w:t>
      </w:r>
      <w:r>
        <w:t xml:space="preserve">, </w:t>
      </w:r>
      <w:r>
        <w:rPr>
          <w:b/>
          <w:bCs/>
        </w:rPr>
        <w:t>Lie TJ</w:t>
      </w:r>
      <w:r>
        <w:t xml:space="preserve">, </w:t>
      </w:r>
      <w:r>
        <w:rPr>
          <w:b/>
          <w:bCs/>
        </w:rPr>
        <w:t>Dodsworth JA</w:t>
      </w:r>
      <w:r>
        <w:t xml:space="preserve">, </w:t>
      </w:r>
      <w:r>
        <w:rPr>
          <w:b/>
          <w:bCs/>
        </w:rPr>
        <w:t>Swanson I</w:t>
      </w:r>
      <w:r>
        <w:t xml:space="preserve">, </w:t>
      </w:r>
      <w:r>
        <w:rPr>
          <w:b/>
          <w:bCs/>
        </w:rPr>
        <w:t>Burn JA</w:t>
      </w:r>
      <w:r>
        <w:t xml:space="preserve">, </w:t>
      </w:r>
      <w:r>
        <w:rPr>
          <w:b/>
          <w:bCs/>
        </w:rPr>
        <w:t>Hackett M</w:t>
      </w:r>
      <w:r>
        <w:t xml:space="preserve">, </w:t>
      </w:r>
      <w:r>
        <w:rPr>
          <w:b/>
          <w:bCs/>
        </w:rPr>
        <w:t>Leigh JA</w:t>
      </w:r>
      <w:r>
        <w:t xml:space="preserve">. 2010. Protein complexing in a methanogen suggests electron bifurcation and electron delivery from formate to heterodisulfide reductase. Proc Natl Acad Sci </w:t>
      </w:r>
      <w:r>
        <w:rPr>
          <w:b/>
          <w:bCs/>
        </w:rPr>
        <w:t>107</w:t>
      </w:r>
      <w:r>
        <w:t>:11050–11055.</w:t>
      </w:r>
    </w:p>
    <w:p w14:paraId="536CFAEB" w14:textId="77777777" w:rsidR="00276128" w:rsidRDefault="00276128" w:rsidP="00276128">
      <w:pPr>
        <w:pStyle w:val="Bibliography"/>
      </w:pPr>
      <w:r>
        <w:t xml:space="preserve">36. </w:t>
      </w:r>
      <w:r>
        <w:tab/>
      </w:r>
      <w:r>
        <w:rPr>
          <w:b/>
          <w:bCs/>
        </w:rPr>
        <w:t>Hendrickson EL</w:t>
      </w:r>
      <w:r>
        <w:t xml:space="preserve">, </w:t>
      </w:r>
      <w:r>
        <w:rPr>
          <w:b/>
          <w:bCs/>
        </w:rPr>
        <w:t>Leigh JA</w:t>
      </w:r>
      <w:r>
        <w:t xml:space="preserve">. 2008. Roles of Coenzyme F420-Reducing Hydrogenases and Hydrogen- and F420-Dependent Methylenetetrahydromethanopterin Dehydrogenases in Reduction of F420 and Production of Hydrogen during Methanogenesis. J Bacteriol </w:t>
      </w:r>
      <w:r>
        <w:rPr>
          <w:b/>
          <w:bCs/>
        </w:rPr>
        <w:t>190</w:t>
      </w:r>
      <w:r>
        <w:t>:4818–4821.</w:t>
      </w:r>
    </w:p>
    <w:p w14:paraId="16E2E037" w14:textId="77777777" w:rsidR="00276128" w:rsidRDefault="00276128" w:rsidP="00276128">
      <w:pPr>
        <w:pStyle w:val="Bibliography"/>
      </w:pPr>
      <w:r>
        <w:t xml:space="preserve">37. </w:t>
      </w:r>
      <w:r>
        <w:tab/>
      </w:r>
      <w:r>
        <w:rPr>
          <w:b/>
          <w:bCs/>
        </w:rPr>
        <w:t>Matthews BW</w:t>
      </w:r>
      <w:r>
        <w:t xml:space="preserve">. 1975. Comparison of the predicted and observed secondary structure of T4 phage lysozyme. Biochim Biophys Acta BBA - Protein Struct </w:t>
      </w:r>
      <w:r>
        <w:rPr>
          <w:b/>
          <w:bCs/>
        </w:rPr>
        <w:t>405</w:t>
      </w:r>
      <w:r>
        <w:t>:442–451.</w:t>
      </w:r>
    </w:p>
    <w:p w14:paraId="18C06577" w14:textId="77777777" w:rsidR="00276128" w:rsidRDefault="00276128" w:rsidP="00276128">
      <w:pPr>
        <w:pStyle w:val="Bibliography"/>
      </w:pPr>
      <w:r>
        <w:lastRenderedPageBreak/>
        <w:t xml:space="preserve">38. </w:t>
      </w:r>
      <w:r>
        <w:tab/>
      </w:r>
      <w:r>
        <w:rPr>
          <w:b/>
          <w:bCs/>
        </w:rPr>
        <w:t>Flamholz A</w:t>
      </w:r>
      <w:r>
        <w:t xml:space="preserve">, </w:t>
      </w:r>
      <w:r>
        <w:rPr>
          <w:b/>
          <w:bCs/>
        </w:rPr>
        <w:t>Noor E</w:t>
      </w:r>
      <w:r>
        <w:t xml:space="preserve">, </w:t>
      </w:r>
      <w:r>
        <w:rPr>
          <w:b/>
          <w:bCs/>
        </w:rPr>
        <w:t>Bar-Even A</w:t>
      </w:r>
      <w:r>
        <w:t xml:space="preserve">, </w:t>
      </w:r>
      <w:r>
        <w:rPr>
          <w:b/>
          <w:bCs/>
        </w:rPr>
        <w:t>Milo R</w:t>
      </w:r>
      <w:r>
        <w:t>. 2011. eQuilibrator—the biochemical thermodynamics calculator. Nucleic Acids Res gkr874.</w:t>
      </w:r>
    </w:p>
    <w:p w14:paraId="280144A6" w14:textId="77777777" w:rsidR="00276128" w:rsidRDefault="00276128" w:rsidP="00276128">
      <w:pPr>
        <w:pStyle w:val="Bibliography"/>
      </w:pPr>
      <w:r>
        <w:t xml:space="preserve">39. </w:t>
      </w:r>
      <w:r>
        <w:tab/>
      </w:r>
      <w:r>
        <w:rPr>
          <w:b/>
          <w:bCs/>
        </w:rPr>
        <w:t>Jankowski MD</w:t>
      </w:r>
      <w:r>
        <w:t xml:space="preserve">, </w:t>
      </w:r>
      <w:r>
        <w:rPr>
          <w:b/>
          <w:bCs/>
        </w:rPr>
        <w:t>Henry CS</w:t>
      </w:r>
      <w:r>
        <w:t xml:space="preserve">, </w:t>
      </w:r>
      <w:r>
        <w:rPr>
          <w:b/>
          <w:bCs/>
        </w:rPr>
        <w:t>Broadbelt LJ</w:t>
      </w:r>
      <w:r>
        <w:t xml:space="preserve">, </w:t>
      </w:r>
      <w:r>
        <w:rPr>
          <w:b/>
          <w:bCs/>
        </w:rPr>
        <w:t>Hatzimanikatis V</w:t>
      </w:r>
      <w:r>
        <w:t xml:space="preserve">. 2008. Group Contribution Method for Thermodynamic Analysis of Complex Metabolic Networks. Biophys J </w:t>
      </w:r>
      <w:r>
        <w:rPr>
          <w:b/>
          <w:bCs/>
        </w:rPr>
        <w:t>95</w:t>
      </w:r>
      <w:r>
        <w:t>:1487–1499.</w:t>
      </w:r>
    </w:p>
    <w:p w14:paraId="53B3538B" w14:textId="77777777" w:rsidR="00276128" w:rsidRDefault="00276128" w:rsidP="00276128">
      <w:pPr>
        <w:pStyle w:val="Bibliography"/>
      </w:pPr>
      <w:r>
        <w:t xml:space="preserve">40. </w:t>
      </w:r>
      <w:r>
        <w:tab/>
      </w:r>
      <w:r>
        <w:rPr>
          <w:b/>
          <w:bCs/>
        </w:rPr>
        <w:t>Haydock AK</w:t>
      </w:r>
      <w:r>
        <w:t xml:space="preserve">, </w:t>
      </w:r>
      <w:r>
        <w:rPr>
          <w:b/>
          <w:bCs/>
        </w:rPr>
        <w:t>Porat I</w:t>
      </w:r>
      <w:r>
        <w:t xml:space="preserve">, </w:t>
      </w:r>
      <w:r>
        <w:rPr>
          <w:b/>
          <w:bCs/>
        </w:rPr>
        <w:t>Whitman WB</w:t>
      </w:r>
      <w:r>
        <w:t xml:space="preserve">, </w:t>
      </w:r>
      <w:r>
        <w:rPr>
          <w:b/>
          <w:bCs/>
        </w:rPr>
        <w:t>Leigh JA</w:t>
      </w:r>
      <w:r>
        <w:t xml:space="preserve">. 2004. Continuous culture of </w:t>
      </w:r>
      <w:r>
        <w:rPr>
          <w:i/>
          <w:iCs/>
        </w:rPr>
        <w:t>Methanococcus maripaludis</w:t>
      </w:r>
      <w:r>
        <w:t xml:space="preserve"> under defined nutrient conditions. FEMS Microbiol Lett </w:t>
      </w:r>
      <w:r>
        <w:rPr>
          <w:b/>
          <w:bCs/>
        </w:rPr>
        <w:t>238</w:t>
      </w:r>
      <w:r>
        <w:t>:85–91.</w:t>
      </w:r>
    </w:p>
    <w:p w14:paraId="2198E107" w14:textId="77777777" w:rsidR="00276128" w:rsidRDefault="00276128" w:rsidP="00276128">
      <w:pPr>
        <w:pStyle w:val="Bibliography"/>
      </w:pPr>
      <w:r>
        <w:t xml:space="preserve">41. </w:t>
      </w:r>
      <w:r>
        <w:tab/>
      </w:r>
      <w:r>
        <w:rPr>
          <w:b/>
          <w:bCs/>
        </w:rPr>
        <w:t>Shieh JS</w:t>
      </w:r>
      <w:r>
        <w:t xml:space="preserve">, </w:t>
      </w:r>
      <w:r>
        <w:rPr>
          <w:b/>
          <w:bCs/>
        </w:rPr>
        <w:t>Whitman WB</w:t>
      </w:r>
      <w:r>
        <w:t xml:space="preserve">. 1987. Pathway of acetate assimilation in autotrophic and heterotrophic methanococci. J Bacteriol </w:t>
      </w:r>
      <w:r>
        <w:rPr>
          <w:b/>
          <w:bCs/>
        </w:rPr>
        <w:t>169</w:t>
      </w:r>
      <w:r>
        <w:t>:5327–5329.</w:t>
      </w:r>
    </w:p>
    <w:p w14:paraId="00FD81BE" w14:textId="77777777" w:rsidR="00276128" w:rsidRDefault="00276128" w:rsidP="00276128">
      <w:pPr>
        <w:pStyle w:val="Bibliography"/>
      </w:pPr>
      <w:r>
        <w:t xml:space="preserve">42. </w:t>
      </w:r>
      <w:r>
        <w:tab/>
      </w:r>
      <w:r>
        <w:rPr>
          <w:b/>
          <w:bCs/>
        </w:rPr>
        <w:t>Welander PV</w:t>
      </w:r>
      <w:r>
        <w:t xml:space="preserve">, </w:t>
      </w:r>
      <w:r>
        <w:rPr>
          <w:b/>
          <w:bCs/>
        </w:rPr>
        <w:t>Metcalf WW</w:t>
      </w:r>
      <w:r>
        <w:t xml:space="preserve">. 2005. Loss of the </w:t>
      </w:r>
      <w:r>
        <w:rPr>
          <w:i/>
          <w:iCs/>
        </w:rPr>
        <w:t>mtr</w:t>
      </w:r>
      <w:r>
        <w:t xml:space="preserve"> operon in </w:t>
      </w:r>
      <w:r>
        <w:rPr>
          <w:i/>
          <w:iCs/>
        </w:rPr>
        <w:t>Methanosarcina</w:t>
      </w:r>
      <w:r>
        <w:t xml:space="preserve"> blocks growth on methanol, but not methanogenesis, and reveals an unknown methanogenic pathway. Proc Natl Acad Sci U S A </w:t>
      </w:r>
      <w:r>
        <w:rPr>
          <w:b/>
          <w:bCs/>
        </w:rPr>
        <w:t>102</w:t>
      </w:r>
      <w:r>
        <w:t>:10664–10669.</w:t>
      </w:r>
    </w:p>
    <w:p w14:paraId="18671258" w14:textId="77777777" w:rsidR="00276128" w:rsidRDefault="00276128" w:rsidP="00276128">
      <w:pPr>
        <w:pStyle w:val="Bibliography"/>
      </w:pPr>
      <w:r>
        <w:t xml:space="preserve">43. </w:t>
      </w:r>
      <w:r>
        <w:tab/>
      </w:r>
      <w:r>
        <w:rPr>
          <w:b/>
          <w:bCs/>
        </w:rPr>
        <w:t>Kaster A-K</w:t>
      </w:r>
      <w:r>
        <w:t xml:space="preserve">, </w:t>
      </w:r>
      <w:r>
        <w:rPr>
          <w:b/>
          <w:bCs/>
        </w:rPr>
        <w:t>Goenrich M</w:t>
      </w:r>
      <w:r>
        <w:t xml:space="preserve">, </w:t>
      </w:r>
      <w:r>
        <w:rPr>
          <w:b/>
          <w:bCs/>
        </w:rPr>
        <w:t>Seedorf H</w:t>
      </w:r>
      <w:r>
        <w:t xml:space="preserve">, </w:t>
      </w:r>
      <w:r>
        <w:rPr>
          <w:b/>
          <w:bCs/>
        </w:rPr>
        <w:t>Liesegang H</w:t>
      </w:r>
      <w:r>
        <w:t xml:space="preserve">, </w:t>
      </w:r>
      <w:r>
        <w:rPr>
          <w:b/>
          <w:bCs/>
        </w:rPr>
        <w:t>Wollherr A</w:t>
      </w:r>
      <w:r>
        <w:t xml:space="preserve">, </w:t>
      </w:r>
      <w:r>
        <w:rPr>
          <w:b/>
          <w:bCs/>
        </w:rPr>
        <w:t>Gottschalk G</w:t>
      </w:r>
      <w:r>
        <w:t xml:space="preserve">, </w:t>
      </w:r>
      <w:r>
        <w:rPr>
          <w:b/>
          <w:bCs/>
        </w:rPr>
        <w:t>Thauer RK</w:t>
      </w:r>
      <w:r>
        <w:t xml:space="preserve">. 2011. More Than 200 Genes Required for Methane Formation from H2 and CO2 and Energy Conservation Are Present in </w:t>
      </w:r>
      <w:r>
        <w:rPr>
          <w:i/>
          <w:iCs/>
        </w:rPr>
        <w:t>Methanothermobacter marburgensis</w:t>
      </w:r>
      <w:r>
        <w:t xml:space="preserve"> and </w:t>
      </w:r>
      <w:r>
        <w:rPr>
          <w:i/>
          <w:iCs/>
        </w:rPr>
        <w:t>Methanothermobacter thermautotrophicus</w:t>
      </w:r>
      <w:r>
        <w:t xml:space="preserve">. Archaea </w:t>
      </w:r>
      <w:r>
        <w:rPr>
          <w:b/>
          <w:bCs/>
        </w:rPr>
        <w:t>2011</w:t>
      </w:r>
      <w:r>
        <w:t>:1–23.</w:t>
      </w:r>
    </w:p>
    <w:p w14:paraId="453775EA" w14:textId="77777777" w:rsidR="00276128" w:rsidRDefault="00276128" w:rsidP="00276128">
      <w:pPr>
        <w:pStyle w:val="Bibliography"/>
      </w:pPr>
      <w:r>
        <w:t xml:space="preserve">44. </w:t>
      </w:r>
      <w:r>
        <w:tab/>
      </w:r>
      <w:r>
        <w:rPr>
          <w:b/>
          <w:bCs/>
        </w:rPr>
        <w:t>Siu S</w:t>
      </w:r>
      <w:r>
        <w:t xml:space="preserve">, </w:t>
      </w:r>
      <w:r>
        <w:rPr>
          <w:b/>
          <w:bCs/>
        </w:rPr>
        <w:t>Robotham A</w:t>
      </w:r>
      <w:r>
        <w:t xml:space="preserve">, </w:t>
      </w:r>
      <w:r>
        <w:rPr>
          <w:b/>
          <w:bCs/>
        </w:rPr>
        <w:t>Logan SM</w:t>
      </w:r>
      <w:r>
        <w:t xml:space="preserve">, </w:t>
      </w:r>
      <w:r>
        <w:rPr>
          <w:b/>
          <w:bCs/>
        </w:rPr>
        <w:t>Kelly JF</w:t>
      </w:r>
      <w:r>
        <w:t xml:space="preserve">, </w:t>
      </w:r>
      <w:r>
        <w:rPr>
          <w:b/>
          <w:bCs/>
        </w:rPr>
        <w:t>Uchida K</w:t>
      </w:r>
      <w:r>
        <w:t xml:space="preserve">, </w:t>
      </w:r>
      <w:r>
        <w:rPr>
          <w:b/>
          <w:bCs/>
        </w:rPr>
        <w:t>Aizawa S-I</w:t>
      </w:r>
      <w:r>
        <w:t xml:space="preserve">, </w:t>
      </w:r>
      <w:r>
        <w:rPr>
          <w:b/>
          <w:bCs/>
        </w:rPr>
        <w:t>Jarrell KF</w:t>
      </w:r>
      <w:r>
        <w:t xml:space="preserve">. 2015. Evidence that Biosynthesis of the Second and Third Sugars of the Archaellin Tetrasaccharide in the Archaeon </w:t>
      </w:r>
      <w:r>
        <w:rPr>
          <w:i/>
          <w:iCs/>
        </w:rPr>
        <w:t>Methanococcus maripaludis</w:t>
      </w:r>
      <w:r>
        <w:t xml:space="preserve"> Occurs by the Same Pathway </w:t>
      </w:r>
      <w:r>
        <w:lastRenderedPageBreak/>
        <w:t xml:space="preserve">Used by </w:t>
      </w:r>
      <w:r>
        <w:rPr>
          <w:i/>
          <w:iCs/>
        </w:rPr>
        <w:t>Pseudomonas aeruginosa</w:t>
      </w:r>
      <w:r>
        <w:t xml:space="preserve"> To Make a Di-N-Acetylated Sugar. J Bacteriol </w:t>
      </w:r>
      <w:r>
        <w:rPr>
          <w:b/>
          <w:bCs/>
        </w:rPr>
        <w:t>197</w:t>
      </w:r>
      <w:r>
        <w:t>:1668–1680.</w:t>
      </w:r>
    </w:p>
    <w:p w14:paraId="7BB35CF8" w14:textId="77777777" w:rsidR="00276128" w:rsidRDefault="00276128" w:rsidP="00276128">
      <w:pPr>
        <w:pStyle w:val="Bibliography"/>
      </w:pPr>
      <w:r>
        <w:t xml:space="preserve">45. </w:t>
      </w:r>
      <w:r>
        <w:tab/>
      </w:r>
      <w:r>
        <w:rPr>
          <w:b/>
          <w:bCs/>
        </w:rPr>
        <w:t>Jain S</w:t>
      </w:r>
      <w:r>
        <w:t xml:space="preserve">, </w:t>
      </w:r>
      <w:r>
        <w:rPr>
          <w:b/>
          <w:bCs/>
        </w:rPr>
        <w:t>Caforio A</w:t>
      </w:r>
      <w:r>
        <w:t xml:space="preserve">, </w:t>
      </w:r>
      <w:r>
        <w:rPr>
          <w:b/>
          <w:bCs/>
        </w:rPr>
        <w:t>Driessen AJM</w:t>
      </w:r>
      <w:r>
        <w:t xml:space="preserve">. 2014. Biosynthesis of archaeal membrane ether lipids. Front Microbiol </w:t>
      </w:r>
      <w:r>
        <w:rPr>
          <w:b/>
          <w:bCs/>
        </w:rPr>
        <w:t>5</w:t>
      </w:r>
      <w:r>
        <w:t>.</w:t>
      </w:r>
    </w:p>
    <w:p w14:paraId="2B029F37" w14:textId="77777777" w:rsidR="00276128" w:rsidRDefault="00276128" w:rsidP="00276128">
      <w:pPr>
        <w:pStyle w:val="Bibliography"/>
      </w:pPr>
      <w:r>
        <w:t xml:space="preserve">46. </w:t>
      </w:r>
      <w:r>
        <w:tab/>
      </w:r>
      <w:r>
        <w:rPr>
          <w:b/>
          <w:bCs/>
        </w:rPr>
        <w:t>Balderston WL</w:t>
      </w:r>
      <w:r>
        <w:t xml:space="preserve">, </w:t>
      </w:r>
      <w:r>
        <w:rPr>
          <w:b/>
          <w:bCs/>
        </w:rPr>
        <w:t>Payne WJ</w:t>
      </w:r>
      <w:r>
        <w:t xml:space="preserve">. 1976. Inhibition of methanogenesis in salt marsh sediments and whole-cell suspensions of methanogenic bacteria by nitrogen oxides. Appl Environ Microbiol </w:t>
      </w:r>
      <w:r>
        <w:rPr>
          <w:b/>
          <w:bCs/>
        </w:rPr>
        <w:t>32</w:t>
      </w:r>
      <w:r>
        <w:t>:264–269.</w:t>
      </w:r>
    </w:p>
    <w:p w14:paraId="1EA2C3E5" w14:textId="77777777" w:rsidR="00276128" w:rsidRDefault="00276128" w:rsidP="00276128">
      <w:pPr>
        <w:pStyle w:val="Bibliography"/>
      </w:pPr>
      <w:r>
        <w:t xml:space="preserve">47. </w:t>
      </w:r>
      <w:r>
        <w:tab/>
      </w:r>
      <w:r>
        <w:rPr>
          <w:b/>
          <w:bCs/>
        </w:rPr>
        <w:t>Costa KC</w:t>
      </w:r>
      <w:r>
        <w:t xml:space="preserve">, </w:t>
      </w:r>
      <w:r>
        <w:rPr>
          <w:b/>
          <w:bCs/>
        </w:rPr>
        <w:t>Yoon SH</w:t>
      </w:r>
      <w:r>
        <w:t xml:space="preserve">, </w:t>
      </w:r>
      <w:r>
        <w:rPr>
          <w:b/>
          <w:bCs/>
        </w:rPr>
        <w:t>Pan M</w:t>
      </w:r>
      <w:r>
        <w:t xml:space="preserve">, </w:t>
      </w:r>
      <w:r>
        <w:rPr>
          <w:b/>
          <w:bCs/>
        </w:rPr>
        <w:t>Burn JA</w:t>
      </w:r>
      <w:r>
        <w:t xml:space="preserve">, </w:t>
      </w:r>
      <w:r>
        <w:rPr>
          <w:b/>
          <w:bCs/>
        </w:rPr>
        <w:t>Baliga NS</w:t>
      </w:r>
      <w:r>
        <w:t xml:space="preserve">, </w:t>
      </w:r>
      <w:r>
        <w:rPr>
          <w:b/>
          <w:bCs/>
        </w:rPr>
        <w:t>Leigh JA</w:t>
      </w:r>
      <w:r>
        <w:t xml:space="preserve">. 2013. Effects of H2 and Formate on Growth Yield and Regulation of Methanogenesis in </w:t>
      </w:r>
      <w:r>
        <w:rPr>
          <w:i/>
          <w:iCs/>
        </w:rPr>
        <w:t>Methanococcus maripaludis</w:t>
      </w:r>
      <w:r>
        <w:t xml:space="preserve">. J Bacteriol </w:t>
      </w:r>
      <w:r>
        <w:rPr>
          <w:b/>
          <w:bCs/>
        </w:rPr>
        <w:t>195</w:t>
      </w:r>
      <w:r>
        <w:t>:1456–1462.</w:t>
      </w:r>
    </w:p>
    <w:p w14:paraId="6541E388" w14:textId="77777777" w:rsidR="00276128" w:rsidRDefault="00276128" w:rsidP="00276128">
      <w:pPr>
        <w:pStyle w:val="Bibliography"/>
      </w:pPr>
      <w:r>
        <w:t xml:space="preserve">48. </w:t>
      </w:r>
      <w:r>
        <w:tab/>
      </w:r>
      <w:r>
        <w:rPr>
          <w:b/>
          <w:bCs/>
        </w:rPr>
        <w:t>Gonnerman MC</w:t>
      </w:r>
      <w:r>
        <w:t xml:space="preserve">, </w:t>
      </w:r>
      <w:r>
        <w:rPr>
          <w:b/>
          <w:bCs/>
        </w:rPr>
        <w:t>Benedict MN</w:t>
      </w:r>
      <w:r>
        <w:t xml:space="preserve">, </w:t>
      </w:r>
      <w:r>
        <w:rPr>
          <w:b/>
          <w:bCs/>
        </w:rPr>
        <w:t>Feist AM</w:t>
      </w:r>
      <w:r>
        <w:t xml:space="preserve">, </w:t>
      </w:r>
      <w:r>
        <w:rPr>
          <w:b/>
          <w:bCs/>
        </w:rPr>
        <w:t>Metcalf WW</w:t>
      </w:r>
      <w:r>
        <w:t xml:space="preserve">, </w:t>
      </w:r>
      <w:r>
        <w:rPr>
          <w:b/>
          <w:bCs/>
        </w:rPr>
        <w:t>Price ND</w:t>
      </w:r>
      <w:r>
        <w:t xml:space="preserve">. 2013. Genomically and biochemically accurate metabolic reconstruction of </w:t>
      </w:r>
      <w:r>
        <w:rPr>
          <w:i/>
          <w:iCs/>
        </w:rPr>
        <w:t>Methanosarcina barkeri</w:t>
      </w:r>
      <w:r>
        <w:t xml:space="preserve"> Fusaro, iMG746. Biotechnol J </w:t>
      </w:r>
      <w:r>
        <w:rPr>
          <w:b/>
          <w:bCs/>
        </w:rPr>
        <w:t>8</w:t>
      </w:r>
      <w:r>
        <w:t>:1070–1079.</w:t>
      </w:r>
    </w:p>
    <w:p w14:paraId="2BC2D337" w14:textId="77777777" w:rsidR="00276128" w:rsidRDefault="00276128" w:rsidP="00276128">
      <w:pPr>
        <w:pStyle w:val="Bibliography"/>
      </w:pPr>
      <w:r>
        <w:t xml:space="preserve">49. </w:t>
      </w:r>
      <w:r>
        <w:tab/>
      </w:r>
      <w:r>
        <w:rPr>
          <w:b/>
          <w:bCs/>
        </w:rPr>
        <w:t>Feist AM</w:t>
      </w:r>
      <w:r>
        <w:t xml:space="preserve">, </w:t>
      </w:r>
      <w:r>
        <w:rPr>
          <w:b/>
          <w:bCs/>
        </w:rPr>
        <w:t>Henry CS</w:t>
      </w:r>
      <w:r>
        <w:t xml:space="preserve">, </w:t>
      </w:r>
      <w:r>
        <w:rPr>
          <w:b/>
          <w:bCs/>
        </w:rPr>
        <w:t>Reed JL</w:t>
      </w:r>
      <w:r>
        <w:t xml:space="preserve">, </w:t>
      </w:r>
      <w:r>
        <w:rPr>
          <w:b/>
          <w:bCs/>
        </w:rPr>
        <w:t>Krummenacker M</w:t>
      </w:r>
      <w:r>
        <w:t xml:space="preserve">, </w:t>
      </w:r>
      <w:r>
        <w:rPr>
          <w:b/>
          <w:bCs/>
        </w:rPr>
        <w:t>Joyce AR</w:t>
      </w:r>
      <w:r>
        <w:t xml:space="preserve">, </w:t>
      </w:r>
      <w:r>
        <w:rPr>
          <w:b/>
          <w:bCs/>
        </w:rPr>
        <w:t>Karp PD</w:t>
      </w:r>
      <w:r>
        <w:t xml:space="preserve">, </w:t>
      </w:r>
      <w:r>
        <w:rPr>
          <w:b/>
          <w:bCs/>
        </w:rPr>
        <w:t>Broadbelt LJ</w:t>
      </w:r>
      <w:r>
        <w:t xml:space="preserve">, </w:t>
      </w:r>
      <w:r>
        <w:rPr>
          <w:b/>
          <w:bCs/>
        </w:rPr>
        <w:t>Hatzimanikatis V</w:t>
      </w:r>
      <w:r>
        <w:t xml:space="preserve">, </w:t>
      </w:r>
      <w:r>
        <w:rPr>
          <w:b/>
          <w:bCs/>
        </w:rPr>
        <w:t>Palsson BØ</w:t>
      </w:r>
      <w:r>
        <w:t xml:space="preserve">. 2007. A genome-scale metabolic reconstruction for Escherichia coli K-12 MG1655 that accounts for 1260 ORFs and thermodynamic information. Mol Syst Biol </w:t>
      </w:r>
      <w:r>
        <w:rPr>
          <w:b/>
          <w:bCs/>
        </w:rPr>
        <w:t>3</w:t>
      </w:r>
      <w:r>
        <w:t>.</w:t>
      </w:r>
    </w:p>
    <w:p w14:paraId="6C2DB3A7" w14:textId="77777777" w:rsidR="00276128" w:rsidRDefault="00276128" w:rsidP="00276128">
      <w:pPr>
        <w:pStyle w:val="Bibliography"/>
      </w:pPr>
      <w:r>
        <w:t xml:space="preserve">50. </w:t>
      </w:r>
      <w:r>
        <w:tab/>
      </w:r>
      <w:r>
        <w:rPr>
          <w:b/>
          <w:bCs/>
        </w:rPr>
        <w:t>Orth JD</w:t>
      </w:r>
      <w:r>
        <w:t xml:space="preserve">, </w:t>
      </w:r>
      <w:r>
        <w:rPr>
          <w:b/>
          <w:bCs/>
        </w:rPr>
        <w:t>Conrad TM</w:t>
      </w:r>
      <w:r>
        <w:t xml:space="preserve">, </w:t>
      </w:r>
      <w:r>
        <w:rPr>
          <w:b/>
          <w:bCs/>
        </w:rPr>
        <w:t>Na J</w:t>
      </w:r>
      <w:r>
        <w:t xml:space="preserve">, </w:t>
      </w:r>
      <w:r>
        <w:rPr>
          <w:b/>
          <w:bCs/>
        </w:rPr>
        <w:t>Lerman JA</w:t>
      </w:r>
      <w:r>
        <w:t xml:space="preserve">, </w:t>
      </w:r>
      <w:r>
        <w:rPr>
          <w:b/>
          <w:bCs/>
        </w:rPr>
        <w:t>Nam H</w:t>
      </w:r>
      <w:r>
        <w:t xml:space="preserve">, </w:t>
      </w:r>
      <w:r>
        <w:rPr>
          <w:b/>
          <w:bCs/>
        </w:rPr>
        <w:t>Feist AM</w:t>
      </w:r>
      <w:r>
        <w:t xml:space="preserve">, </w:t>
      </w:r>
      <w:r>
        <w:rPr>
          <w:b/>
          <w:bCs/>
        </w:rPr>
        <w:t>Palsson BO</w:t>
      </w:r>
      <w:r>
        <w:t xml:space="preserve">. 2014. A comprehensive genome-scale reconstruction of </w:t>
      </w:r>
      <w:r>
        <w:rPr>
          <w:i/>
          <w:iCs/>
        </w:rPr>
        <w:t>Escherichia coli</w:t>
      </w:r>
      <w:r>
        <w:t xml:space="preserve"> metabolism--2011. Mol Syst Biol </w:t>
      </w:r>
      <w:r>
        <w:rPr>
          <w:b/>
          <w:bCs/>
        </w:rPr>
        <w:t>7</w:t>
      </w:r>
      <w:r>
        <w:t>:535–535.</w:t>
      </w:r>
    </w:p>
    <w:p w14:paraId="3052033B" w14:textId="77777777" w:rsidR="00276128" w:rsidRDefault="00276128" w:rsidP="00276128">
      <w:pPr>
        <w:pStyle w:val="Bibliography"/>
      </w:pPr>
      <w:r>
        <w:lastRenderedPageBreak/>
        <w:t xml:space="preserve">51. </w:t>
      </w:r>
      <w:r>
        <w:tab/>
      </w:r>
      <w:r>
        <w:rPr>
          <w:b/>
          <w:bCs/>
        </w:rPr>
        <w:t>Sarmiento F</w:t>
      </w:r>
      <w:r>
        <w:t xml:space="preserve">, </w:t>
      </w:r>
      <w:r>
        <w:rPr>
          <w:b/>
          <w:bCs/>
        </w:rPr>
        <w:t>Mrázek J</w:t>
      </w:r>
      <w:r>
        <w:t xml:space="preserve">, </w:t>
      </w:r>
      <w:r>
        <w:rPr>
          <w:b/>
          <w:bCs/>
        </w:rPr>
        <w:t>Whitman WB</w:t>
      </w:r>
      <w:r>
        <w:t xml:space="preserve">. 2013. Genome-scale analysis of gene function in the hydrogenotrophic methanogenic archaeon </w:t>
      </w:r>
      <w:r>
        <w:rPr>
          <w:i/>
          <w:iCs/>
        </w:rPr>
        <w:t>Methanococcus maripaludis</w:t>
      </w:r>
      <w:r>
        <w:t xml:space="preserve">. Proc Natl Acad Sci </w:t>
      </w:r>
      <w:r>
        <w:rPr>
          <w:b/>
          <w:bCs/>
        </w:rPr>
        <w:t>110</w:t>
      </w:r>
      <w:r>
        <w:t>:4726–4731.</w:t>
      </w:r>
    </w:p>
    <w:p w14:paraId="5552C81F" w14:textId="77777777" w:rsidR="00276128" w:rsidRDefault="00276128" w:rsidP="00276128">
      <w:pPr>
        <w:pStyle w:val="Bibliography"/>
      </w:pPr>
      <w:r>
        <w:t xml:space="preserve">52. </w:t>
      </w:r>
      <w:r>
        <w:tab/>
      </w:r>
      <w:r>
        <w:rPr>
          <w:b/>
          <w:bCs/>
        </w:rPr>
        <w:t>Degtyarenko K</w:t>
      </w:r>
      <w:r>
        <w:t xml:space="preserve">, </w:t>
      </w:r>
      <w:r>
        <w:rPr>
          <w:b/>
          <w:bCs/>
        </w:rPr>
        <w:t>Matos P de</w:t>
      </w:r>
      <w:r>
        <w:t xml:space="preserve">, </w:t>
      </w:r>
      <w:r>
        <w:rPr>
          <w:b/>
          <w:bCs/>
        </w:rPr>
        <w:t>Ennis M</w:t>
      </w:r>
      <w:r>
        <w:t xml:space="preserve">, </w:t>
      </w:r>
      <w:r>
        <w:rPr>
          <w:b/>
          <w:bCs/>
        </w:rPr>
        <w:t>Hastings J</w:t>
      </w:r>
      <w:r>
        <w:t xml:space="preserve">, </w:t>
      </w:r>
      <w:r>
        <w:rPr>
          <w:b/>
          <w:bCs/>
        </w:rPr>
        <w:t>Zbinden M</w:t>
      </w:r>
      <w:r>
        <w:t xml:space="preserve">, </w:t>
      </w:r>
      <w:r>
        <w:rPr>
          <w:b/>
          <w:bCs/>
        </w:rPr>
        <w:t>McNaught A</w:t>
      </w:r>
      <w:r>
        <w:t xml:space="preserve">, </w:t>
      </w:r>
      <w:r>
        <w:rPr>
          <w:b/>
          <w:bCs/>
        </w:rPr>
        <w:t>Alcántara R</w:t>
      </w:r>
      <w:r>
        <w:t xml:space="preserve">, </w:t>
      </w:r>
      <w:r>
        <w:rPr>
          <w:b/>
          <w:bCs/>
        </w:rPr>
        <w:t>Darsow M</w:t>
      </w:r>
      <w:r>
        <w:t xml:space="preserve">, </w:t>
      </w:r>
      <w:r>
        <w:rPr>
          <w:b/>
          <w:bCs/>
        </w:rPr>
        <w:t>Guedj M</w:t>
      </w:r>
      <w:r>
        <w:t xml:space="preserve">, </w:t>
      </w:r>
      <w:r>
        <w:rPr>
          <w:b/>
          <w:bCs/>
        </w:rPr>
        <w:t>Ashburner M</w:t>
      </w:r>
      <w:r>
        <w:t xml:space="preserve">. 2008. ChEBI: a database and ontology for chemical entities of biological interest. Nucleic Acids Res </w:t>
      </w:r>
      <w:r>
        <w:rPr>
          <w:b/>
          <w:bCs/>
        </w:rPr>
        <w:t>36</w:t>
      </w:r>
      <w:r>
        <w:t>:D344–D350.</w:t>
      </w:r>
    </w:p>
    <w:p w14:paraId="63D4375C" w14:textId="77777777" w:rsidR="00276128" w:rsidRDefault="00276128" w:rsidP="00276128">
      <w:pPr>
        <w:pStyle w:val="Bibliography"/>
      </w:pPr>
      <w:r>
        <w:t xml:space="preserve">53. </w:t>
      </w:r>
      <w:r>
        <w:tab/>
      </w:r>
      <w:r>
        <w:rPr>
          <w:b/>
          <w:bCs/>
        </w:rPr>
        <w:t>Hucka M</w:t>
      </w:r>
      <w:r>
        <w:t xml:space="preserve">, </w:t>
      </w:r>
      <w:r>
        <w:rPr>
          <w:b/>
          <w:bCs/>
        </w:rPr>
        <w:t>Finney A</w:t>
      </w:r>
      <w:r>
        <w:t xml:space="preserve">, </w:t>
      </w:r>
      <w:r>
        <w:rPr>
          <w:b/>
          <w:bCs/>
        </w:rPr>
        <w:t>Sauro HM</w:t>
      </w:r>
      <w:r>
        <w:t xml:space="preserve">, </w:t>
      </w:r>
      <w:r>
        <w:rPr>
          <w:b/>
          <w:bCs/>
        </w:rPr>
        <w:t>Bolouri H</w:t>
      </w:r>
      <w:r>
        <w:t xml:space="preserve">, </w:t>
      </w:r>
      <w:r>
        <w:rPr>
          <w:b/>
          <w:bCs/>
        </w:rPr>
        <w:t>Doyle JC</w:t>
      </w:r>
      <w:r>
        <w:t xml:space="preserve">, </w:t>
      </w:r>
      <w:r>
        <w:rPr>
          <w:b/>
          <w:bCs/>
        </w:rPr>
        <w:t>Kitano H</w:t>
      </w:r>
      <w:r>
        <w:t xml:space="preserve">, </w:t>
      </w:r>
      <w:r>
        <w:rPr>
          <w:b/>
          <w:bCs/>
        </w:rPr>
        <w:t>Forum  and the rest of the S</w:t>
      </w:r>
      <w:r>
        <w:t xml:space="preserve">, </w:t>
      </w:r>
      <w:r>
        <w:rPr>
          <w:b/>
          <w:bCs/>
        </w:rPr>
        <w:t>Arkin AP</w:t>
      </w:r>
      <w:r>
        <w:t xml:space="preserve">, </w:t>
      </w:r>
      <w:r>
        <w:rPr>
          <w:b/>
          <w:bCs/>
        </w:rPr>
        <w:t>Bornstein BJ</w:t>
      </w:r>
      <w:r>
        <w:t xml:space="preserve">, </w:t>
      </w:r>
      <w:r>
        <w:rPr>
          <w:b/>
          <w:bCs/>
        </w:rPr>
        <w:t>Bray D</w:t>
      </w:r>
      <w:r>
        <w:t xml:space="preserve">, </w:t>
      </w:r>
      <w:r>
        <w:rPr>
          <w:b/>
          <w:bCs/>
        </w:rPr>
        <w:t>Cornish-Bowden A</w:t>
      </w:r>
      <w:r>
        <w:t xml:space="preserve">, </w:t>
      </w:r>
      <w:r>
        <w:rPr>
          <w:b/>
          <w:bCs/>
        </w:rPr>
        <w:t>Cuellar AA</w:t>
      </w:r>
      <w:r>
        <w:t xml:space="preserve">, </w:t>
      </w:r>
      <w:r>
        <w:rPr>
          <w:b/>
          <w:bCs/>
        </w:rPr>
        <w:t>Dronov S</w:t>
      </w:r>
      <w:r>
        <w:t xml:space="preserve">, </w:t>
      </w:r>
      <w:r>
        <w:rPr>
          <w:b/>
          <w:bCs/>
        </w:rPr>
        <w:t>Gilles ED</w:t>
      </w:r>
      <w:r>
        <w:t xml:space="preserve">, </w:t>
      </w:r>
      <w:r>
        <w:rPr>
          <w:b/>
          <w:bCs/>
        </w:rPr>
        <w:t>Ginkel M</w:t>
      </w:r>
      <w:r>
        <w:t xml:space="preserve">, </w:t>
      </w:r>
      <w:r>
        <w:rPr>
          <w:b/>
          <w:bCs/>
        </w:rPr>
        <w:t>Gor V</w:t>
      </w:r>
      <w:r>
        <w:t xml:space="preserve">, </w:t>
      </w:r>
      <w:r>
        <w:rPr>
          <w:b/>
          <w:bCs/>
        </w:rPr>
        <w:t>Goryanin II</w:t>
      </w:r>
      <w:r>
        <w:t xml:space="preserve">, </w:t>
      </w:r>
      <w:r>
        <w:rPr>
          <w:b/>
          <w:bCs/>
        </w:rPr>
        <w:t>Hedley WJ</w:t>
      </w:r>
      <w:r>
        <w:t xml:space="preserve">, </w:t>
      </w:r>
      <w:r>
        <w:rPr>
          <w:b/>
          <w:bCs/>
        </w:rPr>
        <w:t>Hodgman TC</w:t>
      </w:r>
      <w:r>
        <w:t xml:space="preserve">, </w:t>
      </w:r>
      <w:r>
        <w:rPr>
          <w:b/>
          <w:bCs/>
        </w:rPr>
        <w:t>Hofmeyr J-H</w:t>
      </w:r>
      <w:r>
        <w:t xml:space="preserve">, </w:t>
      </w:r>
      <w:r>
        <w:rPr>
          <w:b/>
          <w:bCs/>
        </w:rPr>
        <w:t>Hunter PJ</w:t>
      </w:r>
      <w:r>
        <w:t xml:space="preserve">, </w:t>
      </w:r>
      <w:r>
        <w:rPr>
          <w:b/>
          <w:bCs/>
        </w:rPr>
        <w:t>Juty NS</w:t>
      </w:r>
      <w:r>
        <w:t xml:space="preserve">, </w:t>
      </w:r>
      <w:r>
        <w:rPr>
          <w:b/>
          <w:bCs/>
        </w:rPr>
        <w:t>Kasberger JL</w:t>
      </w:r>
      <w:r>
        <w:t xml:space="preserve">, </w:t>
      </w:r>
      <w:r>
        <w:rPr>
          <w:b/>
          <w:bCs/>
        </w:rPr>
        <w:t>Kremling A</w:t>
      </w:r>
      <w:r>
        <w:t xml:space="preserve">, </w:t>
      </w:r>
      <w:r>
        <w:rPr>
          <w:b/>
          <w:bCs/>
        </w:rPr>
        <w:t>Kummer U</w:t>
      </w:r>
      <w:r>
        <w:t xml:space="preserve">, </w:t>
      </w:r>
      <w:r>
        <w:rPr>
          <w:b/>
          <w:bCs/>
        </w:rPr>
        <w:t>Novère NL</w:t>
      </w:r>
      <w:r>
        <w:t xml:space="preserve">, </w:t>
      </w:r>
      <w:r>
        <w:rPr>
          <w:b/>
          <w:bCs/>
        </w:rPr>
        <w:t>Loew LM</w:t>
      </w:r>
      <w:r>
        <w:t xml:space="preserve">, </w:t>
      </w:r>
      <w:r>
        <w:rPr>
          <w:b/>
          <w:bCs/>
        </w:rPr>
        <w:t>Lucio D</w:t>
      </w:r>
      <w:r>
        <w:t xml:space="preserve">, </w:t>
      </w:r>
      <w:r>
        <w:rPr>
          <w:b/>
          <w:bCs/>
        </w:rPr>
        <w:t>Mendes P</w:t>
      </w:r>
      <w:r>
        <w:t xml:space="preserve">, </w:t>
      </w:r>
      <w:r>
        <w:rPr>
          <w:b/>
          <w:bCs/>
        </w:rPr>
        <w:t>Minch E</w:t>
      </w:r>
      <w:r>
        <w:t xml:space="preserve">, </w:t>
      </w:r>
      <w:r>
        <w:rPr>
          <w:b/>
          <w:bCs/>
        </w:rPr>
        <w:t>Mjolsness ED</w:t>
      </w:r>
      <w:r>
        <w:t xml:space="preserve">, </w:t>
      </w:r>
      <w:r>
        <w:rPr>
          <w:b/>
          <w:bCs/>
        </w:rPr>
        <w:t>Nakayama Y</w:t>
      </w:r>
      <w:r>
        <w:t xml:space="preserve">, </w:t>
      </w:r>
      <w:r>
        <w:rPr>
          <w:b/>
          <w:bCs/>
        </w:rPr>
        <w:t>Nelson MR</w:t>
      </w:r>
      <w:r>
        <w:t xml:space="preserve">, </w:t>
      </w:r>
      <w:r>
        <w:rPr>
          <w:b/>
          <w:bCs/>
        </w:rPr>
        <w:t>Nielsen PF</w:t>
      </w:r>
      <w:r>
        <w:t xml:space="preserve">, </w:t>
      </w:r>
      <w:r>
        <w:rPr>
          <w:b/>
          <w:bCs/>
        </w:rPr>
        <w:t>Sakurada T</w:t>
      </w:r>
      <w:r>
        <w:t xml:space="preserve">, </w:t>
      </w:r>
      <w:r>
        <w:rPr>
          <w:b/>
          <w:bCs/>
        </w:rPr>
        <w:t>Schaff JC</w:t>
      </w:r>
      <w:r>
        <w:t xml:space="preserve">, </w:t>
      </w:r>
      <w:r>
        <w:rPr>
          <w:b/>
          <w:bCs/>
        </w:rPr>
        <w:t>Shapiro BE</w:t>
      </w:r>
      <w:r>
        <w:t xml:space="preserve">, </w:t>
      </w:r>
      <w:r>
        <w:rPr>
          <w:b/>
          <w:bCs/>
        </w:rPr>
        <w:t>Shimizu TS</w:t>
      </w:r>
      <w:r>
        <w:t xml:space="preserve">, </w:t>
      </w:r>
      <w:r>
        <w:rPr>
          <w:b/>
          <w:bCs/>
        </w:rPr>
        <w:t>Spence HD</w:t>
      </w:r>
      <w:r>
        <w:t xml:space="preserve">, </w:t>
      </w:r>
      <w:r>
        <w:rPr>
          <w:b/>
          <w:bCs/>
        </w:rPr>
        <w:t>Stelling J</w:t>
      </w:r>
      <w:r>
        <w:t xml:space="preserve">, </w:t>
      </w:r>
      <w:r>
        <w:rPr>
          <w:b/>
          <w:bCs/>
        </w:rPr>
        <w:t>Takahashi K</w:t>
      </w:r>
      <w:r>
        <w:t xml:space="preserve">, </w:t>
      </w:r>
      <w:r>
        <w:rPr>
          <w:b/>
          <w:bCs/>
        </w:rPr>
        <w:t>Tomita M</w:t>
      </w:r>
      <w:r>
        <w:t xml:space="preserve">, </w:t>
      </w:r>
      <w:r>
        <w:rPr>
          <w:b/>
          <w:bCs/>
        </w:rPr>
        <w:t>Wagner J</w:t>
      </w:r>
      <w:r>
        <w:t xml:space="preserve">, </w:t>
      </w:r>
      <w:r>
        <w:rPr>
          <w:b/>
          <w:bCs/>
        </w:rPr>
        <w:t>Wang J</w:t>
      </w:r>
      <w:r>
        <w:t xml:space="preserve">. 2003. The systems biology markup language (SBML): a medium for representation and exchange of biochemical network models. Bioinformatics </w:t>
      </w:r>
      <w:r>
        <w:rPr>
          <w:b/>
          <w:bCs/>
        </w:rPr>
        <w:t>19</w:t>
      </w:r>
      <w:r>
        <w:t>:524–531.</w:t>
      </w:r>
    </w:p>
    <w:p w14:paraId="277AEFBD" w14:textId="465ACB47" w:rsidR="000B43BF" w:rsidRDefault="00A40676" w:rsidP="0026382C">
      <w:pPr>
        <w:pStyle w:val="Bibliography"/>
      </w:pPr>
      <w:r>
        <w:fldChar w:fldCharType="end"/>
      </w:r>
    </w:p>
    <w:p w14:paraId="25D562DC" w14:textId="77777777" w:rsidR="000B43BF" w:rsidRDefault="000B43BF">
      <w:pPr>
        <w:rPr>
          <w:rFonts w:asciiTheme="majorHAnsi" w:eastAsiaTheme="majorEastAsia" w:hAnsiTheme="majorHAnsi" w:cstheme="majorBidi"/>
          <w:b/>
          <w:bCs/>
          <w:color w:val="365F91" w:themeColor="accent1" w:themeShade="BF"/>
          <w:sz w:val="28"/>
          <w:szCs w:val="28"/>
        </w:rPr>
      </w:pPr>
      <w:r>
        <w:br w:type="page"/>
      </w:r>
    </w:p>
    <w:p w14:paraId="0B75364F" w14:textId="713D1E0B" w:rsidR="006118BA" w:rsidRDefault="00070CFD" w:rsidP="000B43BF">
      <w:pPr>
        <w:pStyle w:val="Heading1"/>
      </w:pPr>
      <w:r>
        <w:lastRenderedPageBreak/>
        <w:t xml:space="preserve">Tables and </w:t>
      </w:r>
      <w:r w:rsidR="007D1D19">
        <w:t>Figures</w:t>
      </w:r>
    </w:p>
    <w:tbl>
      <w:tblPr>
        <w:tblW w:w="8900" w:type="dxa"/>
        <w:tblInd w:w="93" w:type="dxa"/>
        <w:tblLook w:val="04A0" w:firstRow="1" w:lastRow="0" w:firstColumn="1" w:lastColumn="0" w:noHBand="0" w:noVBand="1"/>
      </w:tblPr>
      <w:tblGrid>
        <w:gridCol w:w="8900"/>
      </w:tblGrid>
      <w:tr w:rsidR="006118BA" w:rsidRPr="006118BA" w14:paraId="63D15BBE" w14:textId="77777777" w:rsidTr="00B55FE2">
        <w:trPr>
          <w:trHeight w:val="300"/>
        </w:trPr>
        <w:tc>
          <w:tcPr>
            <w:tcW w:w="8900" w:type="dxa"/>
            <w:tcBorders>
              <w:top w:val="single" w:sz="4" w:space="0" w:color="auto"/>
              <w:left w:val="nil"/>
              <w:bottom w:val="single" w:sz="4" w:space="0" w:color="auto"/>
              <w:right w:val="nil"/>
            </w:tcBorders>
            <w:vAlign w:val="center"/>
            <w:hideMark/>
          </w:tcPr>
          <w:p w14:paraId="7CE2F1C9" w14:textId="77777777" w:rsidR="006118BA" w:rsidRDefault="006118BA" w:rsidP="006118BA">
            <w:pPr>
              <w:keepNext/>
              <w:spacing w:after="0" w:line="240" w:lineRule="auto"/>
              <w:rPr>
                <w:rFonts w:ascii="Calibri" w:eastAsia="Times New Roman" w:hAnsi="Calibri" w:cs="Times New Roman"/>
                <w:color w:val="000000"/>
                <w:sz w:val="22"/>
              </w:rPr>
            </w:pPr>
          </w:p>
          <w:tbl>
            <w:tblPr>
              <w:tblW w:w="7900" w:type="dxa"/>
              <w:tblLook w:val="04A0" w:firstRow="1" w:lastRow="0" w:firstColumn="1" w:lastColumn="0" w:noHBand="0" w:noVBand="1"/>
            </w:tblPr>
            <w:tblGrid>
              <w:gridCol w:w="5040"/>
              <w:gridCol w:w="2860"/>
            </w:tblGrid>
            <w:tr w:rsidR="00B55FE2" w:rsidRPr="00B55FE2" w14:paraId="1844C226" w14:textId="77777777" w:rsidTr="00B55FE2">
              <w:trPr>
                <w:trHeight w:val="300"/>
              </w:trPr>
              <w:tc>
                <w:tcPr>
                  <w:tcW w:w="7900" w:type="dxa"/>
                  <w:gridSpan w:val="2"/>
                  <w:tcBorders>
                    <w:top w:val="single" w:sz="4" w:space="0" w:color="auto"/>
                    <w:left w:val="nil"/>
                    <w:bottom w:val="single" w:sz="4" w:space="0" w:color="auto"/>
                    <w:right w:val="nil"/>
                  </w:tcBorders>
                  <w:shd w:val="clear" w:color="auto" w:fill="auto"/>
                  <w:noWrap/>
                  <w:vAlign w:val="bottom"/>
                  <w:hideMark/>
                </w:tcPr>
                <w:p w14:paraId="7296A4FF" w14:textId="77777777" w:rsidR="00B55FE2" w:rsidRPr="00B55FE2" w:rsidRDefault="00B55FE2" w:rsidP="00B55FE2">
                  <w:pPr>
                    <w:spacing w:after="0" w:line="240" w:lineRule="auto"/>
                    <w:jc w:val="center"/>
                    <w:rPr>
                      <w:rFonts w:ascii="Calibri" w:eastAsia="Times New Roman" w:hAnsi="Calibri" w:cs="Times New Roman"/>
                      <w:b/>
                      <w:bCs/>
                      <w:color w:val="000000"/>
                      <w:sz w:val="22"/>
                    </w:rPr>
                  </w:pPr>
                  <w:r w:rsidRPr="00B55FE2">
                    <w:rPr>
                      <w:rFonts w:ascii="Calibri" w:eastAsia="Times New Roman" w:hAnsi="Calibri" w:cs="Times New Roman"/>
                      <w:b/>
                      <w:bCs/>
                      <w:i/>
                      <w:iCs/>
                      <w:color w:val="000000"/>
                      <w:sz w:val="22"/>
                    </w:rPr>
                    <w:t>Methanococcus maripaludis S2</w:t>
                  </w:r>
                  <w:r w:rsidRPr="00B55FE2">
                    <w:rPr>
                      <w:rFonts w:ascii="Calibri" w:eastAsia="Times New Roman" w:hAnsi="Calibri" w:cs="Times New Roman"/>
                      <w:b/>
                      <w:bCs/>
                      <w:color w:val="000000"/>
                      <w:sz w:val="22"/>
                    </w:rPr>
                    <w:t xml:space="preserve"> model statistics</w:t>
                  </w:r>
                </w:p>
              </w:tc>
            </w:tr>
            <w:tr w:rsidR="00B55FE2" w:rsidRPr="00B55FE2" w14:paraId="280BB83C" w14:textId="77777777" w:rsidTr="00B55FE2">
              <w:trPr>
                <w:trHeight w:val="300"/>
              </w:trPr>
              <w:tc>
                <w:tcPr>
                  <w:tcW w:w="5040" w:type="dxa"/>
                  <w:tcBorders>
                    <w:top w:val="nil"/>
                    <w:left w:val="nil"/>
                    <w:bottom w:val="nil"/>
                    <w:right w:val="nil"/>
                  </w:tcBorders>
                  <w:shd w:val="clear" w:color="auto" w:fill="auto"/>
                  <w:noWrap/>
                  <w:vAlign w:val="bottom"/>
                  <w:hideMark/>
                </w:tcPr>
                <w:p w14:paraId="0EE522A1" w14:textId="77777777" w:rsidR="00B55FE2" w:rsidRPr="00B55FE2" w:rsidRDefault="00B55FE2" w:rsidP="00B55FE2">
                  <w:pPr>
                    <w:spacing w:after="0" w:line="240" w:lineRule="auto"/>
                    <w:jc w:val="center"/>
                    <w:rPr>
                      <w:rFonts w:ascii="Calibri" w:eastAsia="Times New Roman" w:hAnsi="Calibri" w:cs="Times New Roman"/>
                      <w:color w:val="000000"/>
                      <w:sz w:val="22"/>
                    </w:rPr>
                  </w:pPr>
                  <w:r w:rsidRPr="00B55FE2">
                    <w:rPr>
                      <w:rFonts w:ascii="Calibri" w:eastAsia="Times New Roman" w:hAnsi="Calibri" w:cs="Times New Roman"/>
                      <w:color w:val="000000"/>
                      <w:sz w:val="22"/>
                    </w:rPr>
                    <w:t>Protein Coding Genes</w:t>
                  </w:r>
                </w:p>
              </w:tc>
              <w:tc>
                <w:tcPr>
                  <w:tcW w:w="2860" w:type="dxa"/>
                  <w:tcBorders>
                    <w:top w:val="nil"/>
                    <w:left w:val="nil"/>
                    <w:bottom w:val="nil"/>
                    <w:right w:val="nil"/>
                  </w:tcBorders>
                  <w:shd w:val="clear" w:color="auto" w:fill="auto"/>
                  <w:noWrap/>
                  <w:vAlign w:val="bottom"/>
                  <w:hideMark/>
                </w:tcPr>
                <w:p w14:paraId="076E2846" w14:textId="77777777" w:rsidR="00B55FE2" w:rsidRPr="00B55FE2" w:rsidRDefault="00B55FE2" w:rsidP="00B55FE2">
                  <w:pPr>
                    <w:spacing w:after="0" w:line="240" w:lineRule="auto"/>
                    <w:jc w:val="center"/>
                    <w:rPr>
                      <w:rFonts w:ascii="Calibri" w:eastAsia="Times New Roman" w:hAnsi="Calibri" w:cs="Times New Roman"/>
                      <w:color w:val="000000"/>
                      <w:sz w:val="22"/>
                    </w:rPr>
                  </w:pPr>
                  <w:r w:rsidRPr="00B55FE2">
                    <w:rPr>
                      <w:rFonts w:ascii="Calibri" w:eastAsia="Times New Roman" w:hAnsi="Calibri" w:cs="Times New Roman"/>
                      <w:color w:val="000000"/>
                      <w:sz w:val="22"/>
                    </w:rPr>
                    <w:t>540</w:t>
                  </w:r>
                </w:p>
              </w:tc>
            </w:tr>
            <w:tr w:rsidR="00B55FE2" w:rsidRPr="00B55FE2" w14:paraId="7066464E" w14:textId="77777777" w:rsidTr="00B55FE2">
              <w:trPr>
                <w:trHeight w:val="300"/>
              </w:trPr>
              <w:tc>
                <w:tcPr>
                  <w:tcW w:w="5040" w:type="dxa"/>
                  <w:tcBorders>
                    <w:top w:val="nil"/>
                    <w:left w:val="nil"/>
                    <w:bottom w:val="nil"/>
                    <w:right w:val="nil"/>
                  </w:tcBorders>
                  <w:shd w:val="clear" w:color="auto" w:fill="auto"/>
                  <w:noWrap/>
                  <w:vAlign w:val="bottom"/>
                  <w:hideMark/>
                </w:tcPr>
                <w:p w14:paraId="64A78F1D" w14:textId="77777777" w:rsidR="00B55FE2" w:rsidRPr="00B55FE2" w:rsidRDefault="00B55FE2" w:rsidP="00B55FE2">
                  <w:pPr>
                    <w:spacing w:after="0" w:line="240" w:lineRule="auto"/>
                    <w:jc w:val="center"/>
                    <w:rPr>
                      <w:rFonts w:ascii="Calibri" w:eastAsia="Times New Roman" w:hAnsi="Calibri" w:cs="Times New Roman"/>
                      <w:color w:val="000000"/>
                      <w:sz w:val="22"/>
                    </w:rPr>
                  </w:pPr>
                  <w:r w:rsidRPr="00B55FE2">
                    <w:rPr>
                      <w:rFonts w:ascii="Calibri" w:eastAsia="Times New Roman" w:hAnsi="Calibri" w:cs="Times New Roman"/>
                      <w:color w:val="000000"/>
                      <w:sz w:val="22"/>
                    </w:rPr>
                    <w:t>% ORF Coverage</w:t>
                  </w:r>
                </w:p>
              </w:tc>
              <w:tc>
                <w:tcPr>
                  <w:tcW w:w="2860" w:type="dxa"/>
                  <w:tcBorders>
                    <w:top w:val="nil"/>
                    <w:left w:val="nil"/>
                    <w:bottom w:val="nil"/>
                    <w:right w:val="nil"/>
                  </w:tcBorders>
                  <w:shd w:val="clear" w:color="auto" w:fill="auto"/>
                  <w:noWrap/>
                  <w:vAlign w:val="bottom"/>
                  <w:hideMark/>
                </w:tcPr>
                <w:p w14:paraId="0B2A4A05" w14:textId="77777777" w:rsidR="00B55FE2" w:rsidRPr="00B55FE2" w:rsidRDefault="00B55FE2" w:rsidP="00B55FE2">
                  <w:pPr>
                    <w:spacing w:after="0" w:line="240" w:lineRule="auto"/>
                    <w:jc w:val="center"/>
                    <w:rPr>
                      <w:rFonts w:ascii="Calibri" w:eastAsia="Times New Roman" w:hAnsi="Calibri" w:cs="Times New Roman"/>
                      <w:color w:val="000000"/>
                      <w:sz w:val="22"/>
                    </w:rPr>
                  </w:pPr>
                  <w:r w:rsidRPr="00B55FE2">
                    <w:rPr>
                      <w:rFonts w:ascii="Calibri" w:eastAsia="Times New Roman" w:hAnsi="Calibri" w:cs="Times New Roman"/>
                      <w:color w:val="000000"/>
                      <w:sz w:val="22"/>
                    </w:rPr>
                    <w:t>31</w:t>
                  </w:r>
                </w:p>
              </w:tc>
            </w:tr>
            <w:tr w:rsidR="00B55FE2" w:rsidRPr="00B55FE2" w14:paraId="3801D583" w14:textId="77777777" w:rsidTr="00B55FE2">
              <w:trPr>
                <w:trHeight w:val="300"/>
              </w:trPr>
              <w:tc>
                <w:tcPr>
                  <w:tcW w:w="5040" w:type="dxa"/>
                  <w:tcBorders>
                    <w:top w:val="nil"/>
                    <w:left w:val="nil"/>
                    <w:bottom w:val="nil"/>
                    <w:right w:val="nil"/>
                  </w:tcBorders>
                  <w:shd w:val="clear" w:color="auto" w:fill="auto"/>
                  <w:noWrap/>
                  <w:vAlign w:val="bottom"/>
                  <w:hideMark/>
                </w:tcPr>
                <w:p w14:paraId="1EA409C9" w14:textId="77777777" w:rsidR="00B55FE2" w:rsidRPr="00B55FE2" w:rsidRDefault="00B55FE2" w:rsidP="00B55FE2">
                  <w:pPr>
                    <w:spacing w:after="0" w:line="240" w:lineRule="auto"/>
                    <w:jc w:val="center"/>
                    <w:rPr>
                      <w:rFonts w:ascii="Calibri" w:eastAsia="Times New Roman" w:hAnsi="Calibri" w:cs="Times New Roman"/>
                      <w:color w:val="000000"/>
                      <w:sz w:val="22"/>
                    </w:rPr>
                  </w:pPr>
                  <w:r w:rsidRPr="00B55FE2">
                    <w:rPr>
                      <w:rFonts w:ascii="Calibri" w:eastAsia="Times New Roman" w:hAnsi="Calibri" w:cs="Times New Roman"/>
                      <w:color w:val="000000"/>
                      <w:sz w:val="22"/>
                    </w:rPr>
                    <w:t>Intra/Extracellular Metabolites</w:t>
                  </w:r>
                </w:p>
              </w:tc>
              <w:tc>
                <w:tcPr>
                  <w:tcW w:w="2860" w:type="dxa"/>
                  <w:tcBorders>
                    <w:top w:val="nil"/>
                    <w:left w:val="nil"/>
                    <w:bottom w:val="nil"/>
                    <w:right w:val="nil"/>
                  </w:tcBorders>
                  <w:shd w:val="clear" w:color="auto" w:fill="auto"/>
                  <w:noWrap/>
                  <w:vAlign w:val="bottom"/>
                  <w:hideMark/>
                </w:tcPr>
                <w:p w14:paraId="161829A1" w14:textId="77777777" w:rsidR="00B55FE2" w:rsidRPr="00B55FE2" w:rsidRDefault="00B55FE2" w:rsidP="00B55FE2">
                  <w:pPr>
                    <w:spacing w:after="0" w:line="240" w:lineRule="auto"/>
                    <w:jc w:val="center"/>
                    <w:rPr>
                      <w:rFonts w:ascii="Calibri" w:eastAsia="Times New Roman" w:hAnsi="Calibri" w:cs="Times New Roman"/>
                      <w:color w:val="000000"/>
                      <w:sz w:val="22"/>
                    </w:rPr>
                  </w:pPr>
                  <w:r w:rsidRPr="00B55FE2">
                    <w:rPr>
                      <w:rFonts w:ascii="Calibri" w:eastAsia="Times New Roman" w:hAnsi="Calibri" w:cs="Times New Roman"/>
                      <w:color w:val="000000"/>
                      <w:sz w:val="22"/>
                    </w:rPr>
                    <w:t>658/53</w:t>
                  </w:r>
                </w:p>
              </w:tc>
            </w:tr>
            <w:tr w:rsidR="00B55FE2" w:rsidRPr="00B55FE2" w14:paraId="36DF2DAE" w14:textId="77777777" w:rsidTr="00B55FE2">
              <w:trPr>
                <w:trHeight w:val="300"/>
              </w:trPr>
              <w:tc>
                <w:tcPr>
                  <w:tcW w:w="5040" w:type="dxa"/>
                  <w:tcBorders>
                    <w:top w:val="nil"/>
                    <w:left w:val="nil"/>
                    <w:bottom w:val="nil"/>
                    <w:right w:val="nil"/>
                  </w:tcBorders>
                  <w:shd w:val="clear" w:color="auto" w:fill="auto"/>
                  <w:noWrap/>
                  <w:vAlign w:val="bottom"/>
                  <w:hideMark/>
                </w:tcPr>
                <w:p w14:paraId="3968DC21" w14:textId="77777777" w:rsidR="00B55FE2" w:rsidRPr="00B55FE2" w:rsidRDefault="00B55FE2" w:rsidP="00B55FE2">
                  <w:pPr>
                    <w:spacing w:after="0" w:line="240" w:lineRule="auto"/>
                    <w:jc w:val="center"/>
                    <w:rPr>
                      <w:rFonts w:ascii="Calibri" w:eastAsia="Times New Roman" w:hAnsi="Calibri" w:cs="Times New Roman"/>
                      <w:color w:val="000000"/>
                      <w:sz w:val="22"/>
                    </w:rPr>
                  </w:pPr>
                  <w:r w:rsidRPr="00B55FE2">
                    <w:rPr>
                      <w:rFonts w:ascii="Calibri" w:eastAsia="Times New Roman" w:hAnsi="Calibri" w:cs="Times New Roman"/>
                      <w:color w:val="000000"/>
                      <w:sz w:val="22"/>
                    </w:rPr>
                    <w:t>Dead End Metabolites</w:t>
                  </w:r>
                </w:p>
              </w:tc>
              <w:tc>
                <w:tcPr>
                  <w:tcW w:w="2860" w:type="dxa"/>
                  <w:tcBorders>
                    <w:top w:val="nil"/>
                    <w:left w:val="nil"/>
                    <w:bottom w:val="nil"/>
                    <w:right w:val="nil"/>
                  </w:tcBorders>
                  <w:shd w:val="clear" w:color="auto" w:fill="auto"/>
                  <w:noWrap/>
                  <w:vAlign w:val="bottom"/>
                  <w:hideMark/>
                </w:tcPr>
                <w:p w14:paraId="06D1BA27" w14:textId="77777777" w:rsidR="00B55FE2" w:rsidRPr="00B55FE2" w:rsidRDefault="00B55FE2" w:rsidP="00B55FE2">
                  <w:pPr>
                    <w:spacing w:after="0" w:line="240" w:lineRule="auto"/>
                    <w:jc w:val="center"/>
                    <w:rPr>
                      <w:rFonts w:ascii="Calibri" w:eastAsia="Times New Roman" w:hAnsi="Calibri" w:cs="Times New Roman"/>
                      <w:color w:val="000000"/>
                      <w:sz w:val="22"/>
                    </w:rPr>
                  </w:pPr>
                  <w:r w:rsidRPr="00B55FE2">
                    <w:rPr>
                      <w:rFonts w:ascii="Calibri" w:eastAsia="Times New Roman" w:hAnsi="Calibri" w:cs="Times New Roman"/>
                      <w:color w:val="000000"/>
                      <w:sz w:val="22"/>
                    </w:rPr>
                    <w:t>259</w:t>
                  </w:r>
                </w:p>
              </w:tc>
            </w:tr>
            <w:tr w:rsidR="00B55FE2" w:rsidRPr="00B55FE2" w14:paraId="247BC338" w14:textId="77777777" w:rsidTr="00B55FE2">
              <w:trPr>
                <w:trHeight w:val="300"/>
              </w:trPr>
              <w:tc>
                <w:tcPr>
                  <w:tcW w:w="5040" w:type="dxa"/>
                  <w:tcBorders>
                    <w:top w:val="nil"/>
                    <w:left w:val="nil"/>
                    <w:bottom w:val="nil"/>
                    <w:right w:val="nil"/>
                  </w:tcBorders>
                  <w:shd w:val="clear" w:color="auto" w:fill="auto"/>
                  <w:noWrap/>
                  <w:vAlign w:val="bottom"/>
                  <w:hideMark/>
                </w:tcPr>
                <w:p w14:paraId="2AE838F0" w14:textId="77777777" w:rsidR="00B55FE2" w:rsidRPr="00B55FE2" w:rsidRDefault="00B55FE2" w:rsidP="00B55FE2">
                  <w:pPr>
                    <w:spacing w:after="0" w:line="240" w:lineRule="auto"/>
                    <w:jc w:val="center"/>
                    <w:rPr>
                      <w:rFonts w:ascii="Calibri" w:eastAsia="Times New Roman" w:hAnsi="Calibri" w:cs="Times New Roman"/>
                      <w:color w:val="000000"/>
                      <w:sz w:val="22"/>
                    </w:rPr>
                  </w:pPr>
                  <w:r w:rsidRPr="00B55FE2">
                    <w:rPr>
                      <w:rFonts w:ascii="Calibri" w:eastAsia="Times New Roman" w:hAnsi="Calibri" w:cs="Times New Roman"/>
                      <w:color w:val="000000"/>
                      <w:sz w:val="22"/>
                    </w:rPr>
                    <w:t>Internal Reactions</w:t>
                  </w:r>
                </w:p>
              </w:tc>
              <w:tc>
                <w:tcPr>
                  <w:tcW w:w="2860" w:type="dxa"/>
                  <w:tcBorders>
                    <w:top w:val="nil"/>
                    <w:left w:val="nil"/>
                    <w:bottom w:val="nil"/>
                    <w:right w:val="nil"/>
                  </w:tcBorders>
                  <w:shd w:val="clear" w:color="auto" w:fill="auto"/>
                  <w:noWrap/>
                  <w:vAlign w:val="bottom"/>
                  <w:hideMark/>
                </w:tcPr>
                <w:p w14:paraId="29DD2907" w14:textId="77777777" w:rsidR="00B55FE2" w:rsidRPr="00B55FE2" w:rsidRDefault="00B55FE2" w:rsidP="00B55FE2">
                  <w:pPr>
                    <w:spacing w:after="0" w:line="240" w:lineRule="auto"/>
                    <w:jc w:val="center"/>
                    <w:rPr>
                      <w:rFonts w:ascii="Calibri" w:eastAsia="Times New Roman" w:hAnsi="Calibri" w:cs="Times New Roman"/>
                      <w:color w:val="000000"/>
                      <w:sz w:val="22"/>
                    </w:rPr>
                  </w:pPr>
                  <w:r w:rsidRPr="00B55FE2">
                    <w:rPr>
                      <w:rFonts w:ascii="Calibri" w:eastAsia="Times New Roman" w:hAnsi="Calibri" w:cs="Times New Roman"/>
                      <w:color w:val="000000"/>
                      <w:sz w:val="22"/>
                    </w:rPr>
                    <w:t>586</w:t>
                  </w:r>
                </w:p>
              </w:tc>
            </w:tr>
            <w:tr w:rsidR="00B55FE2" w:rsidRPr="00B55FE2" w14:paraId="15C49E6A" w14:textId="77777777" w:rsidTr="00B55FE2">
              <w:trPr>
                <w:trHeight w:val="300"/>
              </w:trPr>
              <w:tc>
                <w:tcPr>
                  <w:tcW w:w="5040" w:type="dxa"/>
                  <w:tcBorders>
                    <w:top w:val="nil"/>
                    <w:left w:val="nil"/>
                    <w:bottom w:val="nil"/>
                    <w:right w:val="nil"/>
                  </w:tcBorders>
                  <w:shd w:val="clear" w:color="auto" w:fill="auto"/>
                  <w:noWrap/>
                  <w:vAlign w:val="bottom"/>
                  <w:hideMark/>
                </w:tcPr>
                <w:p w14:paraId="3AFCEE5F" w14:textId="77777777" w:rsidR="00B55FE2" w:rsidRPr="00B55FE2" w:rsidRDefault="00B55FE2" w:rsidP="00B55FE2">
                  <w:pPr>
                    <w:spacing w:after="0" w:line="240" w:lineRule="auto"/>
                    <w:jc w:val="center"/>
                    <w:rPr>
                      <w:rFonts w:ascii="Calibri" w:eastAsia="Times New Roman" w:hAnsi="Calibri" w:cs="Times New Roman"/>
                      <w:color w:val="000000"/>
                      <w:sz w:val="22"/>
                    </w:rPr>
                  </w:pPr>
                  <w:r w:rsidRPr="00B55FE2">
                    <w:rPr>
                      <w:rFonts w:ascii="Calibri" w:eastAsia="Times New Roman" w:hAnsi="Calibri" w:cs="Times New Roman"/>
                      <w:color w:val="000000"/>
                      <w:sz w:val="22"/>
                    </w:rPr>
                    <w:t>Transport/Exchange Reactions</w:t>
                  </w:r>
                </w:p>
              </w:tc>
              <w:tc>
                <w:tcPr>
                  <w:tcW w:w="2860" w:type="dxa"/>
                  <w:tcBorders>
                    <w:top w:val="nil"/>
                    <w:left w:val="nil"/>
                    <w:bottom w:val="nil"/>
                    <w:right w:val="nil"/>
                  </w:tcBorders>
                  <w:shd w:val="clear" w:color="auto" w:fill="auto"/>
                  <w:noWrap/>
                  <w:vAlign w:val="bottom"/>
                  <w:hideMark/>
                </w:tcPr>
                <w:p w14:paraId="145180BD" w14:textId="77777777" w:rsidR="00B55FE2" w:rsidRPr="00B55FE2" w:rsidRDefault="00B55FE2" w:rsidP="00B55FE2">
                  <w:pPr>
                    <w:spacing w:after="0" w:line="240" w:lineRule="auto"/>
                    <w:jc w:val="center"/>
                    <w:rPr>
                      <w:rFonts w:ascii="Calibri" w:eastAsia="Times New Roman" w:hAnsi="Calibri" w:cs="Times New Roman"/>
                      <w:color w:val="000000"/>
                      <w:sz w:val="22"/>
                    </w:rPr>
                  </w:pPr>
                  <w:r w:rsidRPr="00B55FE2">
                    <w:rPr>
                      <w:rFonts w:ascii="Calibri" w:eastAsia="Times New Roman" w:hAnsi="Calibri" w:cs="Times New Roman"/>
                      <w:color w:val="000000"/>
                      <w:sz w:val="22"/>
                    </w:rPr>
                    <w:t>49/59</w:t>
                  </w:r>
                </w:p>
              </w:tc>
            </w:tr>
            <w:tr w:rsidR="00B55FE2" w:rsidRPr="00B55FE2" w14:paraId="2B3DB3FB" w14:textId="77777777" w:rsidTr="00B55FE2">
              <w:trPr>
                <w:trHeight w:val="300"/>
              </w:trPr>
              <w:tc>
                <w:tcPr>
                  <w:tcW w:w="5040" w:type="dxa"/>
                  <w:tcBorders>
                    <w:top w:val="nil"/>
                    <w:left w:val="nil"/>
                    <w:bottom w:val="nil"/>
                    <w:right w:val="nil"/>
                  </w:tcBorders>
                  <w:shd w:val="clear" w:color="auto" w:fill="auto"/>
                  <w:noWrap/>
                  <w:vAlign w:val="bottom"/>
                  <w:hideMark/>
                </w:tcPr>
                <w:p w14:paraId="32FE147C" w14:textId="77777777" w:rsidR="00B55FE2" w:rsidRPr="00B55FE2" w:rsidRDefault="00B55FE2" w:rsidP="00B55FE2">
                  <w:pPr>
                    <w:spacing w:after="0" w:line="240" w:lineRule="auto"/>
                    <w:jc w:val="center"/>
                    <w:rPr>
                      <w:rFonts w:ascii="Calibri" w:eastAsia="Times New Roman" w:hAnsi="Calibri" w:cs="Times New Roman"/>
                      <w:color w:val="000000"/>
                      <w:sz w:val="22"/>
                    </w:rPr>
                  </w:pPr>
                  <w:r w:rsidRPr="00B55FE2">
                    <w:rPr>
                      <w:rFonts w:ascii="Calibri" w:eastAsia="Times New Roman" w:hAnsi="Calibri" w:cs="Times New Roman"/>
                      <w:color w:val="000000"/>
                      <w:sz w:val="22"/>
                    </w:rPr>
                    <w:t>Dead End Reactions</w:t>
                  </w:r>
                </w:p>
              </w:tc>
              <w:tc>
                <w:tcPr>
                  <w:tcW w:w="2860" w:type="dxa"/>
                  <w:tcBorders>
                    <w:top w:val="nil"/>
                    <w:left w:val="nil"/>
                    <w:bottom w:val="nil"/>
                    <w:right w:val="nil"/>
                  </w:tcBorders>
                  <w:shd w:val="clear" w:color="auto" w:fill="auto"/>
                  <w:noWrap/>
                  <w:vAlign w:val="bottom"/>
                  <w:hideMark/>
                </w:tcPr>
                <w:p w14:paraId="5864B9EE" w14:textId="77777777" w:rsidR="00B55FE2" w:rsidRPr="00B55FE2" w:rsidRDefault="00B55FE2" w:rsidP="00B55FE2">
                  <w:pPr>
                    <w:spacing w:after="0" w:line="240" w:lineRule="auto"/>
                    <w:jc w:val="center"/>
                    <w:rPr>
                      <w:rFonts w:ascii="Calibri" w:eastAsia="Times New Roman" w:hAnsi="Calibri" w:cs="Times New Roman"/>
                      <w:color w:val="000000"/>
                      <w:sz w:val="22"/>
                    </w:rPr>
                  </w:pPr>
                  <w:r w:rsidRPr="00B55FE2">
                    <w:rPr>
                      <w:rFonts w:ascii="Calibri" w:eastAsia="Times New Roman" w:hAnsi="Calibri" w:cs="Times New Roman"/>
                      <w:color w:val="000000"/>
                      <w:sz w:val="22"/>
                    </w:rPr>
                    <w:t>206</w:t>
                  </w:r>
                </w:p>
              </w:tc>
            </w:tr>
            <w:tr w:rsidR="00B55FE2" w:rsidRPr="00B55FE2" w14:paraId="5372C3B5" w14:textId="77777777" w:rsidTr="00B55FE2">
              <w:trPr>
                <w:trHeight w:val="300"/>
              </w:trPr>
              <w:tc>
                <w:tcPr>
                  <w:tcW w:w="5040" w:type="dxa"/>
                  <w:tcBorders>
                    <w:top w:val="nil"/>
                    <w:left w:val="nil"/>
                    <w:bottom w:val="single" w:sz="4" w:space="0" w:color="auto"/>
                    <w:right w:val="nil"/>
                  </w:tcBorders>
                  <w:shd w:val="clear" w:color="auto" w:fill="auto"/>
                  <w:noWrap/>
                  <w:vAlign w:val="bottom"/>
                  <w:hideMark/>
                </w:tcPr>
                <w:p w14:paraId="792E79D3" w14:textId="77777777" w:rsidR="00B55FE2" w:rsidRPr="00B55FE2" w:rsidRDefault="00B55FE2" w:rsidP="00B55FE2">
                  <w:pPr>
                    <w:spacing w:after="0" w:line="240" w:lineRule="auto"/>
                    <w:jc w:val="center"/>
                    <w:rPr>
                      <w:rFonts w:ascii="Calibri" w:eastAsia="Times New Roman" w:hAnsi="Calibri" w:cs="Times New Roman"/>
                      <w:color w:val="000000"/>
                      <w:sz w:val="22"/>
                    </w:rPr>
                  </w:pPr>
                  <w:r w:rsidRPr="00B55FE2">
                    <w:rPr>
                      <w:rFonts w:ascii="Calibri" w:eastAsia="Times New Roman" w:hAnsi="Calibri" w:cs="Times New Roman"/>
                      <w:color w:val="000000"/>
                      <w:sz w:val="22"/>
                    </w:rPr>
                    <w:t>Gene-Associated Reactions</w:t>
                  </w:r>
                </w:p>
              </w:tc>
              <w:tc>
                <w:tcPr>
                  <w:tcW w:w="2860" w:type="dxa"/>
                  <w:tcBorders>
                    <w:top w:val="nil"/>
                    <w:left w:val="nil"/>
                    <w:bottom w:val="single" w:sz="4" w:space="0" w:color="auto"/>
                    <w:right w:val="nil"/>
                  </w:tcBorders>
                  <w:shd w:val="clear" w:color="auto" w:fill="auto"/>
                  <w:noWrap/>
                  <w:vAlign w:val="bottom"/>
                  <w:hideMark/>
                </w:tcPr>
                <w:p w14:paraId="07048519" w14:textId="77777777" w:rsidR="00B55FE2" w:rsidRPr="00B55FE2" w:rsidRDefault="00B55FE2" w:rsidP="00B55FE2">
                  <w:pPr>
                    <w:spacing w:after="0" w:line="240" w:lineRule="auto"/>
                    <w:jc w:val="center"/>
                    <w:rPr>
                      <w:rFonts w:ascii="Calibri" w:eastAsia="Times New Roman" w:hAnsi="Calibri" w:cs="Times New Roman"/>
                      <w:color w:val="000000"/>
                      <w:sz w:val="22"/>
                    </w:rPr>
                  </w:pPr>
                  <w:r w:rsidRPr="00B55FE2">
                    <w:rPr>
                      <w:rFonts w:ascii="Calibri" w:eastAsia="Times New Roman" w:hAnsi="Calibri" w:cs="Times New Roman"/>
                      <w:color w:val="000000"/>
                      <w:sz w:val="22"/>
                    </w:rPr>
                    <w:t>500</w:t>
                  </w:r>
                </w:p>
              </w:tc>
            </w:tr>
            <w:tr w:rsidR="00EC3B2F" w:rsidRPr="00B55FE2" w14:paraId="09A865E1" w14:textId="77777777" w:rsidTr="00883773">
              <w:trPr>
                <w:trHeight w:val="300"/>
              </w:trPr>
              <w:tc>
                <w:tcPr>
                  <w:tcW w:w="7900" w:type="dxa"/>
                  <w:gridSpan w:val="2"/>
                  <w:tcBorders>
                    <w:top w:val="nil"/>
                    <w:left w:val="nil"/>
                    <w:bottom w:val="nil"/>
                    <w:right w:val="nil"/>
                  </w:tcBorders>
                  <w:shd w:val="clear" w:color="auto" w:fill="auto"/>
                  <w:hideMark/>
                </w:tcPr>
                <w:p w14:paraId="18109C5B" w14:textId="77777777" w:rsidR="00EC3B2F" w:rsidRPr="00B55FE2" w:rsidRDefault="00EC3B2F" w:rsidP="00B55FE2">
                  <w:pPr>
                    <w:spacing w:after="0" w:line="240" w:lineRule="auto"/>
                    <w:rPr>
                      <w:rFonts w:ascii="Calibri" w:eastAsia="Times New Roman" w:hAnsi="Calibri" w:cs="Times New Roman"/>
                      <w:color w:val="000000"/>
                      <w:sz w:val="22"/>
                    </w:rPr>
                  </w:pPr>
                  <w:r w:rsidRPr="00B55FE2">
                    <w:rPr>
                      <w:rFonts w:ascii="Calibri" w:eastAsia="Times New Roman" w:hAnsi="Calibri" w:cs="Times New Roman"/>
                      <w:color w:val="000000"/>
                      <w:sz w:val="22"/>
                    </w:rPr>
                    <w:t>Table 1. Ge</w:t>
                  </w:r>
                  <w:r>
                    <w:rPr>
                      <w:rFonts w:ascii="Calibri" w:eastAsia="Times New Roman" w:hAnsi="Calibri" w:cs="Times New Roman"/>
                      <w:color w:val="000000"/>
                      <w:sz w:val="22"/>
                    </w:rPr>
                    <w:t xml:space="preserve">neral statistics for the iMR540 </w:t>
                  </w:r>
                  <w:r w:rsidRPr="00B55FE2">
                    <w:rPr>
                      <w:rFonts w:ascii="Calibri" w:eastAsia="Times New Roman" w:hAnsi="Calibri" w:cs="Times New Roman"/>
                      <w:color w:val="000000"/>
                      <w:sz w:val="22"/>
                    </w:rPr>
                    <w:t>reconstruction.</w:t>
                  </w:r>
                </w:p>
                <w:p w14:paraId="248E7EEF" w14:textId="6F1F1FB7" w:rsidR="00EC3B2F" w:rsidRPr="00B55FE2" w:rsidRDefault="00EC3B2F" w:rsidP="00B55FE2">
                  <w:pPr>
                    <w:spacing w:after="0" w:line="240" w:lineRule="auto"/>
                    <w:rPr>
                      <w:rFonts w:ascii="Calibri" w:eastAsia="Times New Roman" w:hAnsi="Calibri" w:cs="Times New Roman"/>
                      <w:color w:val="000000"/>
                      <w:sz w:val="22"/>
                    </w:rPr>
                  </w:pPr>
                  <w:r w:rsidRPr="00B55FE2">
                    <w:rPr>
                      <w:rFonts w:ascii="Calibri" w:eastAsia="Times New Roman" w:hAnsi="Calibri" w:cs="Times New Roman"/>
                      <w:color w:val="000000"/>
                      <w:sz w:val="22"/>
                    </w:rPr>
                    <w:t> </w:t>
                  </w:r>
                </w:p>
              </w:tc>
            </w:tr>
          </w:tbl>
          <w:p w14:paraId="3E0513B2" w14:textId="77777777" w:rsidR="00B55FE2" w:rsidRPr="006118BA" w:rsidRDefault="00B55FE2" w:rsidP="006118BA">
            <w:pPr>
              <w:keepNext/>
              <w:spacing w:after="0" w:line="240" w:lineRule="auto"/>
              <w:rPr>
                <w:rFonts w:ascii="Calibri" w:eastAsia="Times New Roman" w:hAnsi="Calibri" w:cs="Times New Roman"/>
                <w:color w:val="000000"/>
                <w:sz w:val="22"/>
              </w:rPr>
            </w:pPr>
          </w:p>
        </w:tc>
      </w:tr>
      <w:tr w:rsidR="00B55FE2" w:rsidRPr="006118BA" w14:paraId="688B0E4D" w14:textId="77777777" w:rsidTr="006118BA">
        <w:trPr>
          <w:trHeight w:val="300"/>
        </w:trPr>
        <w:tc>
          <w:tcPr>
            <w:tcW w:w="8900" w:type="dxa"/>
            <w:tcBorders>
              <w:top w:val="single" w:sz="4" w:space="0" w:color="auto"/>
              <w:left w:val="nil"/>
              <w:bottom w:val="nil"/>
              <w:right w:val="nil"/>
            </w:tcBorders>
            <w:vAlign w:val="center"/>
          </w:tcPr>
          <w:p w14:paraId="58E1C68E" w14:textId="77777777" w:rsidR="00B55FE2" w:rsidRDefault="00B55FE2" w:rsidP="006118BA">
            <w:pPr>
              <w:keepNext/>
              <w:spacing w:after="0" w:line="240" w:lineRule="auto"/>
              <w:rPr>
                <w:rFonts w:ascii="Calibri" w:eastAsia="Times New Roman" w:hAnsi="Calibri" w:cs="Times New Roman"/>
                <w:color w:val="000000"/>
                <w:sz w:val="22"/>
              </w:rPr>
            </w:pPr>
          </w:p>
        </w:tc>
      </w:tr>
    </w:tbl>
    <w:p w14:paraId="06699080" w14:textId="77777777" w:rsidR="006118BA" w:rsidRDefault="006118BA" w:rsidP="006118BA">
      <w:pPr>
        <w:keepNext/>
      </w:pPr>
      <w:r>
        <w:rPr>
          <w:noProof/>
        </w:rPr>
        <w:drawing>
          <wp:inline distT="0" distB="0" distL="0" distR="0" wp14:anchorId="70185BF6" wp14:editId="07D50BE5">
            <wp:extent cx="5943600" cy="3899535"/>
            <wp:effectExtent l="0" t="0" r="19050" b="2476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C23DE1B" w14:textId="55EE5B80" w:rsidR="007D1D19" w:rsidRDefault="006118BA" w:rsidP="006118BA">
      <w:pPr>
        <w:pStyle w:val="Caption"/>
        <w:rPr>
          <w:b w:val="0"/>
          <w:color w:val="auto"/>
          <w:sz w:val="20"/>
          <w:szCs w:val="20"/>
        </w:rPr>
      </w:pPr>
      <w:r w:rsidRPr="0098443E">
        <w:rPr>
          <w:b w:val="0"/>
          <w:color w:val="auto"/>
          <w:sz w:val="20"/>
          <w:szCs w:val="20"/>
        </w:rPr>
        <w:t xml:space="preserve">Figure </w:t>
      </w:r>
      <w:r w:rsidRPr="0098443E">
        <w:rPr>
          <w:b w:val="0"/>
          <w:color w:val="auto"/>
          <w:sz w:val="20"/>
          <w:szCs w:val="20"/>
        </w:rPr>
        <w:fldChar w:fldCharType="begin"/>
      </w:r>
      <w:r w:rsidRPr="0098443E">
        <w:rPr>
          <w:b w:val="0"/>
          <w:color w:val="auto"/>
          <w:sz w:val="20"/>
          <w:szCs w:val="20"/>
        </w:rPr>
        <w:instrText xml:space="preserve"> SEQ Figure \* ARABIC </w:instrText>
      </w:r>
      <w:r w:rsidRPr="0098443E">
        <w:rPr>
          <w:b w:val="0"/>
          <w:color w:val="auto"/>
          <w:sz w:val="20"/>
          <w:szCs w:val="20"/>
        </w:rPr>
        <w:fldChar w:fldCharType="separate"/>
      </w:r>
      <w:r w:rsidR="0098443E">
        <w:rPr>
          <w:b w:val="0"/>
          <w:noProof/>
          <w:color w:val="auto"/>
          <w:sz w:val="20"/>
          <w:szCs w:val="20"/>
        </w:rPr>
        <w:t>1</w:t>
      </w:r>
      <w:r w:rsidRPr="0098443E">
        <w:rPr>
          <w:b w:val="0"/>
          <w:color w:val="auto"/>
          <w:sz w:val="20"/>
          <w:szCs w:val="20"/>
        </w:rPr>
        <w:fldChar w:fldCharType="end"/>
      </w:r>
      <w:r w:rsidRPr="0098443E">
        <w:rPr>
          <w:b w:val="0"/>
          <w:color w:val="auto"/>
          <w:sz w:val="20"/>
          <w:szCs w:val="20"/>
        </w:rPr>
        <w:t xml:space="preserve">: A chart showing broad subsystem groupings of the 85 reactions in </w:t>
      </w:r>
      <w:r w:rsidR="00B25F12">
        <w:rPr>
          <w:b w:val="0"/>
          <w:color w:val="auto"/>
          <w:sz w:val="20"/>
          <w:szCs w:val="20"/>
        </w:rPr>
        <w:t>iMR540</w:t>
      </w:r>
      <w:r w:rsidR="0026382C" w:rsidRPr="0098443E">
        <w:rPr>
          <w:b w:val="0"/>
          <w:color w:val="auto"/>
          <w:sz w:val="20"/>
          <w:szCs w:val="20"/>
        </w:rPr>
        <w:t xml:space="preserve"> </w:t>
      </w:r>
      <w:r w:rsidRPr="0098443E">
        <w:rPr>
          <w:b w:val="0"/>
          <w:color w:val="auto"/>
          <w:sz w:val="20"/>
          <w:szCs w:val="20"/>
        </w:rPr>
        <w:t>that are not associated with any genes. Reactions falling underneath the “None” subsystem grouping were present in the Model SEED database but had no subsystems listed there and no obvious membe</w:t>
      </w:r>
      <w:bookmarkStart w:id="14" w:name="_GoBack"/>
      <w:bookmarkEnd w:id="14"/>
      <w:r w:rsidRPr="0098443E">
        <w:rPr>
          <w:b w:val="0"/>
          <w:color w:val="auto"/>
          <w:sz w:val="20"/>
          <w:szCs w:val="20"/>
        </w:rPr>
        <w:t xml:space="preserve">rship in another subsystem. Reactions grouped within “Other” </w:t>
      </w:r>
      <w:r w:rsidR="0098443E" w:rsidRPr="0098443E">
        <w:rPr>
          <w:b w:val="0"/>
          <w:color w:val="auto"/>
          <w:sz w:val="20"/>
          <w:szCs w:val="20"/>
        </w:rPr>
        <w:t xml:space="preserve">were dissimilar both from the other categories and from one another, thus we felt they did not merit creation of multiple additional categories. </w:t>
      </w:r>
    </w:p>
    <w:p w14:paraId="4DC6411F" w14:textId="58600C0E" w:rsidR="0098443E" w:rsidRDefault="000B27FA" w:rsidP="0098443E">
      <w:pPr>
        <w:keepNext/>
      </w:pPr>
      <w:r>
        <w:rPr>
          <w:noProof/>
        </w:rPr>
        <w:lastRenderedPageBreak/>
        <w:drawing>
          <wp:inline distT="0" distB="0" distL="0" distR="0" wp14:anchorId="5436ABBD" wp14:editId="0B1138F4">
            <wp:extent cx="5830214" cy="3687950"/>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_10_LOOCV_results.tif"/>
                    <pic:cNvPicPr/>
                  </pic:nvPicPr>
                  <pic:blipFill rotWithShape="1">
                    <a:blip r:embed="rId13">
                      <a:extLst>
                        <a:ext uri="{28A0092B-C50C-407E-A947-70E740481C1C}">
                          <a14:useLocalDpi xmlns:a14="http://schemas.microsoft.com/office/drawing/2010/main" val="0"/>
                        </a:ext>
                      </a:extLst>
                    </a:blip>
                    <a:srcRect l="9219" t="6184" r="8195" b="3708"/>
                    <a:stretch/>
                  </pic:blipFill>
                  <pic:spPr bwMode="auto">
                    <a:xfrm>
                      <a:off x="0" y="0"/>
                      <a:ext cx="5829052" cy="3687215"/>
                    </a:xfrm>
                    <a:prstGeom prst="rect">
                      <a:avLst/>
                    </a:prstGeom>
                    <a:ln>
                      <a:noFill/>
                    </a:ln>
                    <a:extLst>
                      <a:ext uri="{53640926-AAD7-44D8-BBD7-CCE9431645EC}">
                        <a14:shadowObscured xmlns:a14="http://schemas.microsoft.com/office/drawing/2010/main"/>
                      </a:ext>
                    </a:extLst>
                  </pic:spPr>
                </pic:pic>
              </a:graphicData>
            </a:graphic>
          </wp:inline>
        </w:drawing>
      </w:r>
    </w:p>
    <w:p w14:paraId="479E28A4" w14:textId="4698BB79" w:rsidR="0098443E" w:rsidRPr="000B43BF" w:rsidRDefault="0098443E" w:rsidP="000B43BF">
      <w:pPr>
        <w:pStyle w:val="Caption"/>
        <w:rPr>
          <w:b w:val="0"/>
          <w:color w:val="auto"/>
          <w:sz w:val="20"/>
          <w:szCs w:val="20"/>
        </w:rPr>
      </w:pPr>
      <w:commentRangeStart w:id="15"/>
      <w:r w:rsidRPr="00DB27A6">
        <w:rPr>
          <w:b w:val="0"/>
          <w:color w:val="auto"/>
          <w:sz w:val="20"/>
          <w:szCs w:val="20"/>
        </w:rPr>
        <w:t xml:space="preserve">Figure </w:t>
      </w:r>
      <w:r w:rsidRPr="00DB27A6">
        <w:rPr>
          <w:b w:val="0"/>
          <w:color w:val="auto"/>
          <w:sz w:val="20"/>
          <w:szCs w:val="20"/>
        </w:rPr>
        <w:fldChar w:fldCharType="begin"/>
      </w:r>
      <w:r w:rsidRPr="00DB27A6">
        <w:rPr>
          <w:b w:val="0"/>
          <w:color w:val="auto"/>
          <w:sz w:val="20"/>
          <w:szCs w:val="20"/>
        </w:rPr>
        <w:instrText xml:space="preserve"> SEQ Figure \* ARABIC </w:instrText>
      </w:r>
      <w:r w:rsidRPr="00DB27A6">
        <w:rPr>
          <w:b w:val="0"/>
          <w:color w:val="auto"/>
          <w:sz w:val="20"/>
          <w:szCs w:val="20"/>
        </w:rPr>
        <w:fldChar w:fldCharType="separate"/>
      </w:r>
      <w:r w:rsidRPr="00DB27A6">
        <w:rPr>
          <w:b w:val="0"/>
          <w:noProof/>
          <w:color w:val="auto"/>
          <w:sz w:val="20"/>
          <w:szCs w:val="20"/>
        </w:rPr>
        <w:t>2</w:t>
      </w:r>
      <w:r w:rsidRPr="00DB27A6">
        <w:rPr>
          <w:b w:val="0"/>
          <w:color w:val="auto"/>
          <w:sz w:val="20"/>
          <w:szCs w:val="20"/>
        </w:rPr>
        <w:fldChar w:fldCharType="end"/>
      </w:r>
      <w:commentRangeEnd w:id="15"/>
      <w:r w:rsidR="00665411">
        <w:rPr>
          <w:rStyle w:val="CommentReference"/>
          <w:rFonts w:asciiTheme="minorHAnsi" w:hAnsiTheme="minorHAnsi"/>
          <w:b w:val="0"/>
          <w:bCs w:val="0"/>
          <w:color w:val="auto"/>
        </w:rPr>
        <w:commentReference w:id="15"/>
      </w:r>
      <w:r w:rsidRPr="00DB27A6">
        <w:rPr>
          <w:b w:val="0"/>
          <w:color w:val="auto"/>
          <w:sz w:val="20"/>
          <w:szCs w:val="20"/>
        </w:rPr>
        <w:t xml:space="preserve">: Comparing growth yield predictions on hydrogen </w:t>
      </w:r>
      <w:r w:rsidR="005A743B">
        <w:rPr>
          <w:b w:val="0"/>
          <w:color w:val="auto"/>
          <w:sz w:val="20"/>
          <w:szCs w:val="20"/>
        </w:rPr>
        <w:t>to measured data using LOOCV (see Methods). All but tw</w:t>
      </w:r>
      <w:r w:rsidR="0042348F">
        <w:rPr>
          <w:b w:val="0"/>
          <w:color w:val="auto"/>
          <w:sz w:val="20"/>
          <w:szCs w:val="20"/>
        </w:rPr>
        <w:t>o predicted growth rates</w:t>
      </w:r>
      <w:r w:rsidR="005A743B">
        <w:rPr>
          <w:b w:val="0"/>
          <w:color w:val="auto"/>
          <w:sz w:val="20"/>
          <w:szCs w:val="20"/>
        </w:rPr>
        <w:t xml:space="preserve"> fall within 5% of </w:t>
      </w:r>
      <w:r w:rsidR="0042348F">
        <w:rPr>
          <w:b w:val="0"/>
          <w:color w:val="auto"/>
          <w:sz w:val="20"/>
          <w:szCs w:val="20"/>
        </w:rPr>
        <w:t>the measured values. The two outlying points are within 14% and 28% error, respectively, and may suggest a larger degree of unpredictability during more rapid growth.</w:t>
      </w:r>
    </w:p>
    <w:tbl>
      <w:tblPr>
        <w:tblW w:w="8056" w:type="dxa"/>
        <w:tblInd w:w="93" w:type="dxa"/>
        <w:tblLook w:val="04A0" w:firstRow="1" w:lastRow="0" w:firstColumn="1" w:lastColumn="0" w:noHBand="0" w:noVBand="1"/>
      </w:tblPr>
      <w:tblGrid>
        <w:gridCol w:w="1720"/>
        <w:gridCol w:w="1584"/>
        <w:gridCol w:w="1584"/>
        <w:gridCol w:w="1584"/>
        <w:gridCol w:w="1584"/>
      </w:tblGrid>
      <w:tr w:rsidR="0098443E" w:rsidRPr="0098443E" w14:paraId="0D8F5D08" w14:textId="77777777" w:rsidTr="0098443E">
        <w:trPr>
          <w:trHeight w:val="289"/>
        </w:trPr>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C82718"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Genotype</w:t>
            </w:r>
          </w:p>
        </w:tc>
        <w:tc>
          <w:tcPr>
            <w:tcW w:w="1584" w:type="dxa"/>
            <w:tcBorders>
              <w:top w:val="single" w:sz="4" w:space="0" w:color="auto"/>
              <w:left w:val="nil"/>
              <w:bottom w:val="single" w:sz="4" w:space="0" w:color="auto"/>
              <w:right w:val="nil"/>
            </w:tcBorders>
            <w:shd w:val="clear" w:color="auto" w:fill="auto"/>
            <w:noWrap/>
            <w:vAlign w:val="bottom"/>
            <w:hideMark/>
          </w:tcPr>
          <w:p w14:paraId="38909E15"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H</w:t>
            </w:r>
            <w:r w:rsidRPr="0098443E">
              <w:rPr>
                <w:rFonts w:ascii="Calibri" w:eastAsia="Times New Roman" w:hAnsi="Calibri" w:cs="Times New Roman"/>
                <w:color w:val="000000"/>
                <w:sz w:val="22"/>
                <w:vertAlign w:val="subscript"/>
              </w:rPr>
              <w:t>2</w:t>
            </w:r>
          </w:p>
        </w:tc>
        <w:tc>
          <w:tcPr>
            <w:tcW w:w="1584" w:type="dxa"/>
            <w:tcBorders>
              <w:top w:val="single" w:sz="4" w:space="0" w:color="auto"/>
              <w:left w:val="nil"/>
              <w:bottom w:val="single" w:sz="4" w:space="0" w:color="auto"/>
              <w:right w:val="nil"/>
            </w:tcBorders>
            <w:shd w:val="clear" w:color="auto" w:fill="auto"/>
            <w:noWrap/>
            <w:vAlign w:val="bottom"/>
            <w:hideMark/>
          </w:tcPr>
          <w:p w14:paraId="1F0D67B8"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Formate</w:t>
            </w:r>
          </w:p>
        </w:tc>
        <w:tc>
          <w:tcPr>
            <w:tcW w:w="1584" w:type="dxa"/>
            <w:tcBorders>
              <w:top w:val="single" w:sz="4" w:space="0" w:color="auto"/>
              <w:left w:val="nil"/>
              <w:bottom w:val="single" w:sz="4" w:space="0" w:color="auto"/>
              <w:right w:val="nil"/>
            </w:tcBorders>
            <w:shd w:val="clear" w:color="auto" w:fill="auto"/>
            <w:noWrap/>
            <w:vAlign w:val="bottom"/>
            <w:hideMark/>
          </w:tcPr>
          <w:p w14:paraId="6050BA62"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H</w:t>
            </w:r>
            <w:r w:rsidRPr="0098443E">
              <w:rPr>
                <w:rFonts w:ascii="Calibri" w:eastAsia="Times New Roman" w:hAnsi="Calibri" w:cs="Times New Roman"/>
                <w:color w:val="000000"/>
                <w:sz w:val="22"/>
                <w:vertAlign w:val="subscript"/>
              </w:rPr>
              <w:t>2</w:t>
            </w:r>
            <w:r w:rsidRPr="0098443E">
              <w:rPr>
                <w:rFonts w:ascii="Calibri" w:eastAsia="Times New Roman" w:hAnsi="Calibri" w:cs="Times New Roman"/>
                <w:color w:val="000000"/>
                <w:sz w:val="22"/>
              </w:rPr>
              <w:t xml:space="preserve"> + Formate</w:t>
            </w:r>
          </w:p>
        </w:tc>
        <w:tc>
          <w:tcPr>
            <w:tcW w:w="1584" w:type="dxa"/>
            <w:tcBorders>
              <w:top w:val="single" w:sz="4" w:space="0" w:color="auto"/>
              <w:left w:val="nil"/>
              <w:bottom w:val="single" w:sz="4" w:space="0" w:color="auto"/>
              <w:right w:val="single" w:sz="4" w:space="0" w:color="auto"/>
            </w:tcBorders>
            <w:shd w:val="clear" w:color="auto" w:fill="auto"/>
            <w:noWrap/>
            <w:vAlign w:val="bottom"/>
            <w:hideMark/>
          </w:tcPr>
          <w:p w14:paraId="140B38D1"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Formate + CO</w:t>
            </w:r>
          </w:p>
        </w:tc>
      </w:tr>
      <w:tr w:rsidR="0098443E" w:rsidRPr="0098443E" w14:paraId="2DD21689" w14:textId="77777777" w:rsidTr="0098443E">
        <w:trPr>
          <w:trHeight w:val="300"/>
        </w:trPr>
        <w:tc>
          <w:tcPr>
            <w:tcW w:w="1720" w:type="dxa"/>
            <w:tcBorders>
              <w:top w:val="single" w:sz="4" w:space="0" w:color="auto"/>
              <w:left w:val="single" w:sz="4" w:space="0" w:color="auto"/>
              <w:bottom w:val="nil"/>
              <w:right w:val="single" w:sz="4" w:space="0" w:color="auto"/>
            </w:tcBorders>
            <w:shd w:val="clear" w:color="auto" w:fill="auto"/>
            <w:noWrap/>
            <w:vAlign w:val="bottom"/>
            <w:hideMark/>
          </w:tcPr>
          <w:p w14:paraId="4FF0AABC"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w:t>
            </w:r>
            <w:proofErr w:type="spellStart"/>
            <w:r w:rsidRPr="0098443E">
              <w:rPr>
                <w:rFonts w:ascii="Calibri" w:eastAsia="Times New Roman" w:hAnsi="Calibri" w:cs="Times New Roman"/>
                <w:color w:val="000000"/>
                <w:sz w:val="22"/>
              </w:rPr>
              <w:t>hmd</w:t>
            </w:r>
            <w:proofErr w:type="spellEnd"/>
          </w:p>
        </w:tc>
        <w:tc>
          <w:tcPr>
            <w:tcW w:w="1584" w:type="dxa"/>
            <w:tcBorders>
              <w:top w:val="single" w:sz="4" w:space="0" w:color="auto"/>
              <w:left w:val="nil"/>
              <w:bottom w:val="nil"/>
              <w:right w:val="nil"/>
            </w:tcBorders>
            <w:shd w:val="clear" w:color="000000" w:fill="92D050"/>
            <w:noWrap/>
            <w:vAlign w:val="bottom"/>
            <w:hideMark/>
          </w:tcPr>
          <w:p w14:paraId="5ED2DC4A"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single" w:sz="4" w:space="0" w:color="auto"/>
              <w:left w:val="nil"/>
              <w:bottom w:val="nil"/>
              <w:right w:val="nil"/>
            </w:tcBorders>
            <w:shd w:val="clear" w:color="000000" w:fill="92D050"/>
            <w:noWrap/>
            <w:vAlign w:val="bottom"/>
            <w:hideMark/>
          </w:tcPr>
          <w:p w14:paraId="5A59F599"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single" w:sz="4" w:space="0" w:color="auto"/>
              <w:left w:val="nil"/>
              <w:bottom w:val="nil"/>
              <w:right w:val="nil"/>
            </w:tcBorders>
            <w:shd w:val="clear" w:color="auto" w:fill="auto"/>
            <w:noWrap/>
            <w:vAlign w:val="bottom"/>
            <w:hideMark/>
          </w:tcPr>
          <w:p w14:paraId="482FCBF1"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single" w:sz="4" w:space="0" w:color="auto"/>
              <w:left w:val="nil"/>
              <w:bottom w:val="nil"/>
              <w:right w:val="single" w:sz="4" w:space="0" w:color="auto"/>
            </w:tcBorders>
            <w:shd w:val="clear" w:color="auto" w:fill="auto"/>
            <w:noWrap/>
            <w:vAlign w:val="bottom"/>
            <w:hideMark/>
          </w:tcPr>
          <w:p w14:paraId="6CAFC2D3"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r>
      <w:tr w:rsidR="0098443E" w:rsidRPr="0098443E" w14:paraId="5FCD20D8"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6FB73F3D"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w:t>
            </w:r>
            <w:proofErr w:type="spellStart"/>
            <w:r w:rsidRPr="0098443E">
              <w:rPr>
                <w:rFonts w:ascii="Calibri" w:eastAsia="Times New Roman" w:hAnsi="Calibri" w:cs="Times New Roman"/>
                <w:color w:val="000000"/>
                <w:sz w:val="22"/>
              </w:rPr>
              <w:t>mtd</w:t>
            </w:r>
            <w:proofErr w:type="spellEnd"/>
          </w:p>
        </w:tc>
        <w:tc>
          <w:tcPr>
            <w:tcW w:w="1584" w:type="dxa"/>
            <w:tcBorders>
              <w:top w:val="nil"/>
              <w:left w:val="nil"/>
              <w:bottom w:val="nil"/>
              <w:right w:val="nil"/>
            </w:tcBorders>
            <w:shd w:val="clear" w:color="000000" w:fill="92D050"/>
            <w:noWrap/>
            <w:vAlign w:val="bottom"/>
            <w:hideMark/>
          </w:tcPr>
          <w:p w14:paraId="6401ED36"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000000" w:fill="92D050"/>
            <w:noWrap/>
            <w:vAlign w:val="bottom"/>
            <w:hideMark/>
          </w:tcPr>
          <w:p w14:paraId="38F61998"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auto" w:fill="auto"/>
            <w:noWrap/>
            <w:vAlign w:val="bottom"/>
            <w:hideMark/>
          </w:tcPr>
          <w:p w14:paraId="5440A20D"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4E95B1A7"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r>
      <w:tr w:rsidR="0098443E" w:rsidRPr="0098443E" w14:paraId="37AD3FD7"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5B71DBC1"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w:t>
            </w:r>
            <w:proofErr w:type="spellStart"/>
            <w:r w:rsidRPr="0098443E">
              <w:rPr>
                <w:rFonts w:ascii="Calibri" w:eastAsia="Times New Roman" w:hAnsi="Calibri" w:cs="Times New Roman"/>
                <w:color w:val="000000"/>
                <w:sz w:val="22"/>
              </w:rPr>
              <w:t>frcA</w:t>
            </w:r>
            <w:proofErr w:type="spellEnd"/>
          </w:p>
        </w:tc>
        <w:tc>
          <w:tcPr>
            <w:tcW w:w="1584" w:type="dxa"/>
            <w:tcBorders>
              <w:top w:val="nil"/>
              <w:left w:val="nil"/>
              <w:bottom w:val="nil"/>
              <w:right w:val="nil"/>
            </w:tcBorders>
            <w:shd w:val="clear" w:color="000000" w:fill="92D050"/>
            <w:noWrap/>
            <w:vAlign w:val="bottom"/>
            <w:hideMark/>
          </w:tcPr>
          <w:p w14:paraId="3A085A6C"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000000" w:fill="92D050"/>
            <w:noWrap/>
            <w:vAlign w:val="bottom"/>
            <w:hideMark/>
          </w:tcPr>
          <w:p w14:paraId="6D81BCDF"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auto" w:fill="auto"/>
            <w:noWrap/>
            <w:vAlign w:val="bottom"/>
            <w:hideMark/>
          </w:tcPr>
          <w:p w14:paraId="25379679"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6094632B"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r>
      <w:tr w:rsidR="0098443E" w:rsidRPr="0098443E" w14:paraId="1D362071"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0C76DF12"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w:t>
            </w:r>
            <w:proofErr w:type="spellStart"/>
            <w:r w:rsidRPr="0098443E">
              <w:rPr>
                <w:rFonts w:ascii="Calibri" w:eastAsia="Times New Roman" w:hAnsi="Calibri" w:cs="Times New Roman"/>
                <w:color w:val="000000"/>
                <w:sz w:val="22"/>
              </w:rPr>
              <w:t>fruA</w:t>
            </w:r>
            <w:proofErr w:type="spellEnd"/>
          </w:p>
        </w:tc>
        <w:tc>
          <w:tcPr>
            <w:tcW w:w="1584" w:type="dxa"/>
            <w:tcBorders>
              <w:top w:val="nil"/>
              <w:left w:val="nil"/>
              <w:bottom w:val="nil"/>
              <w:right w:val="nil"/>
            </w:tcBorders>
            <w:shd w:val="clear" w:color="000000" w:fill="92D050"/>
            <w:noWrap/>
            <w:vAlign w:val="bottom"/>
            <w:hideMark/>
          </w:tcPr>
          <w:p w14:paraId="47585F59"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000000" w:fill="92D050"/>
            <w:noWrap/>
            <w:vAlign w:val="bottom"/>
            <w:hideMark/>
          </w:tcPr>
          <w:p w14:paraId="244EC0CF"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auto" w:fill="auto"/>
            <w:noWrap/>
            <w:vAlign w:val="bottom"/>
            <w:hideMark/>
          </w:tcPr>
          <w:p w14:paraId="7C47991E"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61C9FE85"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r>
      <w:tr w:rsidR="0098443E" w:rsidRPr="0098443E" w14:paraId="7C2A0FD6"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408746A6"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w:t>
            </w:r>
            <w:proofErr w:type="spellStart"/>
            <w:r w:rsidRPr="0098443E">
              <w:rPr>
                <w:rFonts w:ascii="Calibri" w:eastAsia="Times New Roman" w:hAnsi="Calibri" w:cs="Times New Roman"/>
                <w:color w:val="000000"/>
                <w:sz w:val="22"/>
              </w:rPr>
              <w:t>frcA∆fruA</w:t>
            </w:r>
            <w:proofErr w:type="spellEnd"/>
          </w:p>
        </w:tc>
        <w:tc>
          <w:tcPr>
            <w:tcW w:w="1584" w:type="dxa"/>
            <w:tcBorders>
              <w:top w:val="nil"/>
              <w:left w:val="nil"/>
              <w:bottom w:val="nil"/>
              <w:right w:val="nil"/>
            </w:tcBorders>
            <w:shd w:val="clear" w:color="000000" w:fill="92D050"/>
            <w:noWrap/>
            <w:vAlign w:val="bottom"/>
            <w:hideMark/>
          </w:tcPr>
          <w:p w14:paraId="20AE1F9B"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000000" w:fill="92D050"/>
            <w:noWrap/>
            <w:vAlign w:val="bottom"/>
            <w:hideMark/>
          </w:tcPr>
          <w:p w14:paraId="52FF33DB"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auto" w:fill="auto"/>
            <w:noWrap/>
            <w:vAlign w:val="bottom"/>
            <w:hideMark/>
          </w:tcPr>
          <w:p w14:paraId="23753B64"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63743535"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r>
      <w:tr w:rsidR="0098443E" w:rsidRPr="0098443E" w14:paraId="6B938E83"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74AE7FEC"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w:t>
            </w:r>
            <w:proofErr w:type="spellStart"/>
            <w:r w:rsidRPr="0098443E">
              <w:rPr>
                <w:rFonts w:ascii="Calibri" w:eastAsia="Times New Roman" w:hAnsi="Calibri" w:cs="Times New Roman"/>
                <w:color w:val="000000"/>
                <w:sz w:val="22"/>
              </w:rPr>
              <w:t>vhcAU∆vhuA</w:t>
            </w:r>
            <w:proofErr w:type="spellEnd"/>
          </w:p>
        </w:tc>
        <w:tc>
          <w:tcPr>
            <w:tcW w:w="1584" w:type="dxa"/>
            <w:tcBorders>
              <w:top w:val="nil"/>
              <w:left w:val="nil"/>
              <w:bottom w:val="nil"/>
              <w:right w:val="nil"/>
            </w:tcBorders>
            <w:shd w:val="clear" w:color="000000" w:fill="92D050"/>
            <w:noWrap/>
            <w:vAlign w:val="bottom"/>
            <w:hideMark/>
          </w:tcPr>
          <w:p w14:paraId="656E7240"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000000" w:fill="92D050"/>
            <w:noWrap/>
            <w:vAlign w:val="bottom"/>
            <w:hideMark/>
          </w:tcPr>
          <w:p w14:paraId="5921E248"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auto" w:fill="auto"/>
            <w:noWrap/>
            <w:vAlign w:val="bottom"/>
            <w:hideMark/>
          </w:tcPr>
          <w:p w14:paraId="03F2C69E"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13BA4270"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r>
      <w:tr w:rsidR="0098443E" w:rsidRPr="0098443E" w14:paraId="21067BEB"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16CF30E7"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∆hdrB2</w:t>
            </w:r>
          </w:p>
        </w:tc>
        <w:tc>
          <w:tcPr>
            <w:tcW w:w="1584" w:type="dxa"/>
            <w:tcBorders>
              <w:top w:val="nil"/>
              <w:left w:val="nil"/>
              <w:bottom w:val="nil"/>
              <w:right w:val="nil"/>
            </w:tcBorders>
            <w:shd w:val="clear" w:color="auto" w:fill="auto"/>
            <w:noWrap/>
            <w:vAlign w:val="bottom"/>
            <w:hideMark/>
          </w:tcPr>
          <w:p w14:paraId="2593C465"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000000" w:fill="92D050"/>
            <w:noWrap/>
            <w:vAlign w:val="bottom"/>
            <w:hideMark/>
          </w:tcPr>
          <w:p w14:paraId="30E20C31"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auto" w:fill="auto"/>
            <w:noWrap/>
            <w:vAlign w:val="bottom"/>
            <w:hideMark/>
          </w:tcPr>
          <w:p w14:paraId="6AFA81CD"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275272AF"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r>
      <w:tr w:rsidR="0098443E" w:rsidRPr="0098443E" w14:paraId="2DCE6483"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10CC9FC5"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∆fdhA1</w:t>
            </w:r>
          </w:p>
        </w:tc>
        <w:tc>
          <w:tcPr>
            <w:tcW w:w="1584" w:type="dxa"/>
            <w:tcBorders>
              <w:top w:val="nil"/>
              <w:left w:val="nil"/>
              <w:bottom w:val="nil"/>
              <w:right w:val="nil"/>
            </w:tcBorders>
            <w:shd w:val="clear" w:color="auto" w:fill="auto"/>
            <w:noWrap/>
            <w:vAlign w:val="bottom"/>
            <w:hideMark/>
          </w:tcPr>
          <w:p w14:paraId="151A014A"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000000" w:fill="92D050"/>
            <w:noWrap/>
            <w:vAlign w:val="bottom"/>
            <w:hideMark/>
          </w:tcPr>
          <w:p w14:paraId="21B03A9E"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auto" w:fill="auto"/>
            <w:noWrap/>
            <w:vAlign w:val="bottom"/>
            <w:hideMark/>
          </w:tcPr>
          <w:p w14:paraId="00C584DC"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3486AE02"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r>
      <w:tr w:rsidR="0098443E" w:rsidRPr="0098443E" w14:paraId="1513B905"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61F2B624"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∆fdhA2</w:t>
            </w:r>
          </w:p>
        </w:tc>
        <w:tc>
          <w:tcPr>
            <w:tcW w:w="1584" w:type="dxa"/>
            <w:tcBorders>
              <w:top w:val="nil"/>
              <w:left w:val="nil"/>
              <w:bottom w:val="nil"/>
              <w:right w:val="nil"/>
            </w:tcBorders>
            <w:shd w:val="clear" w:color="auto" w:fill="auto"/>
            <w:noWrap/>
            <w:vAlign w:val="bottom"/>
            <w:hideMark/>
          </w:tcPr>
          <w:p w14:paraId="37425C48"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000000" w:fill="92D050"/>
            <w:noWrap/>
            <w:vAlign w:val="bottom"/>
            <w:hideMark/>
          </w:tcPr>
          <w:p w14:paraId="07DB062F"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auto" w:fill="auto"/>
            <w:noWrap/>
            <w:vAlign w:val="bottom"/>
            <w:hideMark/>
          </w:tcPr>
          <w:p w14:paraId="7888EC3F"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37DC2F6A"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r>
      <w:tr w:rsidR="0098443E" w:rsidRPr="0098443E" w14:paraId="3252C9C8"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30ADC18B"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∆fdhA1∆fdhA2</w:t>
            </w:r>
          </w:p>
        </w:tc>
        <w:tc>
          <w:tcPr>
            <w:tcW w:w="1584" w:type="dxa"/>
            <w:tcBorders>
              <w:top w:val="nil"/>
              <w:left w:val="nil"/>
              <w:bottom w:val="nil"/>
              <w:right w:val="nil"/>
            </w:tcBorders>
            <w:shd w:val="clear" w:color="auto" w:fill="auto"/>
            <w:noWrap/>
            <w:vAlign w:val="bottom"/>
            <w:hideMark/>
          </w:tcPr>
          <w:p w14:paraId="14E6CB57"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000000" w:fill="92D050"/>
            <w:noWrap/>
            <w:vAlign w:val="bottom"/>
            <w:hideMark/>
          </w:tcPr>
          <w:p w14:paraId="751373E9"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L</w:t>
            </w:r>
          </w:p>
        </w:tc>
        <w:tc>
          <w:tcPr>
            <w:tcW w:w="1584" w:type="dxa"/>
            <w:tcBorders>
              <w:top w:val="nil"/>
              <w:left w:val="nil"/>
              <w:bottom w:val="nil"/>
              <w:right w:val="nil"/>
            </w:tcBorders>
            <w:shd w:val="clear" w:color="auto" w:fill="auto"/>
            <w:noWrap/>
            <w:vAlign w:val="bottom"/>
            <w:hideMark/>
          </w:tcPr>
          <w:p w14:paraId="0652B167"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2D6C645B"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L</w:t>
            </w:r>
          </w:p>
        </w:tc>
      </w:tr>
      <w:tr w:rsidR="0098443E" w:rsidRPr="0098443E" w14:paraId="026F000A"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2D13C584"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∆fdhA2∆fdhB2</w:t>
            </w:r>
          </w:p>
        </w:tc>
        <w:tc>
          <w:tcPr>
            <w:tcW w:w="1584" w:type="dxa"/>
            <w:tcBorders>
              <w:top w:val="nil"/>
              <w:left w:val="nil"/>
              <w:bottom w:val="nil"/>
              <w:right w:val="nil"/>
            </w:tcBorders>
            <w:shd w:val="clear" w:color="auto" w:fill="auto"/>
            <w:noWrap/>
            <w:vAlign w:val="bottom"/>
            <w:hideMark/>
          </w:tcPr>
          <w:p w14:paraId="6A8D13D8"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000000" w:fill="92D050"/>
            <w:noWrap/>
            <w:vAlign w:val="bottom"/>
            <w:hideMark/>
          </w:tcPr>
          <w:p w14:paraId="413F3CD4"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auto" w:fill="auto"/>
            <w:noWrap/>
            <w:vAlign w:val="bottom"/>
            <w:hideMark/>
          </w:tcPr>
          <w:p w14:paraId="320D786B"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49D16DD2"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r>
      <w:tr w:rsidR="0098443E" w:rsidRPr="0098443E" w14:paraId="10AD179D"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77611E93"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w:t>
            </w:r>
            <w:proofErr w:type="spellStart"/>
            <w:r w:rsidRPr="0098443E">
              <w:rPr>
                <w:rFonts w:ascii="Calibri" w:eastAsia="Times New Roman" w:hAnsi="Calibri" w:cs="Times New Roman"/>
                <w:color w:val="000000"/>
                <w:sz w:val="22"/>
              </w:rPr>
              <w:t>ehbF</w:t>
            </w:r>
            <w:proofErr w:type="spellEnd"/>
          </w:p>
        </w:tc>
        <w:tc>
          <w:tcPr>
            <w:tcW w:w="1584" w:type="dxa"/>
            <w:tcBorders>
              <w:top w:val="nil"/>
              <w:left w:val="nil"/>
              <w:bottom w:val="nil"/>
              <w:right w:val="nil"/>
            </w:tcBorders>
            <w:shd w:val="clear" w:color="000000" w:fill="92D050"/>
            <w:noWrap/>
            <w:vAlign w:val="bottom"/>
            <w:hideMark/>
          </w:tcPr>
          <w:p w14:paraId="63DEEE48"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auto" w:fill="auto"/>
            <w:noWrap/>
            <w:vAlign w:val="bottom"/>
            <w:hideMark/>
          </w:tcPr>
          <w:p w14:paraId="7A681ABE"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auto" w:fill="auto"/>
            <w:noWrap/>
            <w:vAlign w:val="bottom"/>
            <w:hideMark/>
          </w:tcPr>
          <w:p w14:paraId="06D6DC05"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7BC35BFE"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r>
      <w:tr w:rsidR="0098443E" w:rsidRPr="0098443E" w14:paraId="0D2D6AF2"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5B6F8A92"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∆3H2ase</w:t>
            </w:r>
          </w:p>
        </w:tc>
        <w:tc>
          <w:tcPr>
            <w:tcW w:w="1584" w:type="dxa"/>
            <w:tcBorders>
              <w:top w:val="nil"/>
              <w:left w:val="nil"/>
              <w:bottom w:val="nil"/>
              <w:right w:val="nil"/>
            </w:tcBorders>
            <w:shd w:val="clear" w:color="000000" w:fill="92D050"/>
            <w:noWrap/>
            <w:vAlign w:val="bottom"/>
            <w:hideMark/>
          </w:tcPr>
          <w:p w14:paraId="6123E724"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000000" w:fill="92D050"/>
            <w:noWrap/>
            <w:vAlign w:val="bottom"/>
            <w:hideMark/>
          </w:tcPr>
          <w:p w14:paraId="396743B1"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auto" w:fill="auto"/>
            <w:noWrap/>
            <w:vAlign w:val="bottom"/>
            <w:hideMark/>
          </w:tcPr>
          <w:p w14:paraId="499CC18E"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1DBA3FC7"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r>
      <w:tr w:rsidR="0098443E" w:rsidRPr="0098443E" w14:paraId="361517F7"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226C7B7D"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∆5H2ase</w:t>
            </w:r>
          </w:p>
        </w:tc>
        <w:tc>
          <w:tcPr>
            <w:tcW w:w="1584" w:type="dxa"/>
            <w:tcBorders>
              <w:top w:val="nil"/>
              <w:left w:val="nil"/>
              <w:bottom w:val="nil"/>
              <w:right w:val="nil"/>
            </w:tcBorders>
            <w:shd w:val="clear" w:color="000000" w:fill="92D050"/>
            <w:noWrap/>
            <w:vAlign w:val="bottom"/>
            <w:hideMark/>
          </w:tcPr>
          <w:p w14:paraId="36CA3F61"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L</w:t>
            </w:r>
          </w:p>
        </w:tc>
        <w:tc>
          <w:tcPr>
            <w:tcW w:w="1584" w:type="dxa"/>
            <w:tcBorders>
              <w:top w:val="nil"/>
              <w:left w:val="nil"/>
              <w:bottom w:val="nil"/>
              <w:right w:val="nil"/>
            </w:tcBorders>
            <w:shd w:val="clear" w:color="000000" w:fill="FF0000"/>
            <w:noWrap/>
            <w:vAlign w:val="bottom"/>
            <w:hideMark/>
          </w:tcPr>
          <w:p w14:paraId="07EE4555"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000000" w:fill="92D050"/>
            <w:noWrap/>
            <w:vAlign w:val="bottom"/>
            <w:hideMark/>
          </w:tcPr>
          <w:p w14:paraId="5AE6803B"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57D233AB"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r>
      <w:tr w:rsidR="0098443E" w:rsidRPr="0098443E" w14:paraId="26586FB0"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62452756"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∆6H2ase</w:t>
            </w:r>
          </w:p>
        </w:tc>
        <w:tc>
          <w:tcPr>
            <w:tcW w:w="1584" w:type="dxa"/>
            <w:tcBorders>
              <w:top w:val="nil"/>
              <w:left w:val="nil"/>
              <w:bottom w:val="nil"/>
              <w:right w:val="nil"/>
            </w:tcBorders>
            <w:shd w:val="clear" w:color="000000" w:fill="92D050"/>
            <w:noWrap/>
            <w:vAlign w:val="bottom"/>
            <w:hideMark/>
          </w:tcPr>
          <w:p w14:paraId="1202E875"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L</w:t>
            </w:r>
          </w:p>
        </w:tc>
        <w:tc>
          <w:tcPr>
            <w:tcW w:w="1584" w:type="dxa"/>
            <w:tcBorders>
              <w:top w:val="nil"/>
              <w:left w:val="nil"/>
              <w:bottom w:val="nil"/>
              <w:right w:val="nil"/>
            </w:tcBorders>
            <w:shd w:val="clear" w:color="000000" w:fill="FF0000"/>
            <w:noWrap/>
            <w:vAlign w:val="bottom"/>
            <w:hideMark/>
          </w:tcPr>
          <w:p w14:paraId="149C9EA8"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000000" w:fill="92D050"/>
            <w:noWrap/>
            <w:vAlign w:val="bottom"/>
            <w:hideMark/>
          </w:tcPr>
          <w:p w14:paraId="577F57D0"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single" w:sz="4" w:space="0" w:color="auto"/>
            </w:tcBorders>
            <w:shd w:val="clear" w:color="000000" w:fill="92D050"/>
            <w:noWrap/>
            <w:vAlign w:val="bottom"/>
            <w:hideMark/>
          </w:tcPr>
          <w:p w14:paraId="4B58BD06"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r>
      <w:tr w:rsidR="0098443E" w:rsidRPr="0098443E" w14:paraId="175263AB"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29C18AFB"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∆6H2ase∆cdh</w:t>
            </w:r>
          </w:p>
        </w:tc>
        <w:tc>
          <w:tcPr>
            <w:tcW w:w="1584" w:type="dxa"/>
            <w:tcBorders>
              <w:top w:val="nil"/>
              <w:left w:val="nil"/>
              <w:bottom w:val="nil"/>
              <w:right w:val="nil"/>
            </w:tcBorders>
            <w:shd w:val="clear" w:color="auto" w:fill="auto"/>
            <w:noWrap/>
            <w:vAlign w:val="bottom"/>
            <w:hideMark/>
          </w:tcPr>
          <w:p w14:paraId="00FD8313"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L</w:t>
            </w:r>
          </w:p>
        </w:tc>
        <w:tc>
          <w:tcPr>
            <w:tcW w:w="1584" w:type="dxa"/>
            <w:tcBorders>
              <w:top w:val="nil"/>
              <w:left w:val="nil"/>
              <w:bottom w:val="nil"/>
              <w:right w:val="nil"/>
            </w:tcBorders>
            <w:shd w:val="clear" w:color="auto" w:fill="auto"/>
            <w:noWrap/>
            <w:vAlign w:val="bottom"/>
            <w:hideMark/>
          </w:tcPr>
          <w:p w14:paraId="189A12BF"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auto" w:fill="auto"/>
            <w:noWrap/>
            <w:vAlign w:val="bottom"/>
            <w:hideMark/>
          </w:tcPr>
          <w:p w14:paraId="69CDEE9F"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single" w:sz="4" w:space="0" w:color="auto"/>
            </w:tcBorders>
            <w:shd w:val="clear" w:color="000000" w:fill="FF0000"/>
            <w:noWrap/>
            <w:vAlign w:val="bottom"/>
            <w:hideMark/>
          </w:tcPr>
          <w:p w14:paraId="1C4828D0"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r>
      <w:tr w:rsidR="0098443E" w:rsidRPr="0098443E" w14:paraId="44237159" w14:textId="77777777" w:rsidTr="0098443E">
        <w:trPr>
          <w:trHeight w:val="360"/>
        </w:trPr>
        <w:tc>
          <w:tcPr>
            <w:tcW w:w="1720" w:type="dxa"/>
            <w:tcBorders>
              <w:top w:val="nil"/>
              <w:left w:val="single" w:sz="4" w:space="0" w:color="auto"/>
              <w:bottom w:val="nil"/>
              <w:right w:val="single" w:sz="4" w:space="0" w:color="auto"/>
            </w:tcBorders>
            <w:shd w:val="clear" w:color="auto" w:fill="auto"/>
            <w:noWrap/>
            <w:vAlign w:val="bottom"/>
            <w:hideMark/>
          </w:tcPr>
          <w:p w14:paraId="4EC66220"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∆6H2ase</w:t>
            </w:r>
            <w:r w:rsidRPr="0098443E">
              <w:rPr>
                <w:rFonts w:ascii="Calibri" w:eastAsia="Times New Roman" w:hAnsi="Calibri" w:cs="Times New Roman"/>
                <w:color w:val="000000"/>
                <w:sz w:val="22"/>
                <w:vertAlign w:val="subscript"/>
              </w:rPr>
              <w:t>supp</w:t>
            </w:r>
          </w:p>
        </w:tc>
        <w:tc>
          <w:tcPr>
            <w:tcW w:w="1584" w:type="dxa"/>
            <w:tcBorders>
              <w:top w:val="nil"/>
              <w:left w:val="nil"/>
              <w:bottom w:val="nil"/>
              <w:right w:val="nil"/>
            </w:tcBorders>
            <w:shd w:val="clear" w:color="auto" w:fill="auto"/>
            <w:noWrap/>
            <w:vAlign w:val="bottom"/>
            <w:hideMark/>
          </w:tcPr>
          <w:p w14:paraId="2BAF38A6"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L</w:t>
            </w:r>
          </w:p>
        </w:tc>
        <w:tc>
          <w:tcPr>
            <w:tcW w:w="1584" w:type="dxa"/>
            <w:tcBorders>
              <w:top w:val="nil"/>
              <w:left w:val="nil"/>
              <w:bottom w:val="nil"/>
              <w:right w:val="nil"/>
            </w:tcBorders>
            <w:shd w:val="clear" w:color="000000" w:fill="92D050"/>
            <w:noWrap/>
            <w:vAlign w:val="bottom"/>
            <w:hideMark/>
          </w:tcPr>
          <w:p w14:paraId="7C1CF5AB"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auto" w:fill="auto"/>
            <w:noWrap/>
            <w:vAlign w:val="bottom"/>
            <w:hideMark/>
          </w:tcPr>
          <w:p w14:paraId="7E099841"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5122EE79"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r>
      <w:tr w:rsidR="0098443E" w:rsidRPr="0098443E" w14:paraId="6C3E643D" w14:textId="77777777" w:rsidTr="0098443E">
        <w:trPr>
          <w:trHeight w:val="360"/>
        </w:trPr>
        <w:tc>
          <w:tcPr>
            <w:tcW w:w="1720" w:type="dxa"/>
            <w:tcBorders>
              <w:top w:val="nil"/>
              <w:left w:val="single" w:sz="4" w:space="0" w:color="auto"/>
              <w:bottom w:val="nil"/>
              <w:right w:val="single" w:sz="4" w:space="0" w:color="auto"/>
            </w:tcBorders>
            <w:shd w:val="clear" w:color="auto" w:fill="auto"/>
            <w:noWrap/>
            <w:vAlign w:val="bottom"/>
            <w:hideMark/>
          </w:tcPr>
          <w:p w14:paraId="1EC0318F"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∆7H2ase</w:t>
            </w:r>
            <w:r w:rsidRPr="0098443E">
              <w:rPr>
                <w:rFonts w:ascii="Calibri" w:eastAsia="Times New Roman" w:hAnsi="Calibri" w:cs="Times New Roman"/>
                <w:color w:val="000000"/>
                <w:sz w:val="22"/>
                <w:vertAlign w:val="subscript"/>
              </w:rPr>
              <w:t>supp</w:t>
            </w:r>
          </w:p>
        </w:tc>
        <w:tc>
          <w:tcPr>
            <w:tcW w:w="1584" w:type="dxa"/>
            <w:tcBorders>
              <w:top w:val="nil"/>
              <w:left w:val="nil"/>
              <w:bottom w:val="nil"/>
              <w:right w:val="nil"/>
            </w:tcBorders>
            <w:shd w:val="clear" w:color="auto" w:fill="auto"/>
            <w:noWrap/>
            <w:vAlign w:val="bottom"/>
            <w:hideMark/>
          </w:tcPr>
          <w:p w14:paraId="4E3A06B4"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L</w:t>
            </w:r>
          </w:p>
        </w:tc>
        <w:tc>
          <w:tcPr>
            <w:tcW w:w="1584" w:type="dxa"/>
            <w:tcBorders>
              <w:top w:val="nil"/>
              <w:left w:val="nil"/>
              <w:bottom w:val="nil"/>
              <w:right w:val="nil"/>
            </w:tcBorders>
            <w:shd w:val="clear" w:color="000000" w:fill="92D050"/>
            <w:noWrap/>
            <w:vAlign w:val="bottom"/>
            <w:hideMark/>
          </w:tcPr>
          <w:p w14:paraId="231FF35F"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auto" w:fill="auto"/>
            <w:noWrap/>
            <w:vAlign w:val="bottom"/>
            <w:hideMark/>
          </w:tcPr>
          <w:p w14:paraId="1BC83E09"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6C008D6C"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r>
      <w:tr w:rsidR="0098443E" w:rsidRPr="0098443E" w14:paraId="57734CCF" w14:textId="77777777" w:rsidTr="0098443E">
        <w:trPr>
          <w:trHeight w:val="289"/>
        </w:trPr>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9869AE" w14:textId="77777777" w:rsidR="0098443E" w:rsidRPr="0098443E" w:rsidRDefault="0098443E" w:rsidP="0098443E">
            <w:pPr>
              <w:spacing w:after="0" w:line="240" w:lineRule="auto"/>
              <w:rPr>
                <w:rFonts w:ascii="Calibri" w:eastAsia="Times New Roman" w:hAnsi="Calibri" w:cs="Times New Roman"/>
                <w:b/>
                <w:bCs/>
                <w:color w:val="000000"/>
                <w:sz w:val="22"/>
              </w:rPr>
            </w:pPr>
            <w:r w:rsidRPr="0098443E">
              <w:rPr>
                <w:rFonts w:ascii="Calibri" w:eastAsia="Times New Roman" w:hAnsi="Calibri" w:cs="Times New Roman"/>
                <w:b/>
                <w:bCs/>
                <w:color w:val="000000"/>
                <w:sz w:val="22"/>
              </w:rPr>
              <w:lastRenderedPageBreak/>
              <w:t xml:space="preserve">Total Correct: </w:t>
            </w:r>
          </w:p>
        </w:tc>
        <w:tc>
          <w:tcPr>
            <w:tcW w:w="1584" w:type="dxa"/>
            <w:tcBorders>
              <w:top w:val="single" w:sz="4" w:space="0" w:color="auto"/>
              <w:left w:val="nil"/>
              <w:bottom w:val="single" w:sz="4" w:space="0" w:color="auto"/>
              <w:right w:val="nil"/>
            </w:tcBorders>
            <w:shd w:val="clear" w:color="auto" w:fill="auto"/>
            <w:noWrap/>
            <w:vAlign w:val="bottom"/>
            <w:hideMark/>
          </w:tcPr>
          <w:p w14:paraId="621AF2E1" w14:textId="77777777" w:rsidR="0098443E" w:rsidRPr="0098443E" w:rsidRDefault="0098443E" w:rsidP="0098443E">
            <w:pPr>
              <w:spacing w:after="0" w:line="240" w:lineRule="auto"/>
              <w:jc w:val="center"/>
              <w:rPr>
                <w:rFonts w:ascii="Calibri" w:eastAsia="Times New Roman" w:hAnsi="Calibri" w:cs="Times New Roman"/>
                <w:b/>
                <w:bCs/>
                <w:color w:val="000000"/>
                <w:sz w:val="22"/>
              </w:rPr>
            </w:pPr>
            <w:r w:rsidRPr="0098443E">
              <w:rPr>
                <w:rFonts w:ascii="Calibri" w:eastAsia="Times New Roman" w:hAnsi="Calibri" w:cs="Times New Roman"/>
                <w:b/>
                <w:bCs/>
                <w:color w:val="000000"/>
                <w:sz w:val="22"/>
              </w:rPr>
              <w:t>10 of 10</w:t>
            </w:r>
          </w:p>
        </w:tc>
        <w:tc>
          <w:tcPr>
            <w:tcW w:w="1584" w:type="dxa"/>
            <w:tcBorders>
              <w:top w:val="single" w:sz="4" w:space="0" w:color="auto"/>
              <w:left w:val="nil"/>
              <w:bottom w:val="single" w:sz="4" w:space="0" w:color="auto"/>
              <w:right w:val="nil"/>
            </w:tcBorders>
            <w:shd w:val="clear" w:color="auto" w:fill="auto"/>
            <w:noWrap/>
            <w:vAlign w:val="bottom"/>
            <w:hideMark/>
          </w:tcPr>
          <w:p w14:paraId="3EE48432" w14:textId="77777777" w:rsidR="0098443E" w:rsidRPr="0098443E" w:rsidRDefault="0098443E" w:rsidP="0098443E">
            <w:pPr>
              <w:spacing w:after="0" w:line="240" w:lineRule="auto"/>
              <w:jc w:val="center"/>
              <w:rPr>
                <w:rFonts w:ascii="Calibri" w:eastAsia="Times New Roman" w:hAnsi="Calibri" w:cs="Times New Roman"/>
                <w:b/>
                <w:bCs/>
                <w:color w:val="000000"/>
                <w:sz w:val="22"/>
              </w:rPr>
            </w:pPr>
            <w:r w:rsidRPr="0098443E">
              <w:rPr>
                <w:rFonts w:ascii="Calibri" w:eastAsia="Times New Roman" w:hAnsi="Calibri" w:cs="Times New Roman"/>
                <w:b/>
                <w:bCs/>
                <w:color w:val="000000"/>
                <w:sz w:val="22"/>
              </w:rPr>
              <w:t>14 of 16</w:t>
            </w:r>
          </w:p>
        </w:tc>
        <w:tc>
          <w:tcPr>
            <w:tcW w:w="1584" w:type="dxa"/>
            <w:tcBorders>
              <w:top w:val="single" w:sz="4" w:space="0" w:color="auto"/>
              <w:left w:val="nil"/>
              <w:bottom w:val="single" w:sz="4" w:space="0" w:color="auto"/>
              <w:right w:val="nil"/>
            </w:tcBorders>
            <w:shd w:val="clear" w:color="auto" w:fill="auto"/>
            <w:noWrap/>
            <w:vAlign w:val="bottom"/>
            <w:hideMark/>
          </w:tcPr>
          <w:p w14:paraId="5FB03F90" w14:textId="77777777" w:rsidR="0098443E" w:rsidRPr="0098443E" w:rsidRDefault="0098443E" w:rsidP="0098443E">
            <w:pPr>
              <w:spacing w:after="0" w:line="240" w:lineRule="auto"/>
              <w:jc w:val="center"/>
              <w:rPr>
                <w:rFonts w:ascii="Calibri" w:eastAsia="Times New Roman" w:hAnsi="Calibri" w:cs="Times New Roman"/>
                <w:b/>
                <w:bCs/>
                <w:color w:val="000000"/>
                <w:sz w:val="22"/>
              </w:rPr>
            </w:pPr>
            <w:r w:rsidRPr="0098443E">
              <w:rPr>
                <w:rFonts w:ascii="Calibri" w:eastAsia="Times New Roman" w:hAnsi="Calibri" w:cs="Times New Roman"/>
                <w:b/>
                <w:bCs/>
                <w:color w:val="000000"/>
                <w:sz w:val="22"/>
              </w:rPr>
              <w:t>2 of 2</w:t>
            </w:r>
          </w:p>
        </w:tc>
        <w:tc>
          <w:tcPr>
            <w:tcW w:w="1584" w:type="dxa"/>
            <w:tcBorders>
              <w:top w:val="single" w:sz="4" w:space="0" w:color="auto"/>
              <w:left w:val="nil"/>
              <w:bottom w:val="single" w:sz="4" w:space="0" w:color="auto"/>
              <w:right w:val="single" w:sz="4" w:space="0" w:color="auto"/>
            </w:tcBorders>
            <w:shd w:val="clear" w:color="auto" w:fill="auto"/>
            <w:noWrap/>
            <w:vAlign w:val="bottom"/>
            <w:hideMark/>
          </w:tcPr>
          <w:p w14:paraId="07836982" w14:textId="77777777" w:rsidR="0098443E" w:rsidRPr="0098443E" w:rsidRDefault="0098443E" w:rsidP="0098443E">
            <w:pPr>
              <w:keepNext/>
              <w:spacing w:after="0" w:line="240" w:lineRule="auto"/>
              <w:jc w:val="center"/>
              <w:rPr>
                <w:rFonts w:ascii="Calibri" w:eastAsia="Times New Roman" w:hAnsi="Calibri" w:cs="Times New Roman"/>
                <w:b/>
                <w:bCs/>
                <w:color w:val="000000"/>
                <w:sz w:val="22"/>
              </w:rPr>
            </w:pPr>
            <w:r w:rsidRPr="0098443E">
              <w:rPr>
                <w:rFonts w:ascii="Calibri" w:eastAsia="Times New Roman" w:hAnsi="Calibri" w:cs="Times New Roman"/>
                <w:b/>
                <w:bCs/>
                <w:color w:val="000000"/>
                <w:sz w:val="22"/>
              </w:rPr>
              <w:t>1 of 2</w:t>
            </w:r>
          </w:p>
        </w:tc>
      </w:tr>
    </w:tbl>
    <w:p w14:paraId="5C6EA1D1" w14:textId="5CA8DAD3" w:rsidR="0098443E" w:rsidRDefault="0098443E" w:rsidP="0098443E">
      <w:pPr>
        <w:pStyle w:val="Caption"/>
        <w:rPr>
          <w:b w:val="0"/>
          <w:color w:val="auto"/>
          <w:sz w:val="20"/>
          <w:szCs w:val="20"/>
        </w:rPr>
      </w:pPr>
      <w:commentRangeStart w:id="16"/>
      <w:r w:rsidRPr="00DB27A6">
        <w:rPr>
          <w:b w:val="0"/>
          <w:color w:val="auto"/>
          <w:sz w:val="20"/>
          <w:szCs w:val="20"/>
        </w:rPr>
        <w:t xml:space="preserve">Figure </w:t>
      </w:r>
      <w:commentRangeEnd w:id="16"/>
      <w:r w:rsidR="00F24EF5">
        <w:rPr>
          <w:rStyle w:val="CommentReference"/>
          <w:rFonts w:asciiTheme="minorHAnsi" w:hAnsiTheme="minorHAnsi"/>
          <w:b w:val="0"/>
          <w:bCs w:val="0"/>
          <w:color w:val="auto"/>
        </w:rPr>
        <w:commentReference w:id="16"/>
      </w:r>
      <w:r w:rsidRPr="00DB27A6">
        <w:rPr>
          <w:b w:val="0"/>
          <w:color w:val="auto"/>
          <w:sz w:val="20"/>
          <w:szCs w:val="20"/>
        </w:rPr>
        <w:fldChar w:fldCharType="begin"/>
      </w:r>
      <w:r w:rsidRPr="00DB27A6">
        <w:rPr>
          <w:b w:val="0"/>
          <w:color w:val="auto"/>
          <w:sz w:val="20"/>
          <w:szCs w:val="20"/>
        </w:rPr>
        <w:instrText xml:space="preserve"> SEQ Figure \* ARABIC </w:instrText>
      </w:r>
      <w:r w:rsidRPr="00DB27A6">
        <w:rPr>
          <w:b w:val="0"/>
          <w:color w:val="auto"/>
          <w:sz w:val="20"/>
          <w:szCs w:val="20"/>
        </w:rPr>
        <w:fldChar w:fldCharType="separate"/>
      </w:r>
      <w:r w:rsidRPr="00DB27A6">
        <w:rPr>
          <w:b w:val="0"/>
          <w:noProof/>
          <w:color w:val="auto"/>
          <w:sz w:val="20"/>
          <w:szCs w:val="20"/>
        </w:rPr>
        <w:t>3</w:t>
      </w:r>
      <w:r w:rsidRPr="00DB27A6">
        <w:rPr>
          <w:b w:val="0"/>
          <w:color w:val="auto"/>
          <w:sz w:val="20"/>
          <w:szCs w:val="20"/>
        </w:rPr>
        <w:fldChar w:fldCharType="end"/>
      </w:r>
      <w:r w:rsidRPr="00DB27A6">
        <w:rPr>
          <w:b w:val="0"/>
          <w:color w:val="auto"/>
          <w:sz w:val="20"/>
          <w:szCs w:val="20"/>
        </w:rPr>
        <w:t xml:space="preserve">: </w:t>
      </w:r>
      <w:r w:rsidR="00DB27A6">
        <w:rPr>
          <w:b w:val="0"/>
          <w:color w:val="auto"/>
          <w:sz w:val="20"/>
          <w:szCs w:val="20"/>
        </w:rPr>
        <w:t xml:space="preserve">Knockout lethality predictions from running FBA on our models show close agreement with experimental results of hydrogenase knockouts. Green boxes indicate growth phenotypes where our models correctly replicated experimental results; red boxes indicate growth phenotypes where our models were incorrect; white boxes indicate growth phenotypes where we lacked experimental validation data. Across the full spectrum of conditions, our models correctly predicted 27 of 30 conditions (90%) accurately, resulting in a strong Matthews Correlation Coefficient of 0.67. This suggests that our reconstruction produces models that accurately depict the effects of genotype alterations on growth phenotypes. </w:t>
      </w:r>
    </w:p>
    <w:p w14:paraId="13630B79" w14:textId="77415E54" w:rsidR="004021BA" w:rsidRPr="0026382C" w:rsidRDefault="004021BA" w:rsidP="0026382C">
      <w:pPr>
        <w:rPr>
          <w:b/>
        </w:rPr>
      </w:pPr>
    </w:p>
    <w:sectPr w:rsidR="004021BA" w:rsidRPr="0026382C" w:rsidSect="00277E47">
      <w:footerReference w:type="default" r:id="rId14"/>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dministrator" w:date="2015-11-11T13:13:00Z" w:initials="A">
    <w:p w14:paraId="42468D9A" w14:textId="3DA7865C" w:rsidR="00F5100D" w:rsidRDefault="00F5100D" w:rsidP="002670AD">
      <w:pPr>
        <w:pStyle w:val="CommentText"/>
      </w:pPr>
      <w:r>
        <w:rPr>
          <w:rStyle w:val="CommentReference"/>
        </w:rPr>
        <w:annotationRef/>
      </w:r>
      <w:r>
        <w:t>Still considering that this could use some smoothing out or re-wording</w:t>
      </w:r>
    </w:p>
  </w:comment>
  <w:comment w:id="1" w:author="Administrator" w:date="2015-11-16T10:23:00Z" w:initials="A">
    <w:p w14:paraId="510EDFC4" w14:textId="342A3A73" w:rsidR="00F5100D" w:rsidRDefault="00F5100D">
      <w:pPr>
        <w:pStyle w:val="CommentText"/>
      </w:pPr>
      <w:r>
        <w:rPr>
          <w:rStyle w:val="CommentReference"/>
        </w:rPr>
        <w:annotationRef/>
      </w:r>
      <w:r>
        <w:t>Nearly all of these numbers need to be slightly updated to reflect some recent changes</w:t>
      </w:r>
    </w:p>
  </w:comment>
  <w:comment w:id="2" w:author="Administrator" w:date="2015-12-08T14:10:00Z" w:initials="A">
    <w:p w14:paraId="5CB22C44" w14:textId="1569E398" w:rsidR="00F5100D" w:rsidRDefault="00F5100D">
      <w:pPr>
        <w:pStyle w:val="CommentText"/>
      </w:pPr>
      <w:r>
        <w:rPr>
          <w:rStyle w:val="CommentReference"/>
        </w:rPr>
        <w:annotationRef/>
      </w:r>
      <w:r>
        <w:t>This is discussion-</w:t>
      </w:r>
      <w:proofErr w:type="spellStart"/>
      <w:r>
        <w:t>esque</w:t>
      </w:r>
      <w:proofErr w:type="spellEnd"/>
    </w:p>
  </w:comment>
  <w:comment w:id="3" w:author="Matt" w:date="2015-12-10T17:40:00Z" w:initials="M">
    <w:p w14:paraId="2836E2D1" w14:textId="120BB0B7" w:rsidR="00F5100D" w:rsidRDefault="00F5100D">
      <w:pPr>
        <w:pStyle w:val="CommentText"/>
      </w:pPr>
      <w:r>
        <w:rPr>
          <w:rStyle w:val="CommentReference"/>
        </w:rPr>
        <w:annotationRef/>
      </w:r>
      <w:r>
        <w:t>New portion talking about acetate assimilation</w:t>
      </w:r>
    </w:p>
  </w:comment>
  <w:comment w:id="4" w:author="Administrator" w:date="2015-11-17T17:16:00Z" w:initials="A">
    <w:p w14:paraId="4B73E84E" w14:textId="259AF0B3" w:rsidR="00F5100D" w:rsidRDefault="00F5100D">
      <w:pPr>
        <w:pStyle w:val="CommentText"/>
      </w:pPr>
      <w:r>
        <w:rPr>
          <w:rStyle w:val="CommentReference"/>
        </w:rPr>
        <w:annotationRef/>
      </w:r>
      <w:r>
        <w:t xml:space="preserve">Need more meat in the specific ferredoxins; do another check on exactly what doing this shows. </w:t>
      </w:r>
    </w:p>
  </w:comment>
  <w:comment w:id="5" w:author="Administrator" w:date="2015-12-09T16:04:00Z" w:initials="A">
    <w:p w14:paraId="5574B46C" w14:textId="26758890" w:rsidR="00F5100D" w:rsidRDefault="00F5100D">
      <w:pPr>
        <w:pStyle w:val="CommentText"/>
      </w:pPr>
      <w:r>
        <w:rPr>
          <w:rStyle w:val="CommentReference"/>
        </w:rPr>
        <w:annotationRef/>
      </w:r>
      <w:r>
        <w:t>Whitman paper…need to look at which one</w:t>
      </w:r>
    </w:p>
  </w:comment>
  <w:comment w:id="6" w:author="Matt" w:date="2015-12-09T16:17:00Z" w:initials="M">
    <w:p w14:paraId="116FEC8D" w14:textId="586AB524" w:rsidR="00F5100D" w:rsidRDefault="00F5100D">
      <w:pPr>
        <w:pStyle w:val="CommentText"/>
      </w:pPr>
      <w:r>
        <w:rPr>
          <w:rStyle w:val="CommentReference"/>
        </w:rPr>
        <w:annotationRef/>
      </w:r>
      <w:r>
        <w:t>I think this is probably the best place for this curve, it’s not really a central figure</w:t>
      </w:r>
    </w:p>
  </w:comment>
  <w:comment w:id="7" w:author="Matt" w:date="2015-12-14T17:11:00Z" w:initials="M">
    <w:p w14:paraId="63D92A7C" w14:textId="1D3FC412" w:rsidR="00F5100D" w:rsidRDefault="00F5100D">
      <w:pPr>
        <w:pStyle w:val="CommentText"/>
      </w:pPr>
      <w:r>
        <w:rPr>
          <w:rStyle w:val="CommentReference"/>
        </w:rPr>
        <w:annotationRef/>
      </w:r>
      <w:r>
        <w:t>This section needs so much revision!</w:t>
      </w:r>
    </w:p>
  </w:comment>
  <w:comment w:id="8" w:author="Matt" w:date="2015-12-09T17:06:00Z" w:initials="M">
    <w:p w14:paraId="3F9C91D5" w14:textId="7493688D" w:rsidR="00F5100D" w:rsidRDefault="00F5100D">
      <w:pPr>
        <w:pStyle w:val="CommentText"/>
      </w:pPr>
      <w:r>
        <w:rPr>
          <w:rStyle w:val="CommentReference"/>
        </w:rPr>
        <w:annotationRef/>
      </w:r>
      <w:r>
        <w:t>Needs some re-wording before getting to John</w:t>
      </w:r>
    </w:p>
  </w:comment>
  <w:comment w:id="9" w:author="Administrator" w:date="2015-09-08T16:33:00Z" w:initials="A">
    <w:p w14:paraId="6B626597" w14:textId="0674677C" w:rsidR="00F5100D" w:rsidRDefault="00F5100D">
      <w:pPr>
        <w:pStyle w:val="CommentText"/>
      </w:pPr>
      <w:r>
        <w:rPr>
          <w:rStyle w:val="CommentReference"/>
        </w:rPr>
        <w:annotationRef/>
      </w:r>
      <w:r>
        <w:t>Is this common sense enough? Do I need a specific source here?</w:t>
      </w:r>
    </w:p>
  </w:comment>
  <w:comment w:id="10" w:author="Administrator" w:date="2015-09-09T12:16:00Z" w:initials="A">
    <w:p w14:paraId="2B29973C" w14:textId="18E14E10" w:rsidR="00F5100D" w:rsidRDefault="00F5100D">
      <w:pPr>
        <w:pStyle w:val="CommentText"/>
      </w:pPr>
      <w:r>
        <w:rPr>
          <w:rStyle w:val="CommentReference"/>
        </w:rPr>
        <w:annotationRef/>
      </w:r>
      <w:r>
        <w:t>Should I have a result and figure of running this code here? It seems like that might be missing right now</w:t>
      </w:r>
    </w:p>
  </w:comment>
  <w:comment w:id="11" w:author="Administrator" w:date="2015-09-09T12:18:00Z" w:initials="A">
    <w:p w14:paraId="49F11034" w14:textId="229FD3EA" w:rsidR="00F5100D" w:rsidRDefault="00F5100D">
      <w:pPr>
        <w:pStyle w:val="CommentText"/>
      </w:pPr>
      <w:r>
        <w:rPr>
          <w:rStyle w:val="CommentReference"/>
        </w:rPr>
        <w:annotationRef/>
      </w:r>
      <w:r>
        <w:t>This is very much a “Data Availability” type section; perhaps it deserves its own short section separate from Results?</w:t>
      </w:r>
    </w:p>
  </w:comment>
  <w:comment w:id="12" w:author="Matt" w:date="2015-12-09T17:23:00Z" w:initials="M">
    <w:p w14:paraId="6510C95B" w14:textId="5009A15E" w:rsidR="00F5100D" w:rsidRDefault="00F5100D">
      <w:pPr>
        <w:pStyle w:val="CommentText"/>
      </w:pPr>
      <w:r>
        <w:rPr>
          <w:rStyle w:val="CommentReference"/>
        </w:rPr>
        <w:annotationRef/>
      </w:r>
      <w:r>
        <w:t>Still needs an overhaul</w:t>
      </w:r>
    </w:p>
  </w:comment>
  <w:comment w:id="13" w:author="Administrator" w:date="2015-09-09T12:19:00Z" w:initials="A">
    <w:p w14:paraId="3FCB8553" w14:textId="2E6241A7" w:rsidR="00F5100D" w:rsidRDefault="00F5100D">
      <w:pPr>
        <w:pStyle w:val="CommentText"/>
      </w:pPr>
      <w:r>
        <w:rPr>
          <w:rStyle w:val="CommentReference"/>
        </w:rPr>
        <w:annotationRef/>
      </w:r>
      <w:r>
        <w:t>Here and elsewhere, I think I might want to use “models” instead of “model”. The H2 and formate are really different models…I’ll think on this. I’m also trying to pay particular attention to differentiating the “reconstruction” from the “model”</w:t>
      </w:r>
    </w:p>
  </w:comment>
  <w:comment w:id="15" w:author="Administrator" w:date="2015-09-08T14:21:00Z" w:initials="A">
    <w:p w14:paraId="1E05CE63" w14:textId="2ABCE296" w:rsidR="00F5100D" w:rsidRDefault="00F5100D">
      <w:pPr>
        <w:pStyle w:val="CommentText"/>
      </w:pPr>
      <w:r>
        <w:rPr>
          <w:rStyle w:val="CommentReference"/>
        </w:rPr>
        <w:annotationRef/>
      </w:r>
      <w:r>
        <w:t xml:space="preserve">This chart is subject to change once we can </w:t>
      </w:r>
      <w:proofErr w:type="spellStart"/>
      <w:r>
        <w:t>remeasure</w:t>
      </w:r>
      <w:proofErr w:type="spellEnd"/>
      <w:r>
        <w:t xml:space="preserve"> dry cell weight versus OD</w:t>
      </w:r>
    </w:p>
  </w:comment>
  <w:comment w:id="16" w:author="Matt" w:date="2015-12-10T14:28:00Z" w:initials="M">
    <w:p w14:paraId="7B7AA8BF" w14:textId="24B434A4" w:rsidR="00F5100D" w:rsidRDefault="00F5100D">
      <w:pPr>
        <w:pStyle w:val="CommentText"/>
      </w:pPr>
      <w:r>
        <w:rPr>
          <w:rStyle w:val="CommentReference"/>
        </w:rPr>
        <w:annotationRef/>
      </w:r>
      <w:r>
        <w:t>Needs updating based on what John says in response to my email</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5F056D9" w14:textId="77777777" w:rsidR="002372A9" w:rsidRDefault="002372A9" w:rsidP="00516D83">
      <w:pPr>
        <w:spacing w:after="0" w:line="240" w:lineRule="auto"/>
      </w:pPr>
      <w:r>
        <w:separator/>
      </w:r>
    </w:p>
  </w:endnote>
  <w:endnote w:type="continuationSeparator" w:id="0">
    <w:p w14:paraId="3A17C089" w14:textId="77777777" w:rsidR="002372A9" w:rsidRDefault="002372A9" w:rsidP="00516D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72207786"/>
      <w:docPartObj>
        <w:docPartGallery w:val="Page Numbers (Bottom of Page)"/>
        <w:docPartUnique/>
      </w:docPartObj>
    </w:sdtPr>
    <w:sdtEndPr>
      <w:rPr>
        <w:noProof/>
      </w:rPr>
    </w:sdtEndPr>
    <w:sdtContent>
      <w:p w14:paraId="10C0A63A" w14:textId="5DF38F79" w:rsidR="00F5100D" w:rsidRDefault="00F5100D">
        <w:pPr>
          <w:pStyle w:val="Footer"/>
          <w:jc w:val="center"/>
        </w:pPr>
        <w:r>
          <w:fldChar w:fldCharType="begin"/>
        </w:r>
        <w:r>
          <w:instrText xml:space="preserve"> PAGE   \* MERGEFORMAT </w:instrText>
        </w:r>
        <w:r>
          <w:fldChar w:fldCharType="separate"/>
        </w:r>
        <w:r w:rsidR="006C169C">
          <w:rPr>
            <w:noProof/>
          </w:rPr>
          <w:t>40</w:t>
        </w:r>
        <w:r>
          <w:rPr>
            <w:noProof/>
          </w:rPr>
          <w:fldChar w:fldCharType="end"/>
        </w:r>
      </w:p>
    </w:sdtContent>
  </w:sdt>
  <w:p w14:paraId="7DC31E85" w14:textId="77777777" w:rsidR="00F5100D" w:rsidRDefault="00F5100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6CF768D" w14:textId="77777777" w:rsidR="002372A9" w:rsidRDefault="002372A9" w:rsidP="00516D83">
      <w:pPr>
        <w:spacing w:after="0" w:line="240" w:lineRule="auto"/>
      </w:pPr>
      <w:r>
        <w:separator/>
      </w:r>
    </w:p>
  </w:footnote>
  <w:footnote w:type="continuationSeparator" w:id="0">
    <w:p w14:paraId="1CC82237" w14:textId="77777777" w:rsidR="002372A9" w:rsidRDefault="002372A9" w:rsidP="00516D8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55C3E"/>
    <w:multiLevelType w:val="hybridMultilevel"/>
    <w:tmpl w:val="18BE79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8F756C"/>
    <w:multiLevelType w:val="hybridMultilevel"/>
    <w:tmpl w:val="2B48C1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FFB1F48"/>
    <w:multiLevelType w:val="hybridMultilevel"/>
    <w:tmpl w:val="C0C4C8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B5C2A0D"/>
    <w:multiLevelType w:val="hybridMultilevel"/>
    <w:tmpl w:val="F648AF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B6A4B68"/>
    <w:multiLevelType w:val="hybridMultilevel"/>
    <w:tmpl w:val="3E4A1C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E3A67D5"/>
    <w:multiLevelType w:val="hybridMultilevel"/>
    <w:tmpl w:val="4524DC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num>
  <w:num w:numId="3">
    <w:abstractNumId w:val="3"/>
  </w:num>
  <w:num w:numId="4">
    <w:abstractNumId w:val="1"/>
  </w:num>
  <w:num w:numId="5">
    <w:abstractNumId w:val="2"/>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618C"/>
    <w:rsid w:val="00001DEF"/>
    <w:rsid w:val="00005CD4"/>
    <w:rsid w:val="00021362"/>
    <w:rsid w:val="0003090D"/>
    <w:rsid w:val="000315D0"/>
    <w:rsid w:val="00037BDF"/>
    <w:rsid w:val="000408FB"/>
    <w:rsid w:val="00046038"/>
    <w:rsid w:val="00066B7A"/>
    <w:rsid w:val="00070CFD"/>
    <w:rsid w:val="00073EBE"/>
    <w:rsid w:val="0007719F"/>
    <w:rsid w:val="00080C5F"/>
    <w:rsid w:val="00081E0C"/>
    <w:rsid w:val="0008303F"/>
    <w:rsid w:val="00091F35"/>
    <w:rsid w:val="000B27FA"/>
    <w:rsid w:val="000B43BF"/>
    <w:rsid w:val="000B4992"/>
    <w:rsid w:val="000C35D5"/>
    <w:rsid w:val="000C75B4"/>
    <w:rsid w:val="000D63C1"/>
    <w:rsid w:val="000F03F7"/>
    <w:rsid w:val="000F15FA"/>
    <w:rsid w:val="000F5D2B"/>
    <w:rsid w:val="000F6195"/>
    <w:rsid w:val="001056FA"/>
    <w:rsid w:val="00105926"/>
    <w:rsid w:val="00111F78"/>
    <w:rsid w:val="00112595"/>
    <w:rsid w:val="001143B5"/>
    <w:rsid w:val="00121FDF"/>
    <w:rsid w:val="001637CD"/>
    <w:rsid w:val="001657E5"/>
    <w:rsid w:val="00166CBF"/>
    <w:rsid w:val="00172424"/>
    <w:rsid w:val="001801A5"/>
    <w:rsid w:val="00185D86"/>
    <w:rsid w:val="001908F4"/>
    <w:rsid w:val="00197EC3"/>
    <w:rsid w:val="001A5358"/>
    <w:rsid w:val="001B65A0"/>
    <w:rsid w:val="001C0A06"/>
    <w:rsid w:val="001C201F"/>
    <w:rsid w:val="001C5798"/>
    <w:rsid w:val="001D1107"/>
    <w:rsid w:val="001E4B82"/>
    <w:rsid w:val="001E6ABD"/>
    <w:rsid w:val="001F26CD"/>
    <w:rsid w:val="001F417F"/>
    <w:rsid w:val="001F4A61"/>
    <w:rsid w:val="001F7E98"/>
    <w:rsid w:val="0021112D"/>
    <w:rsid w:val="00214692"/>
    <w:rsid w:val="00224D24"/>
    <w:rsid w:val="002276C9"/>
    <w:rsid w:val="00230593"/>
    <w:rsid w:val="00231585"/>
    <w:rsid w:val="002372A9"/>
    <w:rsid w:val="00243CF0"/>
    <w:rsid w:val="002607EE"/>
    <w:rsid w:val="0026382C"/>
    <w:rsid w:val="00266387"/>
    <w:rsid w:val="002670AD"/>
    <w:rsid w:val="00276128"/>
    <w:rsid w:val="0027696A"/>
    <w:rsid w:val="00277E47"/>
    <w:rsid w:val="0028794B"/>
    <w:rsid w:val="00292115"/>
    <w:rsid w:val="002A1B75"/>
    <w:rsid w:val="002A1DF2"/>
    <w:rsid w:val="002C5D66"/>
    <w:rsid w:val="002E4EC0"/>
    <w:rsid w:val="002E5B7E"/>
    <w:rsid w:val="002F28F6"/>
    <w:rsid w:val="002F7577"/>
    <w:rsid w:val="00313809"/>
    <w:rsid w:val="00314946"/>
    <w:rsid w:val="003153D3"/>
    <w:rsid w:val="0031618C"/>
    <w:rsid w:val="00322F94"/>
    <w:rsid w:val="00323D79"/>
    <w:rsid w:val="00334FFD"/>
    <w:rsid w:val="0034629A"/>
    <w:rsid w:val="00347F50"/>
    <w:rsid w:val="003512E9"/>
    <w:rsid w:val="00351533"/>
    <w:rsid w:val="003523DD"/>
    <w:rsid w:val="0036089A"/>
    <w:rsid w:val="00360C55"/>
    <w:rsid w:val="00364662"/>
    <w:rsid w:val="003730CF"/>
    <w:rsid w:val="00381A37"/>
    <w:rsid w:val="003840C4"/>
    <w:rsid w:val="003B00CF"/>
    <w:rsid w:val="003C13B2"/>
    <w:rsid w:val="003C6A45"/>
    <w:rsid w:val="003C7D79"/>
    <w:rsid w:val="003E12B1"/>
    <w:rsid w:val="003E4220"/>
    <w:rsid w:val="003F2775"/>
    <w:rsid w:val="003F49E1"/>
    <w:rsid w:val="004021BA"/>
    <w:rsid w:val="004105BE"/>
    <w:rsid w:val="00414739"/>
    <w:rsid w:val="00422297"/>
    <w:rsid w:val="0042348F"/>
    <w:rsid w:val="004345D8"/>
    <w:rsid w:val="00435253"/>
    <w:rsid w:val="00444242"/>
    <w:rsid w:val="00457A03"/>
    <w:rsid w:val="00464C5C"/>
    <w:rsid w:val="00464CF2"/>
    <w:rsid w:val="004677F8"/>
    <w:rsid w:val="00467AD6"/>
    <w:rsid w:val="004862FB"/>
    <w:rsid w:val="004913FB"/>
    <w:rsid w:val="00494656"/>
    <w:rsid w:val="004A10CC"/>
    <w:rsid w:val="004B077E"/>
    <w:rsid w:val="004B6D79"/>
    <w:rsid w:val="004B6EF9"/>
    <w:rsid w:val="004C3845"/>
    <w:rsid w:val="004D13B8"/>
    <w:rsid w:val="004D5C98"/>
    <w:rsid w:val="004F28CF"/>
    <w:rsid w:val="00501D70"/>
    <w:rsid w:val="005119EB"/>
    <w:rsid w:val="00511AD1"/>
    <w:rsid w:val="0051269C"/>
    <w:rsid w:val="0051683C"/>
    <w:rsid w:val="00516D83"/>
    <w:rsid w:val="00525248"/>
    <w:rsid w:val="005278ED"/>
    <w:rsid w:val="00527D1A"/>
    <w:rsid w:val="00535032"/>
    <w:rsid w:val="00546886"/>
    <w:rsid w:val="00552A03"/>
    <w:rsid w:val="00552DFC"/>
    <w:rsid w:val="00555D72"/>
    <w:rsid w:val="00556F79"/>
    <w:rsid w:val="00557844"/>
    <w:rsid w:val="00563757"/>
    <w:rsid w:val="005652C8"/>
    <w:rsid w:val="00571211"/>
    <w:rsid w:val="00571C2A"/>
    <w:rsid w:val="00576333"/>
    <w:rsid w:val="00584373"/>
    <w:rsid w:val="00586344"/>
    <w:rsid w:val="005A6784"/>
    <w:rsid w:val="005A743B"/>
    <w:rsid w:val="005B2988"/>
    <w:rsid w:val="005B4979"/>
    <w:rsid w:val="005C4FC4"/>
    <w:rsid w:val="005C589C"/>
    <w:rsid w:val="005E58A9"/>
    <w:rsid w:val="005F2447"/>
    <w:rsid w:val="005F72FC"/>
    <w:rsid w:val="00603980"/>
    <w:rsid w:val="006118BA"/>
    <w:rsid w:val="00627847"/>
    <w:rsid w:val="006322C1"/>
    <w:rsid w:val="006331D1"/>
    <w:rsid w:val="00635FDE"/>
    <w:rsid w:val="00641032"/>
    <w:rsid w:val="00643EEA"/>
    <w:rsid w:val="00650EC2"/>
    <w:rsid w:val="00651B46"/>
    <w:rsid w:val="00655A28"/>
    <w:rsid w:val="006602A6"/>
    <w:rsid w:val="00665411"/>
    <w:rsid w:val="00666EBB"/>
    <w:rsid w:val="00673E4C"/>
    <w:rsid w:val="00681980"/>
    <w:rsid w:val="00692E06"/>
    <w:rsid w:val="006A665D"/>
    <w:rsid w:val="006A723F"/>
    <w:rsid w:val="006B0C00"/>
    <w:rsid w:val="006B3255"/>
    <w:rsid w:val="006C011E"/>
    <w:rsid w:val="006C169C"/>
    <w:rsid w:val="006C2CF1"/>
    <w:rsid w:val="006D6FE3"/>
    <w:rsid w:val="006F6FB4"/>
    <w:rsid w:val="007032A7"/>
    <w:rsid w:val="00713837"/>
    <w:rsid w:val="00723D56"/>
    <w:rsid w:val="00735AAC"/>
    <w:rsid w:val="00737FF9"/>
    <w:rsid w:val="00756FF0"/>
    <w:rsid w:val="007643C9"/>
    <w:rsid w:val="0077549E"/>
    <w:rsid w:val="0078784F"/>
    <w:rsid w:val="007A2129"/>
    <w:rsid w:val="007A2B72"/>
    <w:rsid w:val="007A60D0"/>
    <w:rsid w:val="007A7ECA"/>
    <w:rsid w:val="007C468E"/>
    <w:rsid w:val="007D1D19"/>
    <w:rsid w:val="007D68E6"/>
    <w:rsid w:val="007E1FB5"/>
    <w:rsid w:val="007F0F45"/>
    <w:rsid w:val="007F7F53"/>
    <w:rsid w:val="008007AD"/>
    <w:rsid w:val="0080785B"/>
    <w:rsid w:val="00815A63"/>
    <w:rsid w:val="008270DA"/>
    <w:rsid w:val="008314CD"/>
    <w:rsid w:val="008367FA"/>
    <w:rsid w:val="0084303B"/>
    <w:rsid w:val="0084390A"/>
    <w:rsid w:val="00853534"/>
    <w:rsid w:val="0087010F"/>
    <w:rsid w:val="00875625"/>
    <w:rsid w:val="00881F7B"/>
    <w:rsid w:val="00883773"/>
    <w:rsid w:val="0088665C"/>
    <w:rsid w:val="00887D9C"/>
    <w:rsid w:val="00890FBC"/>
    <w:rsid w:val="008946EC"/>
    <w:rsid w:val="00896C21"/>
    <w:rsid w:val="00897640"/>
    <w:rsid w:val="008A1FB2"/>
    <w:rsid w:val="008B6BDA"/>
    <w:rsid w:val="008C0862"/>
    <w:rsid w:val="008C3354"/>
    <w:rsid w:val="008D38C6"/>
    <w:rsid w:val="008D7AE6"/>
    <w:rsid w:val="008E0E07"/>
    <w:rsid w:val="008E175F"/>
    <w:rsid w:val="008E6A11"/>
    <w:rsid w:val="008F57BB"/>
    <w:rsid w:val="0090081E"/>
    <w:rsid w:val="00915E06"/>
    <w:rsid w:val="00915E11"/>
    <w:rsid w:val="00920B05"/>
    <w:rsid w:val="009253F0"/>
    <w:rsid w:val="00930A74"/>
    <w:rsid w:val="00940402"/>
    <w:rsid w:val="00941122"/>
    <w:rsid w:val="00941981"/>
    <w:rsid w:val="00941ECA"/>
    <w:rsid w:val="009423CE"/>
    <w:rsid w:val="009426B1"/>
    <w:rsid w:val="00943D68"/>
    <w:rsid w:val="00945436"/>
    <w:rsid w:val="00955999"/>
    <w:rsid w:val="009626B8"/>
    <w:rsid w:val="009657EA"/>
    <w:rsid w:val="00966787"/>
    <w:rsid w:val="00966C6C"/>
    <w:rsid w:val="00967F47"/>
    <w:rsid w:val="00983F37"/>
    <w:rsid w:val="0098443E"/>
    <w:rsid w:val="00992E1B"/>
    <w:rsid w:val="009B7FEA"/>
    <w:rsid w:val="009C1745"/>
    <w:rsid w:val="009C1D8D"/>
    <w:rsid w:val="009C4505"/>
    <w:rsid w:val="009C70DD"/>
    <w:rsid w:val="009C74FA"/>
    <w:rsid w:val="009D0324"/>
    <w:rsid w:val="009D0843"/>
    <w:rsid w:val="009D69A7"/>
    <w:rsid w:val="009E4183"/>
    <w:rsid w:val="009E7673"/>
    <w:rsid w:val="009F4214"/>
    <w:rsid w:val="009F4D6C"/>
    <w:rsid w:val="009F74B8"/>
    <w:rsid w:val="00A11C45"/>
    <w:rsid w:val="00A17493"/>
    <w:rsid w:val="00A24003"/>
    <w:rsid w:val="00A31547"/>
    <w:rsid w:val="00A3471A"/>
    <w:rsid w:val="00A3475A"/>
    <w:rsid w:val="00A36979"/>
    <w:rsid w:val="00A40676"/>
    <w:rsid w:val="00A447FE"/>
    <w:rsid w:val="00A47448"/>
    <w:rsid w:val="00A51082"/>
    <w:rsid w:val="00A512C1"/>
    <w:rsid w:val="00A562C0"/>
    <w:rsid w:val="00A57176"/>
    <w:rsid w:val="00A62FD8"/>
    <w:rsid w:val="00A630AA"/>
    <w:rsid w:val="00A6548E"/>
    <w:rsid w:val="00A77F31"/>
    <w:rsid w:val="00A8198B"/>
    <w:rsid w:val="00A86F5B"/>
    <w:rsid w:val="00A87FFD"/>
    <w:rsid w:val="00AC43A6"/>
    <w:rsid w:val="00AD0EFB"/>
    <w:rsid w:val="00AD1E85"/>
    <w:rsid w:val="00AD6208"/>
    <w:rsid w:val="00AE21C1"/>
    <w:rsid w:val="00AE62A4"/>
    <w:rsid w:val="00AF3DA5"/>
    <w:rsid w:val="00B01108"/>
    <w:rsid w:val="00B03AFC"/>
    <w:rsid w:val="00B042B4"/>
    <w:rsid w:val="00B11429"/>
    <w:rsid w:val="00B1506E"/>
    <w:rsid w:val="00B25F12"/>
    <w:rsid w:val="00B273EF"/>
    <w:rsid w:val="00B36C33"/>
    <w:rsid w:val="00B37EA1"/>
    <w:rsid w:val="00B42019"/>
    <w:rsid w:val="00B42562"/>
    <w:rsid w:val="00B47A20"/>
    <w:rsid w:val="00B543C6"/>
    <w:rsid w:val="00B552F6"/>
    <w:rsid w:val="00B55FE2"/>
    <w:rsid w:val="00B65741"/>
    <w:rsid w:val="00B806A5"/>
    <w:rsid w:val="00B844AB"/>
    <w:rsid w:val="00B92236"/>
    <w:rsid w:val="00B97142"/>
    <w:rsid w:val="00BA12DD"/>
    <w:rsid w:val="00BB4897"/>
    <w:rsid w:val="00BB5603"/>
    <w:rsid w:val="00BC4B5C"/>
    <w:rsid w:val="00BC613A"/>
    <w:rsid w:val="00BD54C7"/>
    <w:rsid w:val="00BF22C1"/>
    <w:rsid w:val="00BF524A"/>
    <w:rsid w:val="00C00B12"/>
    <w:rsid w:val="00C043B2"/>
    <w:rsid w:val="00C073FF"/>
    <w:rsid w:val="00C127EB"/>
    <w:rsid w:val="00C22736"/>
    <w:rsid w:val="00C22C00"/>
    <w:rsid w:val="00C31A11"/>
    <w:rsid w:val="00C439E5"/>
    <w:rsid w:val="00C510BA"/>
    <w:rsid w:val="00C51ABC"/>
    <w:rsid w:val="00C540C6"/>
    <w:rsid w:val="00C54AA8"/>
    <w:rsid w:val="00C61E65"/>
    <w:rsid w:val="00C65346"/>
    <w:rsid w:val="00C7030E"/>
    <w:rsid w:val="00C70679"/>
    <w:rsid w:val="00C747FB"/>
    <w:rsid w:val="00C82E52"/>
    <w:rsid w:val="00C91990"/>
    <w:rsid w:val="00CA1420"/>
    <w:rsid w:val="00CA15A3"/>
    <w:rsid w:val="00CA1718"/>
    <w:rsid w:val="00CB4BA9"/>
    <w:rsid w:val="00CB5F53"/>
    <w:rsid w:val="00CD20A3"/>
    <w:rsid w:val="00CD3A80"/>
    <w:rsid w:val="00CD3E73"/>
    <w:rsid w:val="00CD72FC"/>
    <w:rsid w:val="00CE717D"/>
    <w:rsid w:val="00CF3BCD"/>
    <w:rsid w:val="00CF3F81"/>
    <w:rsid w:val="00CF4E3A"/>
    <w:rsid w:val="00CF4F3E"/>
    <w:rsid w:val="00CF5D54"/>
    <w:rsid w:val="00D00DB1"/>
    <w:rsid w:val="00D03A1C"/>
    <w:rsid w:val="00D057B6"/>
    <w:rsid w:val="00D063E5"/>
    <w:rsid w:val="00D10F79"/>
    <w:rsid w:val="00D11FBC"/>
    <w:rsid w:val="00D3056C"/>
    <w:rsid w:val="00D35B0B"/>
    <w:rsid w:val="00D414E0"/>
    <w:rsid w:val="00D43FEF"/>
    <w:rsid w:val="00D53674"/>
    <w:rsid w:val="00D547AF"/>
    <w:rsid w:val="00D56916"/>
    <w:rsid w:val="00D64CB4"/>
    <w:rsid w:val="00D71AA7"/>
    <w:rsid w:val="00D74A8B"/>
    <w:rsid w:val="00D74FA7"/>
    <w:rsid w:val="00D926B5"/>
    <w:rsid w:val="00DA124D"/>
    <w:rsid w:val="00DA7656"/>
    <w:rsid w:val="00DB0DFC"/>
    <w:rsid w:val="00DB27A6"/>
    <w:rsid w:val="00DC05CC"/>
    <w:rsid w:val="00DC2671"/>
    <w:rsid w:val="00DC26B4"/>
    <w:rsid w:val="00DD5CAF"/>
    <w:rsid w:val="00DD75BA"/>
    <w:rsid w:val="00DE4C7D"/>
    <w:rsid w:val="00DF679C"/>
    <w:rsid w:val="00E02303"/>
    <w:rsid w:val="00E03BFB"/>
    <w:rsid w:val="00E11280"/>
    <w:rsid w:val="00E1148F"/>
    <w:rsid w:val="00E12061"/>
    <w:rsid w:val="00E124F1"/>
    <w:rsid w:val="00E12F34"/>
    <w:rsid w:val="00E13C01"/>
    <w:rsid w:val="00E14CEA"/>
    <w:rsid w:val="00E2551A"/>
    <w:rsid w:val="00E3127F"/>
    <w:rsid w:val="00E362C0"/>
    <w:rsid w:val="00E3679F"/>
    <w:rsid w:val="00E36E6C"/>
    <w:rsid w:val="00E4785C"/>
    <w:rsid w:val="00E515B0"/>
    <w:rsid w:val="00E76580"/>
    <w:rsid w:val="00E83121"/>
    <w:rsid w:val="00E83A7C"/>
    <w:rsid w:val="00E856C5"/>
    <w:rsid w:val="00E90ACA"/>
    <w:rsid w:val="00E922E9"/>
    <w:rsid w:val="00E93D59"/>
    <w:rsid w:val="00EA0242"/>
    <w:rsid w:val="00EA12B8"/>
    <w:rsid w:val="00EA6C8E"/>
    <w:rsid w:val="00EB0A45"/>
    <w:rsid w:val="00EB3C27"/>
    <w:rsid w:val="00EB7B98"/>
    <w:rsid w:val="00EC3B2F"/>
    <w:rsid w:val="00EC4669"/>
    <w:rsid w:val="00ED3797"/>
    <w:rsid w:val="00ED4618"/>
    <w:rsid w:val="00EF2C48"/>
    <w:rsid w:val="00EF5BC0"/>
    <w:rsid w:val="00F05D4A"/>
    <w:rsid w:val="00F06110"/>
    <w:rsid w:val="00F123B8"/>
    <w:rsid w:val="00F134C6"/>
    <w:rsid w:val="00F14A7D"/>
    <w:rsid w:val="00F14B6D"/>
    <w:rsid w:val="00F239B0"/>
    <w:rsid w:val="00F24EF5"/>
    <w:rsid w:val="00F27938"/>
    <w:rsid w:val="00F316DF"/>
    <w:rsid w:val="00F339FC"/>
    <w:rsid w:val="00F42364"/>
    <w:rsid w:val="00F45312"/>
    <w:rsid w:val="00F45C05"/>
    <w:rsid w:val="00F47CF8"/>
    <w:rsid w:val="00F5100D"/>
    <w:rsid w:val="00F52200"/>
    <w:rsid w:val="00F55A92"/>
    <w:rsid w:val="00F819FC"/>
    <w:rsid w:val="00F846AE"/>
    <w:rsid w:val="00F877E6"/>
    <w:rsid w:val="00F8787B"/>
    <w:rsid w:val="00F9540D"/>
    <w:rsid w:val="00FA05D1"/>
    <w:rsid w:val="00FA45DE"/>
    <w:rsid w:val="00FA60EB"/>
    <w:rsid w:val="00FB24B3"/>
    <w:rsid w:val="00FB6A81"/>
    <w:rsid w:val="00FC2331"/>
    <w:rsid w:val="00FC2DAB"/>
    <w:rsid w:val="00FC7166"/>
    <w:rsid w:val="00FD7D2E"/>
    <w:rsid w:val="00FF65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6849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74FA"/>
  </w:style>
  <w:style w:type="paragraph" w:styleId="Heading1">
    <w:name w:val="heading 1"/>
    <w:basedOn w:val="Normal"/>
    <w:next w:val="Normal"/>
    <w:link w:val="Heading1Char"/>
    <w:uiPriority w:val="9"/>
    <w:qFormat/>
    <w:rsid w:val="004147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67AD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1473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14739"/>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14739"/>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414739"/>
    <w:rPr>
      <w:rFonts w:asciiTheme="majorHAnsi" w:eastAsiaTheme="majorEastAsia" w:hAnsiTheme="majorHAnsi" w:cstheme="majorBidi"/>
      <w:i/>
      <w:iCs/>
      <w:color w:val="4F81BD" w:themeColor="accent1"/>
      <w:spacing w:val="15"/>
      <w:szCs w:val="24"/>
    </w:rPr>
  </w:style>
  <w:style w:type="character" w:customStyle="1" w:styleId="Heading1Char">
    <w:name w:val="Heading 1 Char"/>
    <w:basedOn w:val="DefaultParagraphFont"/>
    <w:link w:val="Heading1"/>
    <w:uiPriority w:val="9"/>
    <w:rsid w:val="00414739"/>
    <w:rPr>
      <w:rFonts w:asciiTheme="majorHAnsi" w:eastAsiaTheme="majorEastAsia" w:hAnsiTheme="majorHAnsi" w:cstheme="majorBidi"/>
      <w:b/>
      <w:bCs/>
      <w:color w:val="365F91" w:themeColor="accent1" w:themeShade="BF"/>
      <w:sz w:val="28"/>
      <w:szCs w:val="28"/>
    </w:rPr>
  </w:style>
  <w:style w:type="paragraph" w:styleId="Bibliography">
    <w:name w:val="Bibliography"/>
    <w:basedOn w:val="Normal"/>
    <w:next w:val="Normal"/>
    <w:uiPriority w:val="37"/>
    <w:unhideWhenUsed/>
    <w:rsid w:val="00A40676"/>
    <w:pPr>
      <w:tabs>
        <w:tab w:val="left" w:pos="504"/>
      </w:tabs>
      <w:spacing w:after="240" w:line="480" w:lineRule="auto"/>
      <w:ind w:left="504" w:hanging="504"/>
    </w:pPr>
  </w:style>
  <w:style w:type="character" w:styleId="LineNumber">
    <w:name w:val="line number"/>
    <w:basedOn w:val="DefaultParagraphFont"/>
    <w:uiPriority w:val="99"/>
    <w:semiHidden/>
    <w:unhideWhenUsed/>
    <w:rsid w:val="00277E47"/>
  </w:style>
  <w:style w:type="character" w:styleId="Hyperlink">
    <w:name w:val="Hyperlink"/>
    <w:basedOn w:val="DefaultParagraphFont"/>
    <w:uiPriority w:val="99"/>
    <w:unhideWhenUsed/>
    <w:rsid w:val="00BF524A"/>
    <w:rPr>
      <w:color w:val="0000FF" w:themeColor="hyperlink"/>
      <w:u w:val="single"/>
    </w:rPr>
  </w:style>
  <w:style w:type="paragraph" w:styleId="ListParagraph">
    <w:name w:val="List Paragraph"/>
    <w:basedOn w:val="Normal"/>
    <w:uiPriority w:val="34"/>
    <w:qFormat/>
    <w:rsid w:val="00EA12B8"/>
    <w:pPr>
      <w:ind w:left="720"/>
      <w:contextualSpacing/>
    </w:pPr>
  </w:style>
  <w:style w:type="paragraph" w:styleId="CommentText">
    <w:name w:val="annotation text"/>
    <w:basedOn w:val="Normal"/>
    <w:link w:val="CommentTextChar"/>
    <w:uiPriority w:val="99"/>
    <w:unhideWhenUsed/>
    <w:rsid w:val="00535032"/>
    <w:pPr>
      <w:spacing w:line="240" w:lineRule="auto"/>
    </w:pPr>
    <w:rPr>
      <w:rFonts w:asciiTheme="minorHAnsi" w:hAnsiTheme="minorHAnsi"/>
      <w:szCs w:val="24"/>
    </w:rPr>
  </w:style>
  <w:style w:type="character" w:customStyle="1" w:styleId="CommentTextChar">
    <w:name w:val="Comment Text Char"/>
    <w:basedOn w:val="DefaultParagraphFont"/>
    <w:link w:val="CommentText"/>
    <w:uiPriority w:val="99"/>
    <w:rsid w:val="00535032"/>
    <w:rPr>
      <w:rFonts w:asciiTheme="minorHAnsi" w:hAnsiTheme="minorHAnsi"/>
      <w:szCs w:val="24"/>
    </w:rPr>
  </w:style>
  <w:style w:type="character" w:styleId="CommentReference">
    <w:name w:val="annotation reference"/>
    <w:basedOn w:val="DefaultParagraphFont"/>
    <w:uiPriority w:val="99"/>
    <w:semiHidden/>
    <w:unhideWhenUsed/>
    <w:rsid w:val="00535032"/>
    <w:rPr>
      <w:sz w:val="18"/>
      <w:szCs w:val="18"/>
    </w:rPr>
  </w:style>
  <w:style w:type="paragraph" w:styleId="BalloonText">
    <w:name w:val="Balloon Text"/>
    <w:basedOn w:val="Normal"/>
    <w:link w:val="BalloonTextChar"/>
    <w:uiPriority w:val="99"/>
    <w:semiHidden/>
    <w:unhideWhenUsed/>
    <w:rsid w:val="005350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5032"/>
    <w:rPr>
      <w:rFonts w:ascii="Tahoma" w:hAnsi="Tahoma" w:cs="Tahoma"/>
      <w:sz w:val="16"/>
      <w:szCs w:val="16"/>
    </w:rPr>
  </w:style>
  <w:style w:type="character" w:styleId="PlaceholderText">
    <w:name w:val="Placeholder Text"/>
    <w:basedOn w:val="DefaultParagraphFont"/>
    <w:uiPriority w:val="99"/>
    <w:semiHidden/>
    <w:rsid w:val="00945436"/>
    <w:rPr>
      <w:color w:val="808080"/>
    </w:rPr>
  </w:style>
  <w:style w:type="character" w:customStyle="1" w:styleId="Heading2Char">
    <w:name w:val="Heading 2 Char"/>
    <w:basedOn w:val="DefaultParagraphFont"/>
    <w:link w:val="Heading2"/>
    <w:uiPriority w:val="9"/>
    <w:rsid w:val="00467AD6"/>
    <w:rPr>
      <w:rFonts w:asciiTheme="majorHAnsi" w:eastAsiaTheme="majorEastAsia" w:hAnsiTheme="majorHAnsi" w:cstheme="majorBidi"/>
      <w:b/>
      <w:bCs/>
      <w:color w:val="4F81BD" w:themeColor="accent1"/>
      <w:sz w:val="26"/>
      <w:szCs w:val="26"/>
    </w:rPr>
  </w:style>
  <w:style w:type="paragraph" w:styleId="CommentSubject">
    <w:name w:val="annotation subject"/>
    <w:basedOn w:val="CommentText"/>
    <w:next w:val="CommentText"/>
    <w:link w:val="CommentSubjectChar"/>
    <w:uiPriority w:val="99"/>
    <w:semiHidden/>
    <w:unhideWhenUsed/>
    <w:rsid w:val="00C510BA"/>
    <w:rPr>
      <w:rFonts w:ascii="Times New Roman" w:hAnsi="Times New Roman"/>
      <w:b/>
      <w:bCs/>
      <w:sz w:val="20"/>
      <w:szCs w:val="20"/>
    </w:rPr>
  </w:style>
  <w:style w:type="character" w:customStyle="1" w:styleId="CommentSubjectChar">
    <w:name w:val="Comment Subject Char"/>
    <w:basedOn w:val="CommentTextChar"/>
    <w:link w:val="CommentSubject"/>
    <w:uiPriority w:val="99"/>
    <w:semiHidden/>
    <w:rsid w:val="00C510BA"/>
    <w:rPr>
      <w:rFonts w:asciiTheme="minorHAnsi" w:hAnsiTheme="minorHAnsi"/>
      <w:b/>
      <w:bCs/>
      <w:sz w:val="20"/>
      <w:szCs w:val="20"/>
    </w:rPr>
  </w:style>
  <w:style w:type="paragraph" w:styleId="Header">
    <w:name w:val="header"/>
    <w:basedOn w:val="Normal"/>
    <w:link w:val="HeaderChar"/>
    <w:uiPriority w:val="99"/>
    <w:unhideWhenUsed/>
    <w:rsid w:val="00516D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6D83"/>
  </w:style>
  <w:style w:type="paragraph" w:styleId="Footer">
    <w:name w:val="footer"/>
    <w:basedOn w:val="Normal"/>
    <w:link w:val="FooterChar"/>
    <w:uiPriority w:val="99"/>
    <w:unhideWhenUsed/>
    <w:rsid w:val="00516D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6D83"/>
  </w:style>
  <w:style w:type="paragraph" w:styleId="Caption">
    <w:name w:val="caption"/>
    <w:basedOn w:val="Normal"/>
    <w:next w:val="Normal"/>
    <w:uiPriority w:val="35"/>
    <w:unhideWhenUsed/>
    <w:qFormat/>
    <w:rsid w:val="006118BA"/>
    <w:pPr>
      <w:spacing w:line="240" w:lineRule="auto"/>
    </w:pPr>
    <w:rPr>
      <w:b/>
      <w:bCs/>
      <w:color w:val="4F81BD" w:themeColor="accent1"/>
      <w:sz w:val="18"/>
      <w:szCs w:val="18"/>
    </w:rPr>
  </w:style>
  <w:style w:type="table" w:styleId="TableGrid">
    <w:name w:val="Table Grid"/>
    <w:basedOn w:val="TableNormal"/>
    <w:uiPriority w:val="59"/>
    <w:rsid w:val="004913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021BA"/>
    <w:pPr>
      <w:spacing w:before="100" w:beforeAutospacing="1" w:after="100" w:afterAutospacing="1" w:line="240" w:lineRule="auto"/>
    </w:pPr>
    <w:rPr>
      <w:rFonts w:ascii="Times" w:hAnsi="Times" w:cs="Times New Roman"/>
      <w:sz w:val="20"/>
      <w:szCs w:val="20"/>
    </w:rPr>
  </w:style>
  <w:style w:type="paragraph" w:styleId="FootnoteText">
    <w:name w:val="footnote text"/>
    <w:basedOn w:val="Normal"/>
    <w:link w:val="FootnoteTextChar"/>
    <w:uiPriority w:val="99"/>
    <w:semiHidden/>
    <w:unhideWhenUsed/>
    <w:rsid w:val="00966C6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66C6C"/>
    <w:rPr>
      <w:sz w:val="20"/>
      <w:szCs w:val="20"/>
    </w:rPr>
  </w:style>
  <w:style w:type="character" w:styleId="FootnoteReference">
    <w:name w:val="footnote reference"/>
    <w:basedOn w:val="DefaultParagraphFont"/>
    <w:uiPriority w:val="99"/>
    <w:semiHidden/>
    <w:unhideWhenUsed/>
    <w:rsid w:val="00966C6C"/>
    <w:rPr>
      <w:vertAlign w:val="superscript"/>
    </w:rPr>
  </w:style>
  <w:style w:type="paragraph" w:styleId="Revision">
    <w:name w:val="Revision"/>
    <w:hidden/>
    <w:uiPriority w:val="99"/>
    <w:semiHidden/>
    <w:rsid w:val="00756FF0"/>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74FA"/>
  </w:style>
  <w:style w:type="paragraph" w:styleId="Heading1">
    <w:name w:val="heading 1"/>
    <w:basedOn w:val="Normal"/>
    <w:next w:val="Normal"/>
    <w:link w:val="Heading1Char"/>
    <w:uiPriority w:val="9"/>
    <w:qFormat/>
    <w:rsid w:val="004147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67AD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1473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14739"/>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14739"/>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414739"/>
    <w:rPr>
      <w:rFonts w:asciiTheme="majorHAnsi" w:eastAsiaTheme="majorEastAsia" w:hAnsiTheme="majorHAnsi" w:cstheme="majorBidi"/>
      <w:i/>
      <w:iCs/>
      <w:color w:val="4F81BD" w:themeColor="accent1"/>
      <w:spacing w:val="15"/>
      <w:szCs w:val="24"/>
    </w:rPr>
  </w:style>
  <w:style w:type="character" w:customStyle="1" w:styleId="Heading1Char">
    <w:name w:val="Heading 1 Char"/>
    <w:basedOn w:val="DefaultParagraphFont"/>
    <w:link w:val="Heading1"/>
    <w:uiPriority w:val="9"/>
    <w:rsid w:val="00414739"/>
    <w:rPr>
      <w:rFonts w:asciiTheme="majorHAnsi" w:eastAsiaTheme="majorEastAsia" w:hAnsiTheme="majorHAnsi" w:cstheme="majorBidi"/>
      <w:b/>
      <w:bCs/>
      <w:color w:val="365F91" w:themeColor="accent1" w:themeShade="BF"/>
      <w:sz w:val="28"/>
      <w:szCs w:val="28"/>
    </w:rPr>
  </w:style>
  <w:style w:type="paragraph" w:styleId="Bibliography">
    <w:name w:val="Bibliography"/>
    <w:basedOn w:val="Normal"/>
    <w:next w:val="Normal"/>
    <w:uiPriority w:val="37"/>
    <w:unhideWhenUsed/>
    <w:rsid w:val="00A40676"/>
    <w:pPr>
      <w:tabs>
        <w:tab w:val="left" w:pos="504"/>
      </w:tabs>
      <w:spacing w:after="240" w:line="480" w:lineRule="auto"/>
      <w:ind w:left="504" w:hanging="504"/>
    </w:pPr>
  </w:style>
  <w:style w:type="character" w:styleId="LineNumber">
    <w:name w:val="line number"/>
    <w:basedOn w:val="DefaultParagraphFont"/>
    <w:uiPriority w:val="99"/>
    <w:semiHidden/>
    <w:unhideWhenUsed/>
    <w:rsid w:val="00277E47"/>
  </w:style>
  <w:style w:type="character" w:styleId="Hyperlink">
    <w:name w:val="Hyperlink"/>
    <w:basedOn w:val="DefaultParagraphFont"/>
    <w:uiPriority w:val="99"/>
    <w:unhideWhenUsed/>
    <w:rsid w:val="00BF524A"/>
    <w:rPr>
      <w:color w:val="0000FF" w:themeColor="hyperlink"/>
      <w:u w:val="single"/>
    </w:rPr>
  </w:style>
  <w:style w:type="paragraph" w:styleId="ListParagraph">
    <w:name w:val="List Paragraph"/>
    <w:basedOn w:val="Normal"/>
    <w:uiPriority w:val="34"/>
    <w:qFormat/>
    <w:rsid w:val="00EA12B8"/>
    <w:pPr>
      <w:ind w:left="720"/>
      <w:contextualSpacing/>
    </w:pPr>
  </w:style>
  <w:style w:type="paragraph" w:styleId="CommentText">
    <w:name w:val="annotation text"/>
    <w:basedOn w:val="Normal"/>
    <w:link w:val="CommentTextChar"/>
    <w:uiPriority w:val="99"/>
    <w:unhideWhenUsed/>
    <w:rsid w:val="00535032"/>
    <w:pPr>
      <w:spacing w:line="240" w:lineRule="auto"/>
    </w:pPr>
    <w:rPr>
      <w:rFonts w:asciiTheme="minorHAnsi" w:hAnsiTheme="minorHAnsi"/>
      <w:szCs w:val="24"/>
    </w:rPr>
  </w:style>
  <w:style w:type="character" w:customStyle="1" w:styleId="CommentTextChar">
    <w:name w:val="Comment Text Char"/>
    <w:basedOn w:val="DefaultParagraphFont"/>
    <w:link w:val="CommentText"/>
    <w:uiPriority w:val="99"/>
    <w:rsid w:val="00535032"/>
    <w:rPr>
      <w:rFonts w:asciiTheme="minorHAnsi" w:hAnsiTheme="minorHAnsi"/>
      <w:szCs w:val="24"/>
    </w:rPr>
  </w:style>
  <w:style w:type="character" w:styleId="CommentReference">
    <w:name w:val="annotation reference"/>
    <w:basedOn w:val="DefaultParagraphFont"/>
    <w:uiPriority w:val="99"/>
    <w:semiHidden/>
    <w:unhideWhenUsed/>
    <w:rsid w:val="00535032"/>
    <w:rPr>
      <w:sz w:val="18"/>
      <w:szCs w:val="18"/>
    </w:rPr>
  </w:style>
  <w:style w:type="paragraph" w:styleId="BalloonText">
    <w:name w:val="Balloon Text"/>
    <w:basedOn w:val="Normal"/>
    <w:link w:val="BalloonTextChar"/>
    <w:uiPriority w:val="99"/>
    <w:semiHidden/>
    <w:unhideWhenUsed/>
    <w:rsid w:val="005350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5032"/>
    <w:rPr>
      <w:rFonts w:ascii="Tahoma" w:hAnsi="Tahoma" w:cs="Tahoma"/>
      <w:sz w:val="16"/>
      <w:szCs w:val="16"/>
    </w:rPr>
  </w:style>
  <w:style w:type="character" w:styleId="PlaceholderText">
    <w:name w:val="Placeholder Text"/>
    <w:basedOn w:val="DefaultParagraphFont"/>
    <w:uiPriority w:val="99"/>
    <w:semiHidden/>
    <w:rsid w:val="00945436"/>
    <w:rPr>
      <w:color w:val="808080"/>
    </w:rPr>
  </w:style>
  <w:style w:type="character" w:customStyle="1" w:styleId="Heading2Char">
    <w:name w:val="Heading 2 Char"/>
    <w:basedOn w:val="DefaultParagraphFont"/>
    <w:link w:val="Heading2"/>
    <w:uiPriority w:val="9"/>
    <w:rsid w:val="00467AD6"/>
    <w:rPr>
      <w:rFonts w:asciiTheme="majorHAnsi" w:eastAsiaTheme="majorEastAsia" w:hAnsiTheme="majorHAnsi" w:cstheme="majorBidi"/>
      <w:b/>
      <w:bCs/>
      <w:color w:val="4F81BD" w:themeColor="accent1"/>
      <w:sz w:val="26"/>
      <w:szCs w:val="26"/>
    </w:rPr>
  </w:style>
  <w:style w:type="paragraph" w:styleId="CommentSubject">
    <w:name w:val="annotation subject"/>
    <w:basedOn w:val="CommentText"/>
    <w:next w:val="CommentText"/>
    <w:link w:val="CommentSubjectChar"/>
    <w:uiPriority w:val="99"/>
    <w:semiHidden/>
    <w:unhideWhenUsed/>
    <w:rsid w:val="00C510BA"/>
    <w:rPr>
      <w:rFonts w:ascii="Times New Roman" w:hAnsi="Times New Roman"/>
      <w:b/>
      <w:bCs/>
      <w:sz w:val="20"/>
      <w:szCs w:val="20"/>
    </w:rPr>
  </w:style>
  <w:style w:type="character" w:customStyle="1" w:styleId="CommentSubjectChar">
    <w:name w:val="Comment Subject Char"/>
    <w:basedOn w:val="CommentTextChar"/>
    <w:link w:val="CommentSubject"/>
    <w:uiPriority w:val="99"/>
    <w:semiHidden/>
    <w:rsid w:val="00C510BA"/>
    <w:rPr>
      <w:rFonts w:asciiTheme="minorHAnsi" w:hAnsiTheme="minorHAnsi"/>
      <w:b/>
      <w:bCs/>
      <w:sz w:val="20"/>
      <w:szCs w:val="20"/>
    </w:rPr>
  </w:style>
  <w:style w:type="paragraph" w:styleId="Header">
    <w:name w:val="header"/>
    <w:basedOn w:val="Normal"/>
    <w:link w:val="HeaderChar"/>
    <w:uiPriority w:val="99"/>
    <w:unhideWhenUsed/>
    <w:rsid w:val="00516D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6D83"/>
  </w:style>
  <w:style w:type="paragraph" w:styleId="Footer">
    <w:name w:val="footer"/>
    <w:basedOn w:val="Normal"/>
    <w:link w:val="FooterChar"/>
    <w:uiPriority w:val="99"/>
    <w:unhideWhenUsed/>
    <w:rsid w:val="00516D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6D83"/>
  </w:style>
  <w:style w:type="paragraph" w:styleId="Caption">
    <w:name w:val="caption"/>
    <w:basedOn w:val="Normal"/>
    <w:next w:val="Normal"/>
    <w:uiPriority w:val="35"/>
    <w:unhideWhenUsed/>
    <w:qFormat/>
    <w:rsid w:val="006118BA"/>
    <w:pPr>
      <w:spacing w:line="240" w:lineRule="auto"/>
    </w:pPr>
    <w:rPr>
      <w:b/>
      <w:bCs/>
      <w:color w:val="4F81BD" w:themeColor="accent1"/>
      <w:sz w:val="18"/>
      <w:szCs w:val="18"/>
    </w:rPr>
  </w:style>
  <w:style w:type="table" w:styleId="TableGrid">
    <w:name w:val="Table Grid"/>
    <w:basedOn w:val="TableNormal"/>
    <w:uiPriority w:val="59"/>
    <w:rsid w:val="004913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021BA"/>
    <w:pPr>
      <w:spacing w:before="100" w:beforeAutospacing="1" w:after="100" w:afterAutospacing="1" w:line="240" w:lineRule="auto"/>
    </w:pPr>
    <w:rPr>
      <w:rFonts w:ascii="Times" w:hAnsi="Times" w:cs="Times New Roman"/>
      <w:sz w:val="20"/>
      <w:szCs w:val="20"/>
    </w:rPr>
  </w:style>
  <w:style w:type="paragraph" w:styleId="FootnoteText">
    <w:name w:val="footnote text"/>
    <w:basedOn w:val="Normal"/>
    <w:link w:val="FootnoteTextChar"/>
    <w:uiPriority w:val="99"/>
    <w:semiHidden/>
    <w:unhideWhenUsed/>
    <w:rsid w:val="00966C6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66C6C"/>
    <w:rPr>
      <w:sz w:val="20"/>
      <w:szCs w:val="20"/>
    </w:rPr>
  </w:style>
  <w:style w:type="character" w:styleId="FootnoteReference">
    <w:name w:val="footnote reference"/>
    <w:basedOn w:val="DefaultParagraphFont"/>
    <w:uiPriority w:val="99"/>
    <w:semiHidden/>
    <w:unhideWhenUsed/>
    <w:rsid w:val="00966C6C"/>
    <w:rPr>
      <w:vertAlign w:val="superscript"/>
    </w:rPr>
  </w:style>
  <w:style w:type="paragraph" w:styleId="Revision">
    <w:name w:val="Revision"/>
    <w:hidden/>
    <w:uiPriority w:val="99"/>
    <w:semiHidden/>
    <w:rsid w:val="00756FF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466279">
      <w:bodyDiv w:val="1"/>
      <w:marLeft w:val="0"/>
      <w:marRight w:val="0"/>
      <w:marTop w:val="0"/>
      <w:marBottom w:val="0"/>
      <w:divBdr>
        <w:top w:val="none" w:sz="0" w:space="0" w:color="auto"/>
        <w:left w:val="none" w:sz="0" w:space="0" w:color="auto"/>
        <w:bottom w:val="none" w:sz="0" w:space="0" w:color="auto"/>
        <w:right w:val="none" w:sz="0" w:space="0" w:color="auto"/>
      </w:divBdr>
    </w:div>
    <w:div w:id="413354640">
      <w:bodyDiv w:val="1"/>
      <w:marLeft w:val="0"/>
      <w:marRight w:val="0"/>
      <w:marTop w:val="0"/>
      <w:marBottom w:val="0"/>
      <w:divBdr>
        <w:top w:val="none" w:sz="0" w:space="0" w:color="auto"/>
        <w:left w:val="none" w:sz="0" w:space="0" w:color="auto"/>
        <w:bottom w:val="none" w:sz="0" w:space="0" w:color="auto"/>
        <w:right w:val="none" w:sz="0" w:space="0" w:color="auto"/>
      </w:divBdr>
    </w:div>
    <w:div w:id="433674187">
      <w:bodyDiv w:val="1"/>
      <w:marLeft w:val="0"/>
      <w:marRight w:val="0"/>
      <w:marTop w:val="0"/>
      <w:marBottom w:val="0"/>
      <w:divBdr>
        <w:top w:val="none" w:sz="0" w:space="0" w:color="auto"/>
        <w:left w:val="none" w:sz="0" w:space="0" w:color="auto"/>
        <w:bottom w:val="none" w:sz="0" w:space="0" w:color="auto"/>
        <w:right w:val="none" w:sz="0" w:space="0" w:color="auto"/>
      </w:divBdr>
    </w:div>
    <w:div w:id="558398125">
      <w:bodyDiv w:val="1"/>
      <w:marLeft w:val="0"/>
      <w:marRight w:val="0"/>
      <w:marTop w:val="0"/>
      <w:marBottom w:val="0"/>
      <w:divBdr>
        <w:top w:val="none" w:sz="0" w:space="0" w:color="auto"/>
        <w:left w:val="none" w:sz="0" w:space="0" w:color="auto"/>
        <w:bottom w:val="none" w:sz="0" w:space="0" w:color="auto"/>
        <w:right w:val="none" w:sz="0" w:space="0" w:color="auto"/>
      </w:divBdr>
      <w:divsChild>
        <w:div w:id="1534729472">
          <w:marLeft w:val="0"/>
          <w:marRight w:val="0"/>
          <w:marTop w:val="0"/>
          <w:marBottom w:val="0"/>
          <w:divBdr>
            <w:top w:val="none" w:sz="0" w:space="0" w:color="auto"/>
            <w:left w:val="none" w:sz="0" w:space="0" w:color="auto"/>
            <w:bottom w:val="none" w:sz="0" w:space="0" w:color="auto"/>
            <w:right w:val="none" w:sz="0" w:space="0" w:color="auto"/>
          </w:divBdr>
          <w:divsChild>
            <w:div w:id="418061416">
              <w:marLeft w:val="0"/>
              <w:marRight w:val="0"/>
              <w:marTop w:val="0"/>
              <w:marBottom w:val="0"/>
              <w:divBdr>
                <w:top w:val="none" w:sz="0" w:space="0" w:color="auto"/>
                <w:left w:val="none" w:sz="0" w:space="0" w:color="auto"/>
                <w:bottom w:val="none" w:sz="0" w:space="0" w:color="auto"/>
                <w:right w:val="none" w:sz="0" w:space="0" w:color="auto"/>
              </w:divBdr>
              <w:divsChild>
                <w:div w:id="65673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480825">
      <w:bodyDiv w:val="1"/>
      <w:marLeft w:val="0"/>
      <w:marRight w:val="0"/>
      <w:marTop w:val="0"/>
      <w:marBottom w:val="0"/>
      <w:divBdr>
        <w:top w:val="none" w:sz="0" w:space="0" w:color="auto"/>
        <w:left w:val="none" w:sz="0" w:space="0" w:color="auto"/>
        <w:bottom w:val="none" w:sz="0" w:space="0" w:color="auto"/>
        <w:right w:val="none" w:sz="0" w:space="0" w:color="auto"/>
      </w:divBdr>
    </w:div>
    <w:div w:id="1749495192">
      <w:bodyDiv w:val="1"/>
      <w:marLeft w:val="0"/>
      <w:marRight w:val="0"/>
      <w:marTop w:val="0"/>
      <w:marBottom w:val="0"/>
      <w:divBdr>
        <w:top w:val="none" w:sz="0" w:space="0" w:color="auto"/>
        <w:left w:val="none" w:sz="0" w:space="0" w:color="auto"/>
        <w:bottom w:val="none" w:sz="0" w:space="0" w:color="auto"/>
        <w:right w:val="none" w:sz="0" w:space="0" w:color="auto"/>
      </w:divBdr>
    </w:div>
    <w:div w:id="2060857067">
      <w:bodyDiv w:val="1"/>
      <w:marLeft w:val="0"/>
      <w:marRight w:val="0"/>
      <w:marTop w:val="0"/>
      <w:marBottom w:val="0"/>
      <w:divBdr>
        <w:top w:val="none" w:sz="0" w:space="0" w:color="auto"/>
        <w:left w:val="none" w:sz="0" w:space="0" w:color="auto"/>
        <w:bottom w:val="none" w:sz="0" w:space="0" w:color="auto"/>
        <w:right w:val="none" w:sz="0" w:space="0" w:color="auto"/>
      </w:divBdr>
    </w:div>
    <w:div w:id="2116438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tif"/><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hart" Target="charts/chart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mailto:leighj@u.washington.edu" TargetMode="External"/><Relationship Id="rId4" Type="http://schemas.microsoft.com/office/2007/relationships/stylesWithEffects" Target="stylesWithEffects.xml"/><Relationship Id="rId9" Type="http://schemas.openxmlformats.org/officeDocument/2006/relationships/hyperlink" Target="mailto:nprice@systemsbiology.org" TargetMode="External"/><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mrichard\Documents\methanococcus\Paper\excel%20figure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pieChart>
        <c:varyColors val="1"/>
        <c:ser>
          <c:idx val="0"/>
          <c:order val="0"/>
          <c:cat>
            <c:strRef>
              <c:f>'Generalized Subsystems'!$G$2:$G$10</c:f>
              <c:strCache>
                <c:ptCount val="9"/>
                <c:pt idx="0">
                  <c:v>Unique Coenzyme Syntheses</c:v>
                </c:pt>
                <c:pt idx="1">
                  <c:v>Vitamin and Cofactor Synthesis</c:v>
                </c:pt>
                <c:pt idx="2">
                  <c:v>Amino Acid Biosynthesis/Degradation</c:v>
                </c:pt>
                <c:pt idx="3">
                  <c:v>Quinone Metabolism</c:v>
                </c:pt>
                <c:pt idx="4">
                  <c:v>Sulfur Assimilation</c:v>
                </c:pt>
                <c:pt idx="5">
                  <c:v>None</c:v>
                </c:pt>
                <c:pt idx="6">
                  <c:v>Archaeal Lipids and Carbohydrates</c:v>
                </c:pt>
                <c:pt idx="7">
                  <c:v>Nucelotide Conversions</c:v>
                </c:pt>
                <c:pt idx="8">
                  <c:v>Other</c:v>
                </c:pt>
              </c:strCache>
            </c:strRef>
          </c:cat>
          <c:val>
            <c:numRef>
              <c:f>'Generalized Subsystems'!$H$2:$H$10</c:f>
              <c:numCache>
                <c:formatCode>General</c:formatCode>
                <c:ptCount val="9"/>
                <c:pt idx="0">
                  <c:v>24</c:v>
                </c:pt>
                <c:pt idx="1">
                  <c:v>11</c:v>
                </c:pt>
                <c:pt idx="2">
                  <c:v>12</c:v>
                </c:pt>
                <c:pt idx="3">
                  <c:v>8</c:v>
                </c:pt>
                <c:pt idx="4">
                  <c:v>2</c:v>
                </c:pt>
                <c:pt idx="5">
                  <c:v>15</c:v>
                </c:pt>
                <c:pt idx="6">
                  <c:v>2</c:v>
                </c:pt>
                <c:pt idx="7">
                  <c:v>3</c:v>
                </c:pt>
                <c:pt idx="8">
                  <c:v>8</c:v>
                </c:pt>
              </c:numCache>
            </c:numRef>
          </c:val>
        </c:ser>
        <c:dLbls>
          <c:showLegendKey val="0"/>
          <c:showVal val="0"/>
          <c:showCatName val="0"/>
          <c:showSerName val="0"/>
          <c:showPercent val="0"/>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801EF6-F61E-40C5-A95D-1E8344EEAD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1318</TotalTime>
  <Pages>41</Pages>
  <Words>34328</Words>
  <Characters>195672</Characters>
  <Application>Microsoft Office Word</Application>
  <DocSecurity>0</DocSecurity>
  <Lines>1630</Lines>
  <Paragraphs>459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229541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28</cp:revision>
  <dcterms:created xsi:type="dcterms:W3CDTF">2015-11-19T20:52:00Z</dcterms:created>
  <dcterms:modified xsi:type="dcterms:W3CDTF">2015-12-15T23:22:00Z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zotero-version="4.0.28"&gt;&lt;session id="fhaXIH2W"/&gt;&lt;style id="http://www.zotero.org/styles/journal-of-bacteriology" hasBibliography="1" bibliographyStyleHasBeenSet="1"/&gt;&lt;prefs&gt;&lt;pref name="fieldType" value="Field"/&gt;&lt;pref name="storeRefe</vt:lpwstr>
  </property>
  <property fmtid="{D5CDD505-2E9C-101B-9397-08002B2CF9AE}" pid="3" name="ZOTERO_PREF_2">
    <vt:lpwstr>rences" value="true"/&gt;&lt;pref name="automaticJournalAbbreviations" value="true"/&gt;&lt;pref name="noteType" value=""/&gt;&lt;/prefs&gt;&lt;/data&gt;</vt:lpwstr>
  </property>
</Properties>
</file>