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30A6794E"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08A5F83D"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318E1867" w:rsidR="008B123E" w:rsidRDefault="00F316DF" w:rsidP="00875DF4">
      <w:pPr>
        <w:spacing w:line="480" w:lineRule="auto"/>
      </w:pPr>
      <w:r>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t>plays a critical role in the global carbon cycle</w:t>
      </w:r>
      <w:r w:rsidR="00DE3865">
        <w:t>.</w:t>
      </w:r>
      <w:r w:rsidR="00A24D89">
        <w:t xml:space="preserve"> </w:t>
      </w:r>
      <w:r w:rsidR="004B4269">
        <w:t xml:space="preserve">A large proportion of anaerobic biomass metabolism is coupled to methanogenesis, which is responsible for the annual generation of 1 Gt of methane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4B4269">
        <w:t>On one hand, methane is a vital energy commodity; as t</w:t>
      </w:r>
      <w:r w:rsidR="00875DF4" w:rsidRPr="00875DF4">
        <w:t xml:space="preserve">he major component (~87 percent) of natural gas, </w:t>
      </w:r>
      <w:r w:rsidR="00DE3865">
        <w:t>methane</w:t>
      </w:r>
      <w:r w:rsidR="00875DF4" w:rsidRPr="00875DF4">
        <w:t xml:space="preserve"> is used as a heating fuel in 22% of US homes.</w:t>
      </w:r>
      <w:r w:rsidR="00DE3865">
        <w:t xml:space="preserve"> </w:t>
      </w:r>
      <w:r w:rsidR="004B4269">
        <w:t xml:space="preserve">It </w:t>
      </w:r>
      <w:r w:rsidR="00046038">
        <w:t xml:space="preserve"> is</w:t>
      </w:r>
      <w:r w:rsidR="004B4269">
        <w:t xml:space="preserve"> </w:t>
      </w:r>
      <w:r w:rsidR="00046038">
        <w:t>a candidate bridge fuel</w:t>
      </w:r>
      <w:r w:rsidR="0026382C">
        <w:t xml:space="preserve"> </w:t>
      </w:r>
      <w:r w:rsidR="0026382C">
        <w:fldChar w:fldCharType="begin"/>
      </w:r>
      <w:r w:rsidR="00080B94">
        <w:instrText xml:space="preserve"> ADDIN ZOTERO_ITEM CSL_CITATION {"citationID":"264k9f24me","properties":{"formattedCitation":"(3)","plainCitation":"(3)"},"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080B94" w:rsidRPr="00080B94">
        <w:t>(3)</w:t>
      </w:r>
      <w:r w:rsidR="0026382C">
        <w:fldChar w:fldCharType="end"/>
      </w:r>
      <w:r w:rsidR="00046038">
        <w:t xml:space="preserve"> </w:t>
      </w:r>
      <w:r w:rsidR="002670AD">
        <w:t xml:space="preserve">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80B94">
        <w:instrText xml:space="preserve"> ADDIN ZOTERO_ITEM CSL_CITATION {"citationID":"dg3spae36","properties":{"formattedCitation":"(4)","plainCitation":"(4)"},"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80B94" w:rsidRPr="00080B94">
        <w:t>(4)</w:t>
      </w:r>
      <w:r w:rsidR="00A36979">
        <w:fldChar w:fldCharType="end"/>
      </w:r>
      <w:r w:rsidR="00A447FE">
        <w:t>.</w:t>
      </w:r>
      <w:r w:rsidR="00CE40C8">
        <w:t xml:space="preserve"> On the other hand, m</w:t>
      </w:r>
      <w:r w:rsidR="00CA1420">
        <w:t xml:space="preserve">ethane is </w:t>
      </w:r>
      <w:r w:rsidR="00A36979">
        <w:t>the second</w:t>
      </w:r>
      <w:r w:rsidR="00CA1420">
        <w:t xml:space="preserve"> most abundant greenhouse gas after </w:t>
      </w:r>
      <w:r w:rsidR="007A60D0">
        <w:t>carbon dioxide</w:t>
      </w:r>
      <w:r w:rsidR="007C0A49">
        <w:t xml:space="preserve"> </w:t>
      </w:r>
      <w:r w:rsidR="007C0A49">
        <w:fldChar w:fldCharType="begin"/>
      </w:r>
      <w:r w:rsidR="00080B94">
        <w:instrText xml:space="preserve"> ADDIN ZOTERO_ITEM CSL_CITATION {"citationID":"17h7j3vmpb","properties":{"formattedCitation":"(5)","plainCitation":"(5)"},"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080B94" w:rsidRPr="00080B94">
        <w:t>(5)</w:t>
      </w:r>
      <w:r w:rsidR="007C0A49">
        <w:fldChar w:fldCharType="end"/>
      </w:r>
      <w:r w:rsidR="007C0A49">
        <w:t xml:space="preserve"> </w:t>
      </w:r>
      <w:r w:rsidR="00641032">
        <w:t>and</w:t>
      </w:r>
      <w:r w:rsidR="00A36979">
        <w:t xml:space="preserve"> is</w:t>
      </w:r>
      <w:r w:rsidR="00CE40C8">
        <w:t xml:space="preserve"> 21 times more </w:t>
      </w:r>
      <w:commentRangeStart w:id="0"/>
      <w:r w:rsidR="00CE40C8">
        <w:t>potent</w:t>
      </w:r>
      <w:commentRangeEnd w:id="0"/>
      <w:r w:rsidR="00CE40C8">
        <w:rPr>
          <w:rStyle w:val="CommentReference"/>
          <w:rFonts w:ascii="Calibri" w:hAnsi="Calibri"/>
        </w:rPr>
        <w:commentReference w:id="0"/>
      </w:r>
      <w:r w:rsidR="00CE40C8">
        <w:t xml:space="preserve"> than CO</w:t>
      </w:r>
      <w:r w:rsidR="00CE40C8" w:rsidRPr="00775A14">
        <w:rPr>
          <w:vertAlign w:val="subscript"/>
        </w:rPr>
        <w:t>2</w:t>
      </w:r>
      <w:r w:rsidR="00CE40C8">
        <w:t xml:space="preserve"> </w:t>
      </w:r>
      <w:r w:rsidR="00CE40C8">
        <w:fldChar w:fldCharType="begin"/>
      </w:r>
      <w:r w:rsidR="00080B94">
        <w:instrText xml:space="preserve"> ADDIN ZOTERO_ITEM CSL_CITATION {"citationID":"CCfc157S","properties":{"formattedCitation":"(6)","plainCitation":"(6)"},"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CE40C8">
        <w:fldChar w:fldCharType="separate"/>
      </w:r>
      <w:r w:rsidR="00080B94" w:rsidRPr="00080B94">
        <w:t>(6)</w:t>
      </w:r>
      <w:r w:rsidR="00CE40C8">
        <w:fldChar w:fldCharType="end"/>
      </w:r>
      <w:r w:rsidR="00CE40C8">
        <w:t xml:space="preserve"> in absorbing and emitting energy.</w:t>
      </w:r>
      <w:r w:rsidR="004B4269">
        <w:t xml:space="preserve"> </w:t>
      </w:r>
    </w:p>
    <w:p w14:paraId="14C34A6D" w14:textId="3CD36D94" w:rsidR="005119EB" w:rsidRDefault="00B92236" w:rsidP="00586344">
      <w:pPr>
        <w:spacing w:line="480" w:lineRule="auto"/>
      </w:pPr>
      <w:r>
        <w:t>Methanogens</w:t>
      </w:r>
      <w:r w:rsidR="008B123E">
        <w:t>, which</w:t>
      </w:r>
      <w:r w:rsidR="002F7577">
        <w:t xml:space="preserve"> </w:t>
      </w:r>
      <w:r w:rsidR="0084390A">
        <w:t>are the largest biological contributors of m</w:t>
      </w:r>
      <w:bookmarkStart w:id="1" w:name="_GoBack"/>
      <w:bookmarkEnd w:id="1"/>
      <w:r w:rsidR="0084390A">
        <w:t>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13699ABF"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w:t>
      </w:r>
      <w:r w:rsidR="0003090D">
        <w:lastRenderedPageBreak/>
        <w:t>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the obvious next step. </w:t>
      </w:r>
    </w:p>
    <w:p w14:paraId="228CACAF" w14:textId="49D3CD8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2"/>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2"/>
      <w:r w:rsidR="009A114F">
        <w:rPr>
          <w:rStyle w:val="CommentReference"/>
          <w:rFonts w:ascii="Calibri" w:hAnsi="Calibri"/>
        </w:rPr>
        <w:commentReference w:id="2"/>
      </w:r>
    </w:p>
    <w:p w14:paraId="09C9774A" w14:textId="7C2C5434"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w:t>
      </w:r>
      <w:r w:rsidR="00C073FF">
        <w:lastRenderedPageBreak/>
        <w:t>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w:lastRenderedPageBreak/>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032675"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w:lastRenderedPageBreak/>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03267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032675"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w:t>
      </w:r>
      <w:r w:rsidR="002A1B75">
        <w:lastRenderedPageBreak/>
        <w:t xml:space="preserve">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032675"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m:t>
              </m:r>
              <m:r>
                <w:rPr>
                  <w:rFonts w:ascii="Cambria Math" w:eastAsia="MS Mincho" w:hAnsi="Cambria Math"/>
                </w:rPr>
                <m:t>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03E4D3B7"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w:t>
      </w:r>
      <w:r w:rsidR="00887D9C" w:rsidRPr="00FA2B14">
        <w:rPr>
          <w:rFonts w:eastAsia="MS Mincho"/>
        </w:rPr>
        <w:lastRenderedPageBreak/>
        <w:t>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3"/>
      <w:r>
        <w:t xml:space="preserve">Reconstruction </w:t>
      </w:r>
      <w:r w:rsidR="00920B05">
        <w:t>Statistics</w:t>
      </w:r>
      <w:commentRangeEnd w:id="3"/>
      <w:r w:rsidR="008270DA" w:rsidRPr="00FA2B14">
        <w:rPr>
          <w:rStyle w:val="CommentReference"/>
          <w:rFonts w:ascii="Calibri" w:eastAsia="Calibri" w:hAnsi="Calibri"/>
          <w:b w:val="0"/>
          <w:bCs w:val="0"/>
          <w:color w:val="auto"/>
        </w:rPr>
        <w:commentReference w:id="3"/>
      </w:r>
    </w:p>
    <w:p w14:paraId="5447A6E4" w14:textId="3ABC072A"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9D741D">
        <w:instrText xml:space="preserve"> ADDIN ZOTERO_ITEM CSL_CITATION {"citationID":"23g9fpta9n","properties":{"formattedCitation":"(54, 55)","plainCitation":"(54, 55)"},"citationItems":[{"id":18,"uris":["http://zotero.org/users/2565720/items/I8WP5J89"],"uri":["http://zotero.org/users/2565720/items/I8WP5J89"],"itemData":{"id":18,"type":"article-journal","title":"Genomically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9D741D" w:rsidRPr="009D741D">
        <w:t>(54, 55)</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w:t>
      </w:r>
      <w:r>
        <w:lastRenderedPageBreak/>
        <w:t xml:space="preserve">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commentRangeStart w:id="4"/>
      <w:r w:rsidR="00F560A7">
        <w:t>M</w:t>
      </w:r>
      <w:r w:rsidR="00F155A9">
        <w:t>etabolism</w:t>
      </w:r>
      <w:commentRangeEnd w:id="4"/>
      <w:r w:rsidR="00FA661C">
        <w:rPr>
          <w:rStyle w:val="CommentReference"/>
          <w:rFonts w:ascii="Calibri" w:eastAsia="Calibri" w:hAnsi="Calibri"/>
          <w:b w:val="0"/>
          <w:bCs w:val="0"/>
          <w:color w:val="auto"/>
        </w:rPr>
        <w:commentReference w:id="4"/>
      </w:r>
    </w:p>
    <w:p w14:paraId="46E3082A" w14:textId="4D84DD17"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111FA8">
        <w:instrText xml:space="preserve"> ADDIN ZOTERO_ITEM CSL_CITATION {"citationID":"iqBtti8T","properties":{"formattedCitation":"(56)","plainCitation":"(56)"},"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111FA8" w:rsidRPr="00111FA8">
        <w:t>(56)</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w:t>
      </w:r>
      <w:r w:rsidR="00111FA8">
        <w:t xml:space="preserve">three-subunit </w:t>
      </w:r>
      <w:proofErr w:type="spellStart"/>
      <w:r w:rsidR="00111FA8">
        <w:t>HdrABC</w:t>
      </w:r>
      <w:proofErr w:type="spellEnd"/>
      <w:r w:rsidR="00111FA8">
        <w:t xml:space="preserve"> complex that lacks </w:t>
      </w:r>
      <w:proofErr w:type="spellStart"/>
      <w:r w:rsidR="00111FA8">
        <w:t>heme</w:t>
      </w:r>
      <w:proofErr w:type="spellEnd"/>
      <w:r w:rsidR="00111FA8">
        <w:t xml:space="preserve">, but contains </w:t>
      </w:r>
      <w:proofErr w:type="spellStart"/>
      <w:r w:rsidR="00111FA8">
        <w:t>flavin</w:t>
      </w:r>
      <w:proofErr w:type="spellEnd"/>
      <w:r w:rsidR="00111FA8">
        <w:t xml:space="preserve"> adenine dinucleotide (FAD)</w:t>
      </w:r>
      <w:r w:rsidR="001F3FCA">
        <w:t xml:space="preserve"> </w:t>
      </w:r>
      <w:r w:rsidR="001F3FCA">
        <w:fldChar w:fldCharType="begin"/>
      </w:r>
      <w:r w:rsidR="00111FA8">
        <w:instrText xml:space="preserve"> ADDIN ZOTERO_ITEM CSL_CITATION {"citationID":"2TagKVgd","properties":{"formattedCitation":"{\\rtf (57\\uc0\\u8211{}59)}","plainCitation":"(57–59)"},"citationItems":[{"id":509,"uris":["http://zotero.org/groups/450273/items/AHFUEX3X"],"uri":["http://zotero.org/groups/450273/items/AHFUEX3X"],"itemData":{"id":509,"type":"article-journal","title":"H2: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k."}],"issued":{"date-parts":[["1988",7,4]]}}}],"schema":"https://github.com/citation-style-language/schema/raw/master/csl-citation.json"} </w:instrText>
      </w:r>
      <w:r w:rsidR="001F3FCA">
        <w:fldChar w:fldCharType="separate"/>
      </w:r>
      <w:r w:rsidR="00111FA8" w:rsidRPr="00111FA8">
        <w:rPr>
          <w:szCs w:val="24"/>
        </w:rPr>
        <w:t>(57–59)</w:t>
      </w:r>
      <w:r w:rsidR="001F3FCA">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5"/>
      <w:r w:rsidR="00DB6DBF">
        <w:t xml:space="preserve">a </w:t>
      </w:r>
      <w:r w:rsidR="007A2E27">
        <w:t>two-step</w:t>
      </w:r>
      <w:r w:rsidR="000433A3">
        <w:t xml:space="preserve"> </w:t>
      </w:r>
      <w:r w:rsidR="007A2E27">
        <w:t xml:space="preserve">transfer of </w:t>
      </w:r>
      <w:r w:rsidR="000433A3">
        <w:t>one electron</w:t>
      </w:r>
      <w:commentRangeEnd w:id="5"/>
      <w:r w:rsidR="007A2E27">
        <w:rPr>
          <w:rStyle w:val="CommentReference"/>
          <w:rFonts w:ascii="Calibri" w:hAnsi="Calibri"/>
        </w:rPr>
        <w:commentReference w:id="5"/>
      </w:r>
      <w:r w:rsidR="000433A3">
        <w:t xml:space="preserve"> </w:t>
      </w:r>
      <w:r w:rsidR="000433A3">
        <w:fldChar w:fldCharType="begin"/>
      </w:r>
      <w:r w:rsidR="00111FA8">
        <w:instrText xml:space="preserve"> ADDIN ZOTERO_ITEM CSL_CITATION {"citationID":"22gbus05qu","properties":{"formattedCitation":"(60, 61)","plainCitation":"(60, 61)"},"citationItems":[{"id":828,"uris":["http://zotero.org/groups/450273/items/VPV9M3H3"],"uri":["http://zotero.org/groups/450273/items/VPV9M3H3"],"itemData":{"id":828,"type":"article-journal","title":"Redox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111FA8" w:rsidRPr="00111FA8">
        <w:t>(60, 61)</w:t>
      </w:r>
      <w:r w:rsidR="000433A3">
        <w:fldChar w:fldCharType="end"/>
      </w:r>
      <w:r w:rsidR="005E7FDF">
        <w:t>.</w:t>
      </w:r>
      <w:r w:rsidR="007C0A49">
        <w:t xml:space="preserve"> </w:t>
      </w:r>
      <w:r w:rsidR="005E7FDF">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111FA8">
        <w:instrText xml:space="preserve"> ADDIN ZOTERO_ITEM CSL_CITATION {"citationID":"1d59omksa9","properties":{"formattedCitation":"(12, 62)","plainCitation":"(12, 62)"},"citationItems":[{"id":555,"uris":["http://zotero.org/groups/450273/items/XD7MVJX3"],"uri":["http://zotero.org/groups/450273/items/XD7MVJX3"],"itemData":{"id":555,"type":"article-journal","title":"Protein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111FA8" w:rsidRPr="00111FA8">
        <w:t>(12, 62)</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9D741D">
        <w:instrText xml:space="preserve"> ADDIN ZOTERO_ITEM CSL_CITATION {"citationID":"hIQcRX3F","properties":{"formattedCitation":"(56)","plainCitation":"(56)"},"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9D741D" w:rsidRPr="009D741D">
        <w:t>(56)</w:t>
      </w:r>
      <w:r w:rsidR="002D7B41">
        <w:fldChar w:fldCharType="end"/>
      </w:r>
      <w:r w:rsidR="003A0B8B">
        <w:t>.</w:t>
      </w:r>
      <w:r w:rsidR="00316621">
        <w:rPr>
          <w:rStyle w:val="CommentReference"/>
          <w:rFonts w:ascii="Calibri" w:hAnsi="Calibri"/>
        </w:rPr>
        <w:commentReference w:id="6"/>
      </w:r>
      <m:oMath>
        <m:r>
          <w:rPr>
            <w:rFonts w:ascii="Cambria Math" w:hAnsi="Cambria Math"/>
          </w:rPr>
          <m:t xml:space="preserve"> </m:t>
        </m:r>
      </m:oMath>
    </w:p>
    <w:p w14:paraId="6A354185" w14:textId="6C2DB787" w:rsidR="00713837" w:rsidRDefault="008D1D61" w:rsidP="00EF5BC0">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p>
    <w:p w14:paraId="40CB1783" w14:textId="755FF660" w:rsidR="001F1D6B" w:rsidRDefault="001F1D6B" w:rsidP="001F1D6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m:rPr>
            <m:sty m:val="p"/>
          </m:rPr>
          <w:rPr>
            <w:rStyle w:val="CommentReference"/>
            <w:rFonts w:ascii="Calibri" w:hAnsi="Calibri"/>
          </w:rPr>
          <w:commentReference w:id="7"/>
        </m:r>
        <m:r>
          <w:rPr>
            <w:rFonts w:ascii="Cambria Math" w:hAnsi="Cambria Math"/>
          </w:rPr>
          <m:t xml:space="preserve"> </m:t>
        </m:r>
      </m:oMath>
      <w:r>
        <w:t xml:space="preserve"> (</w:t>
      </w:r>
      <w:r>
        <w:t xml:space="preserve">Reaction </w:t>
      </w:r>
      <w:r>
        <w:t>1)</w:t>
      </w:r>
    </w:p>
    <w:p w14:paraId="0C69484E" w14:textId="5DE44B77" w:rsidR="00EF5BC0" w:rsidRPr="001F1D6B" w:rsidRDefault="001F1D6B" w:rsidP="00E75F12">
      <w:pPr>
        <w:spacing w:line="480" w:lineRule="auto"/>
        <w:rPr>
          <w:rFonts w:ascii="Cambria Math" w:hAnsi="Cambria Math"/>
        </w:rPr>
      </w:pPr>
      <w:r>
        <w:lastRenderedPageBreak/>
        <w:t>We removed electron bifurcation from this reaction b</w:t>
      </w:r>
      <w:r w:rsidR="008C0DD5">
        <w:t xml:space="preserve">y removing ferredoxin, </w:t>
      </w:r>
      <w:r w:rsidR="00713837">
        <w:t>balancing mass and charge to yield</w:t>
      </w:r>
      <w:r w:rsidR="00316621">
        <w:t xml:space="preserve"> </w:t>
      </w:r>
      <w:r>
        <w:t>an altered reaction (</w:t>
      </w:r>
      <w:r w:rsidR="00E36B6B">
        <w:t>Reaction</w:t>
      </w:r>
      <w:r w:rsidR="00316621">
        <w:t xml:space="preserve"> 2</w:t>
      </w:r>
      <w:r>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w:t>
      </w:r>
      <w:r>
        <w:rPr>
          <w:rFonts w:eastAsia="MS Mincho"/>
        </w:rPr>
        <w:t xml:space="preserve">Reaction </w:t>
      </w:r>
      <w:r>
        <w:rPr>
          <w:rFonts w:eastAsia="MS Mincho"/>
        </w:rPr>
        <w:t>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148DAD3E"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111FA8">
        <w:instrText xml:space="preserve"> ADDIN ZOTERO_ITEM CSL_CITATION {"citationID":"mg5us3ref","properties":{"formattedCitation":"(63)","plainCitation":"(63)"},"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111FA8" w:rsidRPr="00111FA8">
        <w:t>(63)</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111FA8">
        <w:instrText xml:space="preserve"> ADDIN ZOTERO_ITEM CSL_CITATION {"citationID":"1bs1pkv7m0","properties":{"formattedCitation":"(64)","plainCitation":"(64)"},"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111FA8" w:rsidRPr="00111FA8">
        <w:t>(64)</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 xml:space="preserve">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781D3DF2" w:rsidR="00EF5BC0" w:rsidRPr="00EF5BC0" w:rsidRDefault="00EF5BC0" w:rsidP="00E420E6">
      <w:pPr>
        <w:spacing w:line="480" w:lineRule="auto"/>
      </w:pPr>
      <w:commentRangeStart w:id="8"/>
      <w:r>
        <w:lastRenderedPageBreak/>
        <w:t>Interestingly</w:t>
      </w:r>
      <w:commentRangeEnd w:id="8"/>
      <w:r w:rsidR="00BF2DEF">
        <w:rPr>
          <w:rStyle w:val="CommentReference"/>
          <w:rFonts w:ascii="Calibri" w:hAnsi="Calibri"/>
        </w:rPr>
        <w:commentReference w:id="8"/>
      </w:r>
      <w:r>
        <w:t xml:space="preserve">, there is evidence that </w:t>
      </w:r>
      <w:r>
        <w:rPr>
          <w:i/>
        </w:rPr>
        <w:t xml:space="preserve">M. maripaludis </w:t>
      </w:r>
      <w:r>
        <w:t xml:space="preserve">uses multiple forms of ferredoxin as electron carriers and may </w:t>
      </w:r>
      <w:r w:rsidR="00A13870">
        <w:t xml:space="preserve">require discrete ferredoxins for </w:t>
      </w:r>
      <w:r w:rsidR="005D32BC">
        <w:t xml:space="preserve">certain </w:t>
      </w:r>
      <w:r w:rsidR="00A13870">
        <w:t>reactions</w:t>
      </w:r>
      <w:r>
        <w:t xml:space="preserve">, </w:t>
      </w:r>
      <w:r w:rsidR="00A13870">
        <w:t>such as</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w:t>
      </w:r>
      <w:r w:rsidR="00A13870">
        <w:t xml:space="preserve">some </w:t>
      </w:r>
      <w:r w:rsidR="005D32BC">
        <w:t>biosynthetic reactions</w:t>
      </w:r>
      <w:r w:rsidR="00A13870">
        <w:t xml:space="preserve"> </w:t>
      </w:r>
      <w:r>
        <w:fldChar w:fldCharType="begin"/>
      </w:r>
      <w:r w:rsidR="00111FA8">
        <w:instrText xml:space="preserve"> ADDIN ZOTERO_ITEM CSL_CITATION {"citationID":"2g2qvo6ckt","properties":{"formattedCitation":"(65)","plainCitation":"(65)"},"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111FA8" w:rsidRPr="00111FA8">
        <w:t>(65)</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w:t>
      </w:r>
      <w:r w:rsidR="000E429A">
        <w:t xml:space="preserve"> </w:t>
      </w:r>
      <w:r w:rsidR="000E429A">
        <w:fldChar w:fldCharType="begin"/>
      </w:r>
      <w:r w:rsidR="000E429A">
        <w:instrText xml:space="preserve"> ADDIN ZOTERO_ITEM CSL_CITATION {"citationID":"23ekv1u940","properties":{"formattedCitation":"(44)","plainCitation":"(44)"},"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B."}],"issued":{"date-parts":[["2006",2,15]]},"PMID":"16452419"}}],"schema":"https://github.com/citation-style-language/schema/raw/master/csl-citation.json"} </w:instrText>
      </w:r>
      <w:r w:rsidR="000E429A">
        <w:fldChar w:fldCharType="separate"/>
      </w:r>
      <w:r w:rsidR="000E429A" w:rsidRPr="000E429A">
        <w:t>(44)</w:t>
      </w:r>
      <w:r w:rsidR="000E429A">
        <w:fldChar w:fldCharType="end"/>
      </w:r>
      <w:r w:rsidR="000E429A">
        <w:t xml:space="preserve">. </w:t>
      </w:r>
      <w:r w:rsidR="00853534">
        <w:t>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simulations</w:t>
      </w:r>
      <w:r w:rsidR="00BF2DEF" w:rsidRPr="00BF2DEF">
        <w:t xml:space="preserve"> </w:t>
      </w:r>
      <w:r w:rsidR="00BF2DEF">
        <w:t>of wild type cells</w:t>
      </w:r>
      <w:r w:rsidR="00692E06">
        <w:t xml:space="preserve">, this change has </w:t>
      </w:r>
      <w:r w:rsidR="008C0DD5">
        <w:t>minimal</w:t>
      </w:r>
      <w:r w:rsidR="00692E06">
        <w:t xml:space="preserve"> effect</w:t>
      </w:r>
      <w:r w:rsidR="008C0DD5">
        <w:t>s</w:t>
      </w:r>
      <w:r w:rsidR="00692E06">
        <w:t xml:space="preserve"> on predicted </w:t>
      </w:r>
      <w:r w:rsidR="008C0DD5">
        <w:t>growth yields and fluxes</w:t>
      </w:r>
      <w:r w:rsidR="00BF2DEF">
        <w:t>; however, it</w:t>
      </w:r>
      <w:r w:rsidR="00692E06">
        <w:t xml:space="preserve"> could have notable impact on </w:t>
      </w:r>
      <w:commentRangeStart w:id="9"/>
      <w:r w:rsidR="00692E06">
        <w:t>gene knockout predictions</w:t>
      </w:r>
      <w:commentRangeEnd w:id="9"/>
      <w:r w:rsidR="000C3C19">
        <w:rPr>
          <w:rStyle w:val="CommentReference"/>
          <w:rFonts w:ascii="Calibri" w:hAnsi="Calibri"/>
        </w:rPr>
        <w:commentReference w:id="9"/>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2C6839B"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111FA8">
        <w:instrText xml:space="preserve"> ADDIN ZOTERO_ITEM CSL_CITATION {"citationID":"kesh5maA","properties":{"formattedCitation":"(66)","plainCitation":"(66)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111FA8" w:rsidRPr="00111FA8">
        <w:t>(66)</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111FA8">
        <w:instrText xml:space="preserve"> ADDIN ZOTERO_ITEM CSL_CITATION {"citationID":"2i84i863d3","properties":{"formattedCitation":"(67)","plainCitation":"(67)"},"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111FA8" w:rsidRPr="00111FA8">
        <w:t>(67)</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111FA8">
        <w:instrText xml:space="preserve"> ADDIN ZOTERO_ITEM CSL_CITATION {"citationID":"1v1bfrvejb","properties":{"formattedCitation":"(68)","plainCitation":"(68)"},"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111FA8" w:rsidRPr="00111FA8">
        <w:t>(68)</w:t>
      </w:r>
      <w:r w:rsidR="00F45312">
        <w:fldChar w:fldCharType="end"/>
      </w:r>
      <w:r w:rsidR="00F45312">
        <w:t xml:space="preserve">. </w:t>
      </w:r>
      <w:r w:rsidR="00BF0803">
        <w:t>None of these pathways were included in our draft reconstruction and few were completely present in the Model SEED database</w:t>
      </w:r>
      <w:r w:rsidR="000B047B">
        <w:t xml:space="preserve"> </w:t>
      </w:r>
      <w:r w:rsidR="000B047B">
        <w:fldChar w:fldCharType="begin"/>
      </w:r>
      <w:r w:rsidR="000B047B">
        <w:instrText xml:space="preserve"> ADDIN ZOTERO_ITEM CSL_CITATION {"citationID":"OHWVYp2f","properties":{"formattedCitation":"(69)","plainCitation":"(69)"},"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0B047B" w:rsidRPr="000B047B">
        <w:t>(69)</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1194E4DC"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0B047B">
        <w:instrText xml:space="preserve"> ADDIN ZOTERO_ITEM CSL_CITATION {"citationID":"1pmtfiqdui","properties":{"formattedCitation":"(70)","plainCitation":"(70)"},"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0B047B" w:rsidRPr="000B047B">
        <w:t>(70)</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10"/>
      <w:r w:rsidR="00895FB4">
        <w:rPr>
          <w:i/>
        </w:rPr>
        <w:fldChar w:fldCharType="begin"/>
      </w:r>
      <w:r w:rsidR="00895FB4">
        <w:rPr>
          <w:i/>
        </w:rPr>
        <w:instrText xml:space="preserve"> ADDIN ZOTERO_ITEM CSL_CITATION {"citationID":"2ivqp2ppq6","properties":{"formattedCitation":"(71)","plainCitation":"(71)"},"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895FB4" w:rsidRPr="00895FB4">
        <w:t>(71)</w:t>
      </w:r>
      <w:r w:rsidR="00895FB4">
        <w:rPr>
          <w:i/>
        </w:rPr>
        <w:fldChar w:fldCharType="end"/>
      </w:r>
      <w:commentRangeEnd w:id="10"/>
      <w:r w:rsidR="009F44C4">
        <w:rPr>
          <w:rStyle w:val="CommentReference"/>
          <w:rFonts w:ascii="Calibri" w:hAnsi="Calibri"/>
        </w:rPr>
        <w:commentReference w:id="10"/>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commentRangeStart w:id="11"/>
      <w:r w:rsidR="00A923BB">
        <w:t>T</w:t>
      </w:r>
      <w:r w:rsidR="008E0E07">
        <w:t>hese</w:t>
      </w:r>
      <w:commentRangeEnd w:id="11"/>
      <w:r w:rsidR="00A923BB">
        <w:rPr>
          <w:rStyle w:val="CommentReference"/>
          <w:rFonts w:ascii="Calibri" w:hAnsi="Calibri"/>
        </w:rPr>
        <w:commentReference w:id="11"/>
      </w:r>
      <w:r w:rsidR="008E0E07">
        <w:t xml:space="preserve"> modifications </w:t>
      </w:r>
      <w:commentRangeStart w:id="12"/>
      <w:r w:rsidR="008E0E07">
        <w:t>demonstrated t</w:t>
      </w:r>
      <w:commentRangeEnd w:id="12"/>
      <w:r w:rsidR="00743C7D">
        <w:rPr>
          <w:rStyle w:val="CommentReference"/>
          <w:rFonts w:ascii="Calibri" w:hAnsi="Calibri"/>
        </w:rPr>
        <w:commentReference w:id="12"/>
      </w:r>
      <w:r w:rsidR="008E0E07">
        <w:t xml:space="preserve">he need for rigorous manual curation to add known biochemical pathways that were not part of the automated reconstruction and remove pathways that are known not to </w:t>
      </w:r>
      <w:r w:rsidR="008E0E07">
        <w:lastRenderedPageBreak/>
        <w:t xml:space="preserve">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w:t>
      </w:r>
      <w:commentRangeStart w:id="13"/>
      <w:r>
        <w:t>Maintenance</w:t>
      </w:r>
      <w:commentRangeEnd w:id="13"/>
      <w:r w:rsidR="0097575B">
        <w:rPr>
          <w:rStyle w:val="CommentReference"/>
          <w:rFonts w:ascii="Calibri" w:eastAsia="Calibri" w:hAnsi="Calibri"/>
          <w:b w:val="0"/>
          <w:bCs w:val="0"/>
          <w:color w:val="auto"/>
        </w:rPr>
        <w:commentReference w:id="13"/>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6E70FA11"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9D741D">
        <w:instrText xml:space="preserve"> ADDIN ZOTERO_ITEM CSL_CITATION {"citationID":"uin4blve5","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9D741D" w:rsidRPr="009D741D">
        <w:t>(54)</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w:t>
      </w:r>
      <w:r w:rsidR="00FF158A">
        <w:lastRenderedPageBreak/>
        <w:t xml:space="preserve">trained on a separate dataset. </w:t>
      </w:r>
      <w:commentRangeStart w:id="14"/>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commentRangeEnd w:id="14"/>
      <w:r w:rsidR="009C21F5">
        <w:rPr>
          <w:rStyle w:val="CommentReference"/>
          <w:rFonts w:ascii="Calibri" w:hAnsi="Calibri"/>
        </w:rPr>
        <w:commentReference w:id="14"/>
      </w:r>
    </w:p>
    <w:p w14:paraId="6D7FA8D8" w14:textId="6C6DC364"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895FB4">
        <w:rPr>
          <w:i/>
        </w:rPr>
        <w:instrText xml:space="preserve"> ADDIN ZOTERO_ITEM CSL_CITATION {"citationID":"Bcn0Pkvz","properties":{"formattedCitation":"(72)","plainCitation":"(72)"},"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895FB4" w:rsidRPr="00895FB4">
        <w:t>(72)</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commentRangeStart w:id="15"/>
      <w:commentRangeStart w:id="16"/>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15"/>
      <w:r>
        <w:rPr>
          <w:rStyle w:val="CommentReference"/>
          <w:rFonts w:ascii="Calibri" w:hAnsi="Calibri"/>
        </w:rPr>
        <w:commentReference w:id="15"/>
      </w:r>
      <w:commentRangeEnd w:id="16"/>
      <w:r w:rsidR="00785465">
        <w:rPr>
          <w:rStyle w:val="CommentReference"/>
          <w:rFonts w:ascii="Calibri" w:hAnsi="Calibri"/>
        </w:rPr>
        <w:commentReference w:id="16"/>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9D741D">
        <w:instrText xml:space="preserve"> ADDIN ZOTERO_ITEM CSL_CITATION {"citationID":"e6tuams2n","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9D741D" w:rsidRPr="009D741D">
        <w:t>(54)</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9D741D">
        <w:rPr>
          <w:i/>
        </w:rPr>
        <w:instrText xml:space="preserve"> ADDIN ZOTERO_ITEM CSL_CITATION {"citationID":"2n2e4ku1kr","properties":{"formattedCitation":"(54)","plainCitation":"(54)"},"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9D741D" w:rsidRPr="009D741D">
        <w:t>(54)</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00E84D0C"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895FB4">
        <w:rPr>
          <w:i/>
        </w:rPr>
        <w:instrText xml:space="preserve"> ADDIN ZOTERO_ITEM CSL_CITATION {"citationID":"26th8g5t52","properties":{"formattedCitation":"(73)","plainCitation":"(73)"},"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895FB4" w:rsidRPr="00895FB4">
        <w:t>(73)</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895FB4">
        <w:rPr>
          <w:i/>
        </w:rPr>
        <w:instrText xml:space="preserve"> ADDIN ZOTERO_ITEM CSL_CITATION {"citationID":"289b8k3usl","properties":{"formattedCitation":"(74)","plainCitation":"(74)"},"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895FB4" w:rsidRPr="00895FB4">
        <w:t>(74)</w:t>
      </w:r>
      <w:r w:rsidR="001E6ABD">
        <w:rPr>
          <w:i/>
        </w:rPr>
        <w:fldChar w:fldCharType="end"/>
      </w:r>
      <w:r w:rsidR="00676337">
        <w:rPr>
          <w:i/>
        </w:rPr>
        <w:t>.</w:t>
      </w:r>
      <w:r w:rsidR="00243CF0">
        <w:t xml:space="preserve"> </w:t>
      </w:r>
      <w:r w:rsidR="00676337">
        <w:t xml:space="preserve">Although this dataset does not contain the same 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0307CF56"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w:t>
      </w:r>
      <w:r w:rsidR="00650EC2">
        <w:lastRenderedPageBreak/>
        <w:t xml:space="preserve">predict knockouts in central catabolism. In comparing with these data, </w:t>
      </w:r>
      <w:r w:rsidR="00F53CE5">
        <w:t xml:space="preserve">as shown in Figure </w:t>
      </w:r>
      <w:r w:rsidR="009C00DF">
        <w:t>5</w:t>
      </w:r>
      <w:r w:rsidR="009D69A7">
        <w:t xml:space="preserve">,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proofErr w:type="gramStart"/>
      <w:r w:rsidR="00BD779D">
        <w:t>,</w:t>
      </w:r>
      <w:proofErr w:type="gramEnd"/>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t xml:space="preserve">Thermodynamic </w:t>
      </w:r>
      <w:commentRangeStart w:id="17"/>
      <w:r>
        <w:t>Calculations</w:t>
      </w:r>
      <w:commentRangeEnd w:id="17"/>
      <w:r w:rsidR="004C393D">
        <w:rPr>
          <w:rStyle w:val="CommentReference"/>
          <w:rFonts w:ascii="Calibri" w:eastAsia="Calibri" w:hAnsi="Calibri"/>
          <w:b w:val="0"/>
          <w:bCs w:val="0"/>
          <w:color w:val="auto"/>
        </w:rPr>
        <w:commentReference w:id="17"/>
      </w:r>
    </w:p>
    <w:p w14:paraId="0A4A0A49" w14:textId="1243D023" w:rsidR="006D6FE3" w:rsidRDefault="00111F78" w:rsidP="00992E1B">
      <w:pPr>
        <w:spacing w:line="480" w:lineRule="auto"/>
      </w:pPr>
      <w:r>
        <w:t>When simulating</w:t>
      </w:r>
      <w:r w:rsidR="00992E1B">
        <w:t xml:space="preserve"> </w:t>
      </w:r>
      <w:r w:rsidR="004B077E">
        <w:t>optimal growth using a metabolic model</w:t>
      </w:r>
      <w:r w:rsidR="00DA668C">
        <w:t>,</w:t>
      </w:r>
      <w:r w:rsidR="00992E1B">
        <w:t xml:space="preserve"> we expect th</w:t>
      </w:r>
      <w:r w:rsidR="00DA668C">
        <w:t>at our system must necessarily have negative overall free energy to support growth;</w:t>
      </w:r>
      <w:r w:rsidR="00992E1B">
        <w:t xml:space="preserve"> hence we can apply ther</w:t>
      </w:r>
      <w:r w:rsidR="004B077E">
        <w:t xml:space="preserve">modynamic constraints to the model </w:t>
      </w:r>
      <w:r w:rsidR="00992E1B">
        <w:t>based on metabolite free energies of formation. In a previous study, free energies of formation were used to constrain reversibility of all internal model reactions based on the second law of thermodynamics</w:t>
      </w:r>
      <w:r>
        <w:t xml:space="preserve"> </w:t>
      </w:r>
      <w:r>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fldChar w:fldCharType="separate"/>
      </w:r>
      <w:r w:rsidR="007C0A49" w:rsidRPr="007C0A49">
        <w:t>(33)</w:t>
      </w:r>
      <w:r>
        <w:fldChar w:fldCharType="end"/>
      </w:r>
      <w:r>
        <w:t xml:space="preserve">. This method, while rigorous, is highly dependent on concentration and can be overly </w:t>
      </w:r>
      <w:r w:rsidR="004B077E">
        <w:t>restrictive with regard to predicted flux distributions</w:t>
      </w:r>
      <w:r>
        <w:t xml:space="preserve">; thus it is most effective when paired with metabolite </w:t>
      </w:r>
      <w:r w:rsidR="005C589C">
        <w:t xml:space="preserve">effective </w:t>
      </w:r>
      <w:r>
        <w:t xml:space="preserve">concentration data </w:t>
      </w:r>
      <w:r>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fldChar w:fldCharType="separate"/>
      </w:r>
      <w:r w:rsidR="007C0A49" w:rsidRPr="007C0A49">
        <w:t>(34)</w:t>
      </w:r>
      <w:r>
        <w:fldChar w:fldCharType="end"/>
      </w:r>
      <w:r>
        <w:t>.</w:t>
      </w:r>
      <w:r w:rsidR="00673E4C">
        <w:t xml:space="preserve"> </w:t>
      </w:r>
      <w:r>
        <w:t xml:space="preserve">Lacking extensive </w:t>
      </w:r>
      <w:r w:rsidR="005C589C">
        <w:t xml:space="preserve">effective </w:t>
      </w:r>
      <w:r>
        <w:t xml:space="preserve">concentration data for </w:t>
      </w:r>
      <w:r>
        <w:rPr>
          <w:i/>
        </w:rPr>
        <w:t xml:space="preserve">M. maripaludis, </w:t>
      </w:r>
      <w:r>
        <w:t xml:space="preserve">we chose to represent free energy constraints in a </w:t>
      </w:r>
      <w:r w:rsidR="004B077E">
        <w:t xml:space="preserve">novel approach where we add free energies only to exchange reactions, the set of metabolites that can be taken </w:t>
      </w:r>
      <w:r w:rsidR="004B077E">
        <w:lastRenderedPageBreak/>
        <w:t xml:space="preserve">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Indeed, applying this method to our default model growing on H</w:t>
      </w:r>
      <w:r w:rsidR="009E1452" w:rsidRPr="00F44ADB">
        <w:rPr>
          <w:vertAlign w:val="subscript"/>
        </w:rPr>
        <w:t>2</w:t>
      </w:r>
      <w:r w:rsidR="009E1452">
        <w:t xml:space="preserve"> + CO</w:t>
      </w:r>
      <w:r w:rsidR="009E1452" w:rsidRPr="00F44ADB">
        <w:rPr>
          <w:vertAlign w:val="subscript"/>
        </w:rPr>
        <w:t>2</w:t>
      </w:r>
      <w:r w:rsidR="009E1452">
        <w:t xml:space="preserve">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 xml:space="preserve">Supplementary </w:t>
      </w:r>
      <w:commentRangeStart w:id="18"/>
      <w:r w:rsidR="00D52762">
        <w:t>Materials</w:t>
      </w:r>
      <w:commentRangeEnd w:id="18"/>
      <w:r w:rsidR="004C393D">
        <w:rPr>
          <w:rStyle w:val="CommentReference"/>
          <w:rFonts w:ascii="Calibri" w:hAnsi="Calibri"/>
        </w:rPr>
        <w:commentReference w:id="18"/>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9"/>
      </w:r>
    </w:p>
    <w:p w14:paraId="033159FA" w14:textId="770E462A" w:rsidR="00322F94" w:rsidRDefault="00603980" w:rsidP="00603980">
      <w:pPr>
        <w:spacing w:line="480" w:lineRule="auto"/>
      </w:pPr>
      <w:r>
        <w:t>Reconstructing a metabolic network is an iterative process</w:t>
      </w:r>
      <w:r w:rsidR="00253C67">
        <w:t xml:space="preserve">; </w:t>
      </w:r>
      <w:r>
        <w:t xml:space="preserve">therefore, </w:t>
      </w:r>
      <w:r w:rsidR="00253C67">
        <w:t xml:space="preserve">to encourage future updates and expansions, </w:t>
      </w:r>
      <w:r>
        <w:t xml:space="preserve">it is paramount that reconstructions be as clear as possible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895FB4">
        <w:instrText xml:space="preserve"> ADDIN ZOTERO_ITEM CSL_CITATION {"citationID":"ousa9qvtq","properties":{"formattedCitation":"(75)","plainCitation":"(75)"},"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895FB4" w:rsidRPr="00895FB4">
        <w:t>(75)</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 xml:space="preserve">Supplementary </w:t>
      </w:r>
      <w:commentRangeStart w:id="20"/>
      <w:r w:rsidR="00D52762">
        <w:t>Materials</w:t>
      </w:r>
      <w:commentRangeEnd w:id="20"/>
      <w:r w:rsidR="00253C67">
        <w:rPr>
          <w:rStyle w:val="CommentReference"/>
          <w:rFonts w:ascii="Calibri" w:hAnsi="Calibri"/>
        </w:rPr>
        <w:commentReference w:id="20"/>
      </w:r>
      <w:r w:rsidR="00322F94">
        <w:t>).</w:t>
      </w:r>
      <w:r w:rsidR="00992E1B">
        <w:t xml:space="preserve"> </w:t>
      </w:r>
    </w:p>
    <w:p w14:paraId="175583DF" w14:textId="326EA731"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895FB4">
        <w:instrText xml:space="preserve"> ADDIN ZOTERO_ITEM CSL_CITATION {"citationID":"mvn2s0n0e","properties":{"formattedCitation":"(76)","plainCitation":"(76)"},"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895FB4" w:rsidRPr="00895FB4">
        <w:t>(76)</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5A704865"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9D741D">
        <w:instrText xml:space="preserve"> ADDIN ZOTERO_ITEM CSL_CITATION {"citationID":"1dnlomru60","properties":{"formattedCitation":"(28, 54, 55)","plainCitation":"(28, 54, 55)"},"citationItems":[{"id":158,"uris":["http://zotero.org/users/2565720/items/RF9EGGTT"],"uri":["http://zotero.org/users/2565720/items/RF9EGGTT"],"itemData":{"id":158,"type":"article-journal","title":"Genome-Scale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9D741D" w:rsidRPr="009D741D">
        <w:t>(28, 54, 55)</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lastRenderedPageBreak/>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35AB292F" w14:textId="77777777" w:rsidR="00895FB4" w:rsidRDefault="00A40676" w:rsidP="00895FB4">
      <w:pPr>
        <w:pStyle w:val="Bibliography"/>
      </w:pPr>
      <w:r>
        <w:fldChar w:fldCharType="begin"/>
      </w:r>
      <w:r w:rsidR="00DA668C">
        <w:instrText xml:space="preserve"> ADDIN ZOTERO_BIBL {"custom":[]} CSL_BIBLIOGRAPHY </w:instrText>
      </w:r>
      <w:r>
        <w:fldChar w:fldCharType="separate"/>
      </w:r>
      <w:r w:rsidR="00895FB4">
        <w:t xml:space="preserve">1. </w:t>
      </w:r>
      <w:r w:rsidR="00895FB4">
        <w:tab/>
      </w:r>
      <w:proofErr w:type="spellStart"/>
      <w:r w:rsidR="00895FB4">
        <w:t>Kirschke</w:t>
      </w:r>
      <w:proofErr w:type="spellEnd"/>
      <w:r w:rsidR="00895FB4">
        <w:t xml:space="preserve"> S, </w:t>
      </w:r>
      <w:proofErr w:type="spellStart"/>
      <w:r w:rsidR="00895FB4">
        <w:t>Bousquet</w:t>
      </w:r>
      <w:proofErr w:type="spellEnd"/>
      <w:r w:rsidR="00895FB4">
        <w:t xml:space="preserve"> P, </w:t>
      </w:r>
      <w:proofErr w:type="spellStart"/>
      <w:r w:rsidR="00895FB4">
        <w:t>Ciais</w:t>
      </w:r>
      <w:proofErr w:type="spellEnd"/>
      <w:r w:rsidR="00895FB4">
        <w:t xml:space="preserve"> P, </w:t>
      </w:r>
      <w:proofErr w:type="spellStart"/>
      <w:r w:rsidR="00895FB4">
        <w:t>Saunois</w:t>
      </w:r>
      <w:proofErr w:type="spellEnd"/>
      <w:r w:rsidR="00895FB4">
        <w:t xml:space="preserve"> M, </w:t>
      </w:r>
      <w:proofErr w:type="spellStart"/>
      <w:r w:rsidR="00895FB4">
        <w:t>Canadell</w:t>
      </w:r>
      <w:proofErr w:type="spellEnd"/>
      <w:r w:rsidR="00895FB4">
        <w:t xml:space="preserve"> JG, </w:t>
      </w:r>
      <w:proofErr w:type="spellStart"/>
      <w:r w:rsidR="00895FB4">
        <w:t>Dlugokencky</w:t>
      </w:r>
      <w:proofErr w:type="spellEnd"/>
      <w:r w:rsidR="00895FB4">
        <w:t xml:space="preserve"> EJ, Bergamaschi P, Bergmann D, Blake DR, </w:t>
      </w:r>
      <w:proofErr w:type="spellStart"/>
      <w:r w:rsidR="00895FB4">
        <w:t>Bruhwiler</w:t>
      </w:r>
      <w:proofErr w:type="spellEnd"/>
      <w:r w:rsidR="00895FB4">
        <w:t xml:space="preserve"> L, Cameron-Smith P, </w:t>
      </w:r>
      <w:proofErr w:type="spellStart"/>
      <w:r w:rsidR="00895FB4">
        <w:t>Castaldi</w:t>
      </w:r>
      <w:proofErr w:type="spellEnd"/>
      <w:r w:rsidR="00895FB4">
        <w:t xml:space="preserve"> S, </w:t>
      </w:r>
      <w:proofErr w:type="spellStart"/>
      <w:r w:rsidR="00895FB4">
        <w:t>Chevallier</w:t>
      </w:r>
      <w:proofErr w:type="spellEnd"/>
      <w:r w:rsidR="00895FB4">
        <w:t xml:space="preserve"> F, Feng L, Fraser A, </w:t>
      </w:r>
      <w:proofErr w:type="spellStart"/>
      <w:r w:rsidR="00895FB4">
        <w:t>Heimann</w:t>
      </w:r>
      <w:proofErr w:type="spellEnd"/>
      <w:r w:rsidR="00895FB4">
        <w:t xml:space="preserve"> M, </w:t>
      </w:r>
      <w:proofErr w:type="spellStart"/>
      <w:r w:rsidR="00895FB4">
        <w:t>Hodson</w:t>
      </w:r>
      <w:proofErr w:type="spellEnd"/>
      <w:r w:rsidR="00895FB4">
        <w:t xml:space="preserve"> EL, </w:t>
      </w:r>
      <w:proofErr w:type="spellStart"/>
      <w:r w:rsidR="00895FB4">
        <w:t>Houweling</w:t>
      </w:r>
      <w:proofErr w:type="spellEnd"/>
      <w:r w:rsidR="00895FB4">
        <w:t xml:space="preserve"> S, </w:t>
      </w:r>
      <w:proofErr w:type="spellStart"/>
      <w:r w:rsidR="00895FB4">
        <w:t>Josse</w:t>
      </w:r>
      <w:proofErr w:type="spellEnd"/>
      <w:r w:rsidR="00895FB4">
        <w:t xml:space="preserve"> B, Fraser PJ, </w:t>
      </w:r>
      <w:proofErr w:type="spellStart"/>
      <w:r w:rsidR="00895FB4">
        <w:t>Krummel</w:t>
      </w:r>
      <w:proofErr w:type="spellEnd"/>
      <w:r w:rsidR="00895FB4">
        <w:t xml:space="preserve"> PB, </w:t>
      </w:r>
      <w:proofErr w:type="spellStart"/>
      <w:r w:rsidR="00895FB4">
        <w:t>Lamarque</w:t>
      </w:r>
      <w:proofErr w:type="spellEnd"/>
      <w:r w:rsidR="00895FB4">
        <w:t xml:space="preserve"> J-F, </w:t>
      </w:r>
      <w:proofErr w:type="spellStart"/>
      <w:r w:rsidR="00895FB4">
        <w:t>Langenfelds</w:t>
      </w:r>
      <w:proofErr w:type="spellEnd"/>
      <w:r w:rsidR="00895FB4">
        <w:t xml:space="preserve"> RL, Le </w:t>
      </w:r>
      <w:proofErr w:type="spellStart"/>
      <w:r w:rsidR="00895FB4">
        <w:t>Quéré</w:t>
      </w:r>
      <w:proofErr w:type="spellEnd"/>
      <w:r w:rsidR="00895FB4">
        <w:t xml:space="preserve"> C, </w:t>
      </w:r>
      <w:proofErr w:type="spellStart"/>
      <w:r w:rsidR="00895FB4">
        <w:t>Naik</w:t>
      </w:r>
      <w:proofErr w:type="spellEnd"/>
      <w:r w:rsidR="00895FB4">
        <w:t xml:space="preserve"> V, </w:t>
      </w:r>
      <w:proofErr w:type="spellStart"/>
      <w:r w:rsidR="00895FB4">
        <w:t>O’Doherty</w:t>
      </w:r>
      <w:proofErr w:type="spellEnd"/>
      <w:r w:rsidR="00895FB4">
        <w:t xml:space="preserve"> S, Palmer PI, </w:t>
      </w:r>
      <w:proofErr w:type="spellStart"/>
      <w:r w:rsidR="00895FB4">
        <w:t>Pison</w:t>
      </w:r>
      <w:proofErr w:type="spellEnd"/>
      <w:r w:rsidR="00895FB4">
        <w:t xml:space="preserve"> I, Plummer D, </w:t>
      </w:r>
      <w:proofErr w:type="spellStart"/>
      <w:r w:rsidR="00895FB4">
        <w:t>Poulter</w:t>
      </w:r>
      <w:proofErr w:type="spellEnd"/>
      <w:r w:rsidR="00895FB4">
        <w:t xml:space="preserve"> B, </w:t>
      </w:r>
      <w:proofErr w:type="spellStart"/>
      <w:r w:rsidR="00895FB4">
        <w:t>Prinn</w:t>
      </w:r>
      <w:proofErr w:type="spellEnd"/>
      <w:r w:rsidR="00895FB4">
        <w:t xml:space="preserve"> RG, Rigby M, </w:t>
      </w:r>
      <w:proofErr w:type="spellStart"/>
      <w:r w:rsidR="00895FB4">
        <w:t>Ringeval</w:t>
      </w:r>
      <w:proofErr w:type="spellEnd"/>
      <w:r w:rsidR="00895FB4">
        <w:t xml:space="preserve"> B, </w:t>
      </w:r>
      <w:proofErr w:type="spellStart"/>
      <w:r w:rsidR="00895FB4">
        <w:t>Santini</w:t>
      </w:r>
      <w:proofErr w:type="spellEnd"/>
      <w:r w:rsidR="00895FB4">
        <w:t xml:space="preserve"> M, Schmidt M, </w:t>
      </w:r>
      <w:proofErr w:type="spellStart"/>
      <w:r w:rsidR="00895FB4">
        <w:t>Shindell</w:t>
      </w:r>
      <w:proofErr w:type="spellEnd"/>
      <w:r w:rsidR="00895FB4">
        <w:t xml:space="preserve"> DT, Simpson IJ, </w:t>
      </w:r>
      <w:proofErr w:type="spellStart"/>
      <w:r w:rsidR="00895FB4">
        <w:t>Spahni</w:t>
      </w:r>
      <w:proofErr w:type="spellEnd"/>
      <w:r w:rsidR="00895FB4">
        <w:t xml:space="preserve"> R, Steele LP, Strode SA, </w:t>
      </w:r>
      <w:proofErr w:type="spellStart"/>
      <w:r w:rsidR="00895FB4">
        <w:t>Sudo</w:t>
      </w:r>
      <w:proofErr w:type="spellEnd"/>
      <w:r w:rsidR="00895FB4">
        <w:t xml:space="preserve"> K, </w:t>
      </w:r>
      <w:proofErr w:type="spellStart"/>
      <w:r w:rsidR="00895FB4">
        <w:t>Szopa</w:t>
      </w:r>
      <w:proofErr w:type="spellEnd"/>
      <w:r w:rsidR="00895FB4">
        <w:t xml:space="preserve"> S, van der </w:t>
      </w:r>
      <w:proofErr w:type="spellStart"/>
      <w:r w:rsidR="00895FB4">
        <w:t>Werf</w:t>
      </w:r>
      <w:proofErr w:type="spellEnd"/>
      <w:r w:rsidR="00895FB4">
        <w:t xml:space="preserve"> GR, </w:t>
      </w:r>
      <w:proofErr w:type="spellStart"/>
      <w:r w:rsidR="00895FB4">
        <w:t>Voulgarakis</w:t>
      </w:r>
      <w:proofErr w:type="spellEnd"/>
      <w:r w:rsidR="00895FB4">
        <w:t xml:space="preserve"> A, van </w:t>
      </w:r>
      <w:proofErr w:type="spellStart"/>
      <w:r w:rsidR="00895FB4">
        <w:t>Weele</w:t>
      </w:r>
      <w:proofErr w:type="spellEnd"/>
      <w:r w:rsidR="00895FB4">
        <w:t xml:space="preserve"> M, Weiss RF, Williams JE, Zeng G. 2013. Three decades of global methane sources and sinks. Nat </w:t>
      </w:r>
      <w:proofErr w:type="spellStart"/>
      <w:r w:rsidR="00895FB4">
        <w:t>Geosci</w:t>
      </w:r>
      <w:proofErr w:type="spellEnd"/>
      <w:r w:rsidR="00895FB4">
        <w:t xml:space="preserve"> 6:813–823.</w:t>
      </w:r>
    </w:p>
    <w:p w14:paraId="0257B1A4" w14:textId="77777777" w:rsidR="00895FB4" w:rsidRDefault="00895FB4" w:rsidP="00895FB4">
      <w:pPr>
        <w:pStyle w:val="Bibliography"/>
      </w:pPr>
      <w:r>
        <w:t xml:space="preserve">2.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79469194" w14:textId="77777777" w:rsidR="00895FB4" w:rsidRDefault="00895FB4" w:rsidP="00895FB4">
      <w:pPr>
        <w:pStyle w:val="Bibliography"/>
      </w:pPr>
      <w:r>
        <w:t xml:space="preserve">3. </w:t>
      </w:r>
      <w:r>
        <w:tab/>
        <w:t xml:space="preserve">Levi M. 2013. </w:t>
      </w:r>
      <w:proofErr w:type="gramStart"/>
      <w:r>
        <w:t>Climate consequences of natural gas as a bridge fuel.</w:t>
      </w:r>
      <w:proofErr w:type="gramEnd"/>
      <w:r>
        <w:t xml:space="preserve"> </w:t>
      </w:r>
      <w:proofErr w:type="spellStart"/>
      <w:r>
        <w:t>Clim</w:t>
      </w:r>
      <w:proofErr w:type="spellEnd"/>
      <w:r>
        <w:t xml:space="preserve"> Change 118:609–623.</w:t>
      </w:r>
    </w:p>
    <w:p w14:paraId="234BD308" w14:textId="77777777" w:rsidR="00895FB4" w:rsidRDefault="00895FB4" w:rsidP="00895FB4">
      <w:pPr>
        <w:pStyle w:val="Bibliography"/>
      </w:pPr>
      <w:r>
        <w:t xml:space="preserve">4. </w:t>
      </w:r>
      <w:r>
        <w:tab/>
        <w:t xml:space="preserve">Mueller TJ, </w:t>
      </w:r>
      <w:proofErr w:type="spellStart"/>
      <w:r>
        <w:t>Grisewood</w:t>
      </w:r>
      <w:proofErr w:type="spellEnd"/>
      <w:r>
        <w:t xml:space="preserve"> MJ, Nazem-</w:t>
      </w:r>
      <w:proofErr w:type="spellStart"/>
      <w:r>
        <w:t>Bokaee</w:t>
      </w:r>
      <w:proofErr w:type="spellEnd"/>
      <w:r>
        <w:t xml:space="preserve"> H, </w:t>
      </w:r>
      <w:proofErr w:type="spellStart"/>
      <w:r>
        <w:t>Gopalakrishnan</w:t>
      </w:r>
      <w:proofErr w:type="spellEnd"/>
      <w:r>
        <w:t xml:space="preserve"> S, Ferry JG, Wood TK, </w:t>
      </w:r>
      <w:proofErr w:type="spellStart"/>
      <w:r>
        <w:t>Maranas</w:t>
      </w:r>
      <w:proofErr w:type="spellEnd"/>
      <w:r>
        <w:t xml:space="preserve"> CD.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42:391–401.</w:t>
      </w:r>
    </w:p>
    <w:p w14:paraId="2EEB927A" w14:textId="77777777" w:rsidR="00895FB4" w:rsidRDefault="00895FB4" w:rsidP="00895FB4">
      <w:pPr>
        <w:pStyle w:val="Bibliography"/>
      </w:pPr>
      <w:r>
        <w:t xml:space="preserve">5. </w:t>
      </w:r>
      <w:r>
        <w:tab/>
      </w:r>
      <w:proofErr w:type="spellStart"/>
      <w:r>
        <w:t>Montzka</w:t>
      </w:r>
      <w:proofErr w:type="spellEnd"/>
      <w:r>
        <w:t xml:space="preserve"> SA, </w:t>
      </w:r>
      <w:proofErr w:type="spellStart"/>
      <w:r>
        <w:t>Dlugokencky</w:t>
      </w:r>
      <w:proofErr w:type="spellEnd"/>
      <w:r>
        <w:t xml:space="preserve"> EJ, Butler JH. 2011. Non-CO2 greenhouse gases and climate change. Nature 476:43–50.</w:t>
      </w:r>
    </w:p>
    <w:p w14:paraId="1E5F317B" w14:textId="77777777" w:rsidR="00895FB4" w:rsidRDefault="00895FB4" w:rsidP="00895FB4">
      <w:pPr>
        <w:pStyle w:val="Bibliography"/>
      </w:pPr>
      <w:r>
        <w:t xml:space="preserve">6. </w:t>
      </w:r>
      <w:r>
        <w:tab/>
        <w:t xml:space="preserve">Haynes CA, Gonzalez R. 2014. </w:t>
      </w:r>
      <w:proofErr w:type="gramStart"/>
      <w:r>
        <w:t>Rethinking biological activation of methane and conversion to liquid fuels.</w:t>
      </w:r>
      <w:proofErr w:type="gramEnd"/>
      <w:r>
        <w:t xml:space="preserve"> Nat </w:t>
      </w:r>
      <w:proofErr w:type="spellStart"/>
      <w:r>
        <w:t>Chem</w:t>
      </w:r>
      <w:proofErr w:type="spellEnd"/>
      <w:r>
        <w:t xml:space="preserve"> </w:t>
      </w:r>
      <w:proofErr w:type="spellStart"/>
      <w:r>
        <w:t>Biol</w:t>
      </w:r>
      <w:proofErr w:type="spellEnd"/>
      <w:r>
        <w:t xml:space="preserve"> 10:331–339.</w:t>
      </w:r>
    </w:p>
    <w:p w14:paraId="44FA0962" w14:textId="77777777" w:rsidR="00895FB4" w:rsidRDefault="00895FB4" w:rsidP="00895FB4">
      <w:pPr>
        <w:pStyle w:val="Bibliography"/>
      </w:pPr>
      <w:r>
        <w:t xml:space="preserve">7.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4746DC4D" w14:textId="77777777" w:rsidR="00895FB4" w:rsidRDefault="00895FB4" w:rsidP="00895FB4">
      <w:pPr>
        <w:pStyle w:val="Bibliography"/>
      </w:pPr>
      <w:r>
        <w:t xml:space="preserve">8. </w:t>
      </w:r>
      <w:r>
        <w:tab/>
        <w:t xml:space="preserve"> </w:t>
      </w:r>
      <w:proofErr w:type="gramStart"/>
      <w:r>
        <w:t>structure</w:t>
      </w:r>
      <w:proofErr w:type="gramEnd"/>
      <w:r>
        <w:t xml:space="preserve"> of </w:t>
      </w:r>
      <w:proofErr w:type="spellStart"/>
      <w:r>
        <w:t>func</w:t>
      </w:r>
      <w:proofErr w:type="spellEnd"/>
      <w:r>
        <w:t xml:space="preserve"> of enzymes H2CO2 pathway 2002.pdf.</w:t>
      </w:r>
    </w:p>
    <w:p w14:paraId="047E5ECD" w14:textId="77777777" w:rsidR="00895FB4" w:rsidRDefault="00895FB4" w:rsidP="00895FB4">
      <w:pPr>
        <w:pStyle w:val="Bibliography"/>
      </w:pPr>
      <w:r>
        <w:t xml:space="preserve">9. </w:t>
      </w:r>
      <w:r>
        <w:tab/>
        <w:t xml:space="preserve">Costa KC, Leigh JA. 2014. Metabolic versatility in methanogens.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29:70–75.</w:t>
      </w:r>
    </w:p>
    <w:p w14:paraId="7F07965E" w14:textId="77777777" w:rsidR="00895FB4" w:rsidRDefault="00895FB4" w:rsidP="00895FB4">
      <w:pPr>
        <w:pStyle w:val="Bibliography"/>
      </w:pPr>
      <w:r>
        <w:t xml:space="preserve">10. </w:t>
      </w:r>
      <w:r>
        <w:tab/>
      </w:r>
      <w:proofErr w:type="spellStart"/>
      <w:r>
        <w:t>Welte</w:t>
      </w:r>
      <w:proofErr w:type="spellEnd"/>
      <w:r>
        <w:t xml:space="preserve"> C, </w:t>
      </w:r>
      <w:proofErr w:type="spellStart"/>
      <w:r>
        <w:t>Deppenmeier</w:t>
      </w:r>
      <w:proofErr w:type="spellEnd"/>
      <w:r>
        <w:t xml:space="preserve"> U. 2014. </w:t>
      </w:r>
      <w:proofErr w:type="gramStart"/>
      <w:r>
        <w:t xml:space="preserve">Bioenergetics and anaerobic respiratory chains of </w:t>
      </w:r>
      <w:proofErr w:type="spellStart"/>
      <w:r>
        <w:t>aceticlastic</w:t>
      </w:r>
      <w:proofErr w:type="spellEnd"/>
      <w:r>
        <w:t xml:space="preserve"> methanogens.</w:t>
      </w:r>
      <w:proofErr w:type="gramEnd"/>
      <w:r>
        <w:t xml:space="preserv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1837:1130–1147.</w:t>
      </w:r>
    </w:p>
    <w:p w14:paraId="61208151" w14:textId="77777777" w:rsidR="00895FB4" w:rsidRDefault="00895FB4" w:rsidP="00895FB4">
      <w:pPr>
        <w:pStyle w:val="Bibliography"/>
      </w:pPr>
      <w:r>
        <w:t xml:space="preserve">11. </w:t>
      </w:r>
      <w:r>
        <w:tab/>
      </w:r>
      <w:proofErr w:type="spellStart"/>
      <w:r>
        <w:t>Heiden</w:t>
      </w:r>
      <w:proofErr w:type="spellEnd"/>
      <w:r>
        <w:t xml:space="preserve"> S, </w:t>
      </w:r>
      <w:proofErr w:type="spellStart"/>
      <w:r>
        <w:t>Hedderich</w:t>
      </w:r>
      <w:proofErr w:type="spellEnd"/>
      <w:r>
        <w:t xml:space="preserve"> R, </w:t>
      </w:r>
      <w:proofErr w:type="spellStart"/>
      <w:r>
        <w:t>Setzke</w:t>
      </w:r>
      <w:proofErr w:type="spellEnd"/>
      <w:r>
        <w:t xml:space="preserve"> E, </w:t>
      </w:r>
      <w:proofErr w:type="spellStart"/>
      <w:r>
        <w:t>Thauer</w:t>
      </w:r>
      <w:proofErr w:type="spellEnd"/>
      <w:r>
        <w:t xml:space="preserve"> RK. 1993. Purification of a cytochrome b containing H2</w:t>
      </w:r>
      <w:proofErr w:type="gramStart"/>
      <w:r>
        <w:t>:heterodisulfide</w:t>
      </w:r>
      <w:proofErr w:type="gramEnd"/>
      <w:r>
        <w:t xml:space="preserve"> oxidoreductase complex from membranes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Eur</w:t>
      </w:r>
      <w:proofErr w:type="spellEnd"/>
      <w:r>
        <w:t xml:space="preserve"> J </w:t>
      </w:r>
      <w:proofErr w:type="spellStart"/>
      <w:r>
        <w:t>Biochem</w:t>
      </w:r>
      <w:proofErr w:type="spellEnd"/>
      <w:r>
        <w:t xml:space="preserve"> 213:529–535.</w:t>
      </w:r>
    </w:p>
    <w:p w14:paraId="370DF34B" w14:textId="77777777" w:rsidR="00895FB4" w:rsidRDefault="00895FB4" w:rsidP="00895FB4">
      <w:pPr>
        <w:pStyle w:val="Bibliography"/>
      </w:pPr>
      <w:r>
        <w:t xml:space="preserve">12. </w:t>
      </w:r>
      <w:r>
        <w:tab/>
      </w:r>
      <w:proofErr w:type="spellStart"/>
      <w:r>
        <w:t>Kaster</w:t>
      </w:r>
      <w:proofErr w:type="spellEnd"/>
      <w:r>
        <w:t xml:space="preserve"> A-K, Moll J, </w:t>
      </w:r>
      <w:proofErr w:type="spellStart"/>
      <w:r>
        <w:t>Parey</w:t>
      </w:r>
      <w:proofErr w:type="spellEnd"/>
      <w:r>
        <w:t xml:space="preserve"> K, </w:t>
      </w:r>
      <w:proofErr w:type="spellStart"/>
      <w:r>
        <w:t>Thauer</w:t>
      </w:r>
      <w:proofErr w:type="spellEnd"/>
      <w:r>
        <w:t xml:space="preserve"> RK. 2011. Coupling of ferredoxin and heterodisulfide reduction via electron bifurcation in hydrogenotrophic methanogenic archaea. Proc Natl </w:t>
      </w:r>
      <w:proofErr w:type="spellStart"/>
      <w:r>
        <w:t>Acad</w:t>
      </w:r>
      <w:proofErr w:type="spellEnd"/>
      <w:r>
        <w:t xml:space="preserve"> </w:t>
      </w:r>
      <w:proofErr w:type="spellStart"/>
      <w:r>
        <w:t>Sci</w:t>
      </w:r>
      <w:proofErr w:type="spellEnd"/>
      <w:r>
        <w:t xml:space="preserve"> 108:2981–2986.</w:t>
      </w:r>
    </w:p>
    <w:p w14:paraId="2D3B492E" w14:textId="77777777" w:rsidR="00895FB4" w:rsidRDefault="00895FB4" w:rsidP="00895FB4">
      <w:pPr>
        <w:pStyle w:val="Bibliography"/>
      </w:pPr>
      <w:r>
        <w:t xml:space="preserve">13. </w:t>
      </w:r>
      <w:r>
        <w:tab/>
        <w:t xml:space="preserve">Jones WJ, Paynter MJB, Gupta R. 1983. Characterization of </w:t>
      </w:r>
      <w:proofErr w:type="spellStart"/>
      <w:r>
        <w:rPr>
          <w:i/>
          <w:iCs/>
        </w:rPr>
        <w:t>Methanococcus</w:t>
      </w:r>
      <w:proofErr w:type="spellEnd"/>
      <w:r>
        <w:rPr>
          <w:i/>
          <w:iCs/>
        </w:rPr>
        <w:t xml:space="preserve">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135:91–97.</w:t>
      </w:r>
    </w:p>
    <w:p w14:paraId="567347BF" w14:textId="77777777" w:rsidR="00895FB4" w:rsidRDefault="00895FB4" w:rsidP="00895FB4">
      <w:pPr>
        <w:pStyle w:val="Bibliography"/>
      </w:pPr>
      <w:r>
        <w:t xml:space="preserve">14. </w:t>
      </w:r>
      <w:r>
        <w:tab/>
        <w:t xml:space="preserve">Hendrickson EL, </w:t>
      </w:r>
      <w:proofErr w:type="spellStart"/>
      <w:r>
        <w:t>Kaul</w:t>
      </w:r>
      <w:proofErr w:type="spellEnd"/>
      <w:r>
        <w:t xml:space="preserve"> R, Zhou Y, </w:t>
      </w:r>
      <w:proofErr w:type="spellStart"/>
      <w:r>
        <w:t>Bovee</w:t>
      </w:r>
      <w:proofErr w:type="spellEnd"/>
      <w:r>
        <w:t xml:space="preserve"> D, Chapman P, Chung J, </w:t>
      </w:r>
      <w:proofErr w:type="spellStart"/>
      <w:r>
        <w:t>Macario</w:t>
      </w:r>
      <w:proofErr w:type="spellEnd"/>
      <w:r>
        <w:t xml:space="preserve"> EC de, </w:t>
      </w:r>
      <w:proofErr w:type="spellStart"/>
      <w:r>
        <w:t>Dodsworth</w:t>
      </w:r>
      <w:proofErr w:type="spellEnd"/>
      <w:r>
        <w:t xml:space="preserve"> JA, Gillett W, Graham DE, Hackett M, Haydock AK, Kang A, Land ML, Levy R, Lie TJ, Major TA, Moore BC, </w:t>
      </w:r>
      <w:proofErr w:type="spellStart"/>
      <w:r>
        <w:t>Porat</w:t>
      </w:r>
      <w:proofErr w:type="spellEnd"/>
      <w:r>
        <w:t xml:space="preserve"> I, </w:t>
      </w:r>
      <w:proofErr w:type="spellStart"/>
      <w:r>
        <w:t>Palmeiri</w:t>
      </w:r>
      <w:proofErr w:type="spellEnd"/>
      <w:r>
        <w:t xml:space="preserve"> A, Rouse G, </w:t>
      </w:r>
      <w:proofErr w:type="spellStart"/>
      <w:r>
        <w:t>Saenphimmachak</w:t>
      </w:r>
      <w:proofErr w:type="spellEnd"/>
      <w:r>
        <w:t xml:space="preserve"> C, </w:t>
      </w:r>
      <w:proofErr w:type="spellStart"/>
      <w:r>
        <w:t>Söll</w:t>
      </w:r>
      <w:proofErr w:type="spellEnd"/>
      <w:r>
        <w:t xml:space="preserve"> D, </w:t>
      </w:r>
      <w:proofErr w:type="spellStart"/>
      <w:r>
        <w:t>Dien</w:t>
      </w:r>
      <w:proofErr w:type="spellEnd"/>
      <w:r>
        <w:t xml:space="preserve"> SV, Wang T, Whitman WB, Xia Q, Zhang Y, Larimer FW, Olson MV, Leigh JA. 2004. Complete Genome Sequence of the Genetically Tractable Hydrogenotrophic Methanogen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186:6956–6969.</w:t>
      </w:r>
    </w:p>
    <w:p w14:paraId="1F9442A8" w14:textId="77777777" w:rsidR="00895FB4" w:rsidRDefault="00895FB4" w:rsidP="00895FB4">
      <w:pPr>
        <w:pStyle w:val="Bibliography"/>
      </w:pPr>
      <w:r>
        <w:t xml:space="preserve">15. </w:t>
      </w:r>
      <w:r>
        <w:tab/>
        <w:t xml:space="preserve">Sarmiento FB, Leigh JA, Whitman WB. 2011. Genetic systems for hydrogenotrophic methanogens. Methods </w:t>
      </w:r>
      <w:proofErr w:type="spellStart"/>
      <w:r>
        <w:t>Enzymol</w:t>
      </w:r>
      <w:proofErr w:type="spellEnd"/>
      <w:r>
        <w:t xml:space="preserve"> 494:43–73.</w:t>
      </w:r>
    </w:p>
    <w:p w14:paraId="15CDD976" w14:textId="77777777" w:rsidR="00895FB4" w:rsidRDefault="00895FB4" w:rsidP="00895FB4">
      <w:pPr>
        <w:pStyle w:val="Bibliography"/>
      </w:pPr>
      <w:r>
        <w:t xml:space="preserve">16. </w:t>
      </w:r>
      <w:r>
        <w:tab/>
        <w:t>Graham DE, White RH. 2002. Elucidation of methanogenic coenzyme biosyntheses: from spectroscopy to genomics. Nat Prod Rep 19:133–147.</w:t>
      </w:r>
    </w:p>
    <w:p w14:paraId="151C40B6" w14:textId="77777777" w:rsidR="00895FB4" w:rsidRDefault="00895FB4" w:rsidP="00895FB4">
      <w:pPr>
        <w:pStyle w:val="Bibliography"/>
      </w:pPr>
      <w:r>
        <w:lastRenderedPageBreak/>
        <w:t xml:space="preserve">17. </w:t>
      </w:r>
      <w:r>
        <w:tab/>
        <w:t xml:space="preserve">Stock T, </w:t>
      </w:r>
      <w:proofErr w:type="spellStart"/>
      <w:r>
        <w:t>Selzer</w:t>
      </w:r>
      <w:proofErr w:type="spellEnd"/>
      <w:r>
        <w:t xml:space="preserve"> M, Connery S, </w:t>
      </w:r>
      <w:proofErr w:type="spellStart"/>
      <w:r>
        <w:t>Seyhan</w:t>
      </w:r>
      <w:proofErr w:type="spellEnd"/>
      <w:r>
        <w:t xml:space="preserve"> D, Resch A, </w:t>
      </w:r>
      <w:proofErr w:type="spellStart"/>
      <w:r>
        <w:t>Rother</w:t>
      </w:r>
      <w:proofErr w:type="spellEnd"/>
      <w:r>
        <w:t xml:space="preserve"> M. 2011. Disruption and complementation of the </w:t>
      </w:r>
      <w:proofErr w:type="spellStart"/>
      <w:r>
        <w:t>selenocysteine</w:t>
      </w:r>
      <w:proofErr w:type="spellEnd"/>
      <w:r>
        <w:t xml:space="preserve"> biosynthesis pathway reveals a hierarchy of </w:t>
      </w:r>
      <w:proofErr w:type="spellStart"/>
      <w:r>
        <w:t>selenoprotein</w:t>
      </w:r>
      <w:proofErr w:type="spellEnd"/>
      <w:r>
        <w:t xml:space="preserve"> gene expression in the archaeon </w:t>
      </w:r>
      <w:proofErr w:type="spellStart"/>
      <w:r>
        <w:rPr>
          <w:i/>
          <w:iCs/>
        </w:rPr>
        <w:t>Methanococcus</w:t>
      </w:r>
      <w:proofErr w:type="spellEnd"/>
      <w:r>
        <w:rPr>
          <w:i/>
          <w:iCs/>
        </w:rPr>
        <w:t xml:space="preserve"> maripaludis</w:t>
      </w:r>
      <w:r>
        <w:t xml:space="preserve">. </w:t>
      </w:r>
      <w:proofErr w:type="spellStart"/>
      <w:r>
        <w:t>Mol</w:t>
      </w:r>
      <w:proofErr w:type="spellEnd"/>
      <w:r>
        <w:t xml:space="preserve"> </w:t>
      </w:r>
      <w:proofErr w:type="spellStart"/>
      <w:r>
        <w:t>Microbiol</w:t>
      </w:r>
      <w:proofErr w:type="spellEnd"/>
      <w:r>
        <w:t xml:space="preserve"> 82:734–747.</w:t>
      </w:r>
    </w:p>
    <w:p w14:paraId="77EB4C79" w14:textId="77777777" w:rsidR="00895FB4" w:rsidRDefault="00895FB4" w:rsidP="00895FB4">
      <w:pPr>
        <w:pStyle w:val="Bibliography"/>
      </w:pPr>
      <w:r>
        <w:t xml:space="preserve">18. </w:t>
      </w:r>
      <w:r>
        <w:tab/>
        <w:t xml:space="preserve">Haydock AK, </w:t>
      </w:r>
      <w:proofErr w:type="spellStart"/>
      <w:r>
        <w:t>Porat</w:t>
      </w:r>
      <w:proofErr w:type="spellEnd"/>
      <w:r>
        <w:t xml:space="preserve"> I, Whitman WB, Leigh JA. 2004. Continuous culture of </w:t>
      </w:r>
      <w:proofErr w:type="spellStart"/>
      <w:r>
        <w:rPr>
          <w:i/>
          <w:iCs/>
        </w:rPr>
        <w:t>Methanococcus</w:t>
      </w:r>
      <w:proofErr w:type="spellEnd"/>
      <w:r>
        <w:rPr>
          <w:i/>
          <w:iCs/>
        </w:rPr>
        <w:t xml:space="preserve"> maripaludis</w:t>
      </w:r>
      <w:r>
        <w:t xml:space="preserve"> under defined nutrient conditions. FEMS </w:t>
      </w:r>
      <w:proofErr w:type="spellStart"/>
      <w:r>
        <w:t>Microbiol</w:t>
      </w:r>
      <w:proofErr w:type="spellEnd"/>
      <w:r>
        <w:t xml:space="preserve"> Lett 238:85–91.</w:t>
      </w:r>
    </w:p>
    <w:p w14:paraId="18E1AD4E" w14:textId="77777777" w:rsidR="00895FB4" w:rsidRDefault="00895FB4" w:rsidP="00895FB4">
      <w:pPr>
        <w:pStyle w:val="Bibliography"/>
      </w:pPr>
      <w:r>
        <w:t xml:space="preserve">19. </w:t>
      </w:r>
      <w:r>
        <w:tab/>
        <w:t xml:space="preserve">Hendrickson EL, Liu Y, Rosas-Sandoval G, </w:t>
      </w:r>
      <w:proofErr w:type="spellStart"/>
      <w:r>
        <w:t>Porat</w:t>
      </w:r>
      <w:proofErr w:type="spellEnd"/>
      <w:r>
        <w:t xml:space="preserve"> I, Soll D, Whitman WB, Leigh JA. 2008. Global Responses of </w:t>
      </w:r>
      <w:proofErr w:type="spellStart"/>
      <w:r>
        <w:t>Methanococcus</w:t>
      </w:r>
      <w:proofErr w:type="spellEnd"/>
      <w:r>
        <w:t xml:space="preserve"> maripaludis to Specific Nutrient Limitations and Growth Rate. J </w:t>
      </w:r>
      <w:proofErr w:type="spellStart"/>
      <w:r>
        <w:t>Bacteriol</w:t>
      </w:r>
      <w:proofErr w:type="spellEnd"/>
      <w:r>
        <w:t xml:space="preserve"> 190:2198–2205.</w:t>
      </w:r>
    </w:p>
    <w:p w14:paraId="24C239AB" w14:textId="77777777" w:rsidR="00895FB4" w:rsidRDefault="00895FB4" w:rsidP="00895FB4">
      <w:pPr>
        <w:pStyle w:val="Bibliography"/>
      </w:pPr>
      <w:r>
        <w:t xml:space="preserve">20. </w:t>
      </w:r>
      <w:r>
        <w:tab/>
        <w:t xml:space="preserve">Xia Q, Wang T, Hendrickson EL, Lie TJ, Hackett M, Leigh JA. 2009. Quantitative proteomics of nutrient limitation in the hydrogenotrophic methanogen </w:t>
      </w:r>
      <w:proofErr w:type="spellStart"/>
      <w:r>
        <w:t>Methanococcus</w:t>
      </w:r>
      <w:proofErr w:type="spellEnd"/>
      <w:r>
        <w:t xml:space="preserve"> maripaludis. BMC </w:t>
      </w:r>
      <w:proofErr w:type="spellStart"/>
      <w:r>
        <w:t>Microbiol</w:t>
      </w:r>
      <w:proofErr w:type="spellEnd"/>
      <w:r>
        <w:t xml:space="preserve"> 9:149.</w:t>
      </w:r>
    </w:p>
    <w:p w14:paraId="4A2B0EAA" w14:textId="77777777" w:rsidR="00895FB4" w:rsidRDefault="00895FB4" w:rsidP="00895FB4">
      <w:pPr>
        <w:pStyle w:val="Bibliography"/>
      </w:pPr>
      <w:r>
        <w:t xml:space="preserve">21. </w:t>
      </w:r>
      <w:r>
        <w:tab/>
        <w:t xml:space="preserve">Yoon SH, </w:t>
      </w:r>
      <w:proofErr w:type="spellStart"/>
      <w:r>
        <w:t>Turkarslan</w:t>
      </w:r>
      <w:proofErr w:type="spellEnd"/>
      <w:r>
        <w:t xml:space="preserve"> S, Reiss DJ, Pan </w:t>
      </w:r>
      <w:proofErr w:type="spellStart"/>
      <w:r>
        <w:t>M</w:t>
      </w:r>
      <w:proofErr w:type="spellEnd"/>
      <w:r>
        <w:t xml:space="preserve">, Burn JA, Costa KC, Lie TJ, </w:t>
      </w:r>
      <w:proofErr w:type="spellStart"/>
      <w:r>
        <w:t>Slagel</w:t>
      </w:r>
      <w:proofErr w:type="spellEnd"/>
      <w:r>
        <w:t xml:space="preserve"> J, Moritz RL, Hackett M, Leigh JA, </w:t>
      </w:r>
      <w:proofErr w:type="spellStart"/>
      <w:r>
        <w:t>Baliga</w:t>
      </w:r>
      <w:proofErr w:type="spellEnd"/>
      <w:r>
        <w:t xml:space="preserve"> NS. 2013. A systems level predictive model for global gene regulation of methanogenesis in a hydrogenotrophic methanogen. Genome Res 23:1839–1851.</w:t>
      </w:r>
    </w:p>
    <w:p w14:paraId="70DE7CC7" w14:textId="77777777" w:rsidR="00895FB4" w:rsidRDefault="00895FB4" w:rsidP="00895FB4">
      <w:pPr>
        <w:pStyle w:val="Bibliography"/>
      </w:pPr>
      <w:r>
        <w:t xml:space="preserve">22. </w:t>
      </w:r>
      <w:r>
        <w:tab/>
        <w:t xml:space="preserve">Johnson EF, </w:t>
      </w:r>
      <w:proofErr w:type="spellStart"/>
      <w:r>
        <w:t>Mukhopadhyay</w:t>
      </w:r>
      <w:proofErr w:type="spellEnd"/>
      <w:r>
        <w:t xml:space="preserve"> B. 2008. </w:t>
      </w:r>
      <w:proofErr w:type="gramStart"/>
      <w:r>
        <w:t xml:space="preserve">Coenzyme F420-Dependent Sulfite Reductase-Enabled Sulfite Detoxification and Use of Sulfite as a Sole Sulfur Source by </w:t>
      </w:r>
      <w:proofErr w:type="spellStart"/>
      <w:r>
        <w:t>Methanococcus</w:t>
      </w:r>
      <w:proofErr w:type="spellEnd"/>
      <w:r>
        <w:t xml:space="preserve"> maripaludis.</w:t>
      </w:r>
      <w:proofErr w:type="gramEnd"/>
      <w:r>
        <w:t xml:space="preserve"> </w:t>
      </w:r>
      <w:proofErr w:type="spellStart"/>
      <w:r>
        <w:t>Appl</w:t>
      </w:r>
      <w:proofErr w:type="spellEnd"/>
      <w:r>
        <w:t xml:space="preserve"> Environ </w:t>
      </w:r>
      <w:proofErr w:type="spellStart"/>
      <w:r>
        <w:t>Microbiol</w:t>
      </w:r>
      <w:proofErr w:type="spellEnd"/>
      <w:r>
        <w:t xml:space="preserve"> 74:3591–3595.</w:t>
      </w:r>
    </w:p>
    <w:p w14:paraId="2265C326" w14:textId="77777777" w:rsidR="00895FB4" w:rsidRDefault="00895FB4" w:rsidP="00895FB4">
      <w:pPr>
        <w:pStyle w:val="Bibliography"/>
      </w:pPr>
      <w:proofErr w:type="gramStart"/>
      <w:r>
        <w:t xml:space="preserve">23. </w:t>
      </w:r>
      <w:r>
        <w:tab/>
        <w:t>Lie</w:t>
      </w:r>
      <w:proofErr w:type="gramEnd"/>
      <w:r>
        <w:t xml:space="preserve"> TJ, </w:t>
      </w:r>
      <w:proofErr w:type="spellStart"/>
      <w:r>
        <w:t>Dodsworth</w:t>
      </w:r>
      <w:proofErr w:type="spellEnd"/>
      <w:r>
        <w:t xml:space="preserve"> JA, Nickle DC, Leigh JA. 2007. Diverse homologues of the archaeal repressor </w:t>
      </w:r>
      <w:proofErr w:type="spellStart"/>
      <w:r>
        <w:t>NrpR</w:t>
      </w:r>
      <w:proofErr w:type="spellEnd"/>
      <w:r>
        <w:t xml:space="preserve"> function similarly in nitrogen regulation. FEMS </w:t>
      </w:r>
      <w:proofErr w:type="spellStart"/>
      <w:r>
        <w:t>Microbiol</w:t>
      </w:r>
      <w:proofErr w:type="spellEnd"/>
      <w:r>
        <w:t xml:space="preserve"> Lett 271:281–288.</w:t>
      </w:r>
    </w:p>
    <w:p w14:paraId="34FC4F03" w14:textId="77777777" w:rsidR="00895FB4" w:rsidRDefault="00895FB4" w:rsidP="00895FB4">
      <w:pPr>
        <w:pStyle w:val="Bibliography"/>
      </w:pPr>
      <w:r>
        <w:t xml:space="preserve">24. </w:t>
      </w:r>
      <w:r>
        <w:tab/>
        <w:t xml:space="preserve">Kauffman KJ, Prakash P, Edwards JS.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14:491–496.</w:t>
      </w:r>
    </w:p>
    <w:p w14:paraId="4E70077F" w14:textId="77777777" w:rsidR="00895FB4" w:rsidRDefault="00895FB4" w:rsidP="00895FB4">
      <w:pPr>
        <w:pStyle w:val="Bibliography"/>
      </w:pPr>
      <w:r>
        <w:t xml:space="preserve">25. </w:t>
      </w:r>
      <w:r>
        <w:tab/>
      </w:r>
      <w:proofErr w:type="spellStart"/>
      <w:r>
        <w:t>Simeonidis</w:t>
      </w:r>
      <w:proofErr w:type="spellEnd"/>
      <w:r>
        <w:t xml:space="preserve"> E, Price ND.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42:327–338.</w:t>
      </w:r>
    </w:p>
    <w:p w14:paraId="3ADC7212" w14:textId="77777777" w:rsidR="00895FB4" w:rsidRDefault="00895FB4" w:rsidP="00895FB4">
      <w:pPr>
        <w:pStyle w:val="Bibliography"/>
      </w:pPr>
      <w:r>
        <w:t xml:space="preserve">26. </w:t>
      </w:r>
      <w:r>
        <w:tab/>
        <w:t xml:space="preserve">Milne CB, Kim P-J, Eddy JA, Price ND. 2009. Accomplishments in genome-scale in silico modeling for industrial and medical biotechnology. </w:t>
      </w:r>
      <w:proofErr w:type="spellStart"/>
      <w:r>
        <w:t>Biotechnol</w:t>
      </w:r>
      <w:proofErr w:type="spellEnd"/>
      <w:r>
        <w:t xml:space="preserve"> J 4:1653–1670.</w:t>
      </w:r>
    </w:p>
    <w:p w14:paraId="3610FBB3" w14:textId="77777777" w:rsidR="00895FB4" w:rsidRDefault="00895FB4" w:rsidP="00895FB4">
      <w:pPr>
        <w:pStyle w:val="Bibliography"/>
      </w:pPr>
      <w:r>
        <w:t xml:space="preserve">27. </w:t>
      </w:r>
      <w:r>
        <w:tab/>
      </w:r>
      <w:proofErr w:type="spellStart"/>
      <w:r>
        <w:t>Stolyar</w:t>
      </w:r>
      <w:proofErr w:type="spellEnd"/>
      <w:r>
        <w:t xml:space="preserve"> S, Van </w:t>
      </w:r>
      <w:proofErr w:type="spellStart"/>
      <w:r>
        <w:t>Dien</w:t>
      </w:r>
      <w:proofErr w:type="spellEnd"/>
      <w:r>
        <w:t xml:space="preserve"> S, Hillesland KL, </w:t>
      </w:r>
      <w:proofErr w:type="spellStart"/>
      <w:r>
        <w:t>Pinel</w:t>
      </w:r>
      <w:proofErr w:type="spellEnd"/>
      <w:r>
        <w:t xml:space="preserve"> N, Lie TJ, Leigh JA, Stahl DA.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3:92.</w:t>
      </w:r>
    </w:p>
    <w:p w14:paraId="4494CFBA" w14:textId="77777777" w:rsidR="00895FB4" w:rsidRDefault="00895FB4" w:rsidP="00895FB4">
      <w:pPr>
        <w:pStyle w:val="Bibliography"/>
      </w:pPr>
      <w:r>
        <w:t xml:space="preserve">28. </w:t>
      </w:r>
      <w:r>
        <w:tab/>
        <w:t xml:space="preserve">Goyal N, </w:t>
      </w:r>
      <w:proofErr w:type="spellStart"/>
      <w:r>
        <w:t>Widiastuti</w:t>
      </w:r>
      <w:proofErr w:type="spellEnd"/>
      <w:r>
        <w:t xml:space="preserve"> H, </w:t>
      </w:r>
      <w:proofErr w:type="spellStart"/>
      <w:r>
        <w:t>Karimi</w:t>
      </w:r>
      <w:proofErr w:type="spellEnd"/>
      <w:r>
        <w:t xml:space="preserve"> IA, Zhou Z. 2014. </w:t>
      </w:r>
      <w:proofErr w:type="gramStart"/>
      <w:r>
        <w:t xml:space="preserve">A genome-scale metabolic model of </w:t>
      </w:r>
      <w:proofErr w:type="spellStart"/>
      <w:r>
        <w:rPr>
          <w:i/>
          <w:iCs/>
        </w:rPr>
        <w:t>Methanococcus</w:t>
      </w:r>
      <w:proofErr w:type="spellEnd"/>
      <w:r>
        <w:rPr>
          <w:i/>
          <w:iCs/>
        </w:rPr>
        <w:t xml:space="preserve"> maripaludis S2</w:t>
      </w:r>
      <w:r>
        <w:t xml:space="preserve">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10:1043–1054.</w:t>
      </w:r>
    </w:p>
    <w:p w14:paraId="1BF1FA46" w14:textId="77777777" w:rsidR="00895FB4" w:rsidRDefault="00895FB4" w:rsidP="00895FB4">
      <w:pPr>
        <w:pStyle w:val="Bibliography"/>
      </w:pPr>
      <w:r>
        <w:t xml:space="preserve">29. </w:t>
      </w:r>
      <w:r>
        <w:tab/>
      </w:r>
      <w:proofErr w:type="spellStart"/>
      <w:r>
        <w:t>Susanti</w:t>
      </w:r>
      <w:proofErr w:type="spellEnd"/>
      <w:r>
        <w:t xml:space="preserve"> D, </w:t>
      </w:r>
      <w:proofErr w:type="spellStart"/>
      <w:r>
        <w:t>Mukhopadhyay</w:t>
      </w:r>
      <w:proofErr w:type="spellEnd"/>
      <w:r>
        <w:t xml:space="preserve"> B. 2012. </w:t>
      </w:r>
      <w:proofErr w:type="gramStart"/>
      <w:r>
        <w:t>An Intertwined Evolutionary History of Methanogenic Archaea and Sulfate Reduction.</w:t>
      </w:r>
      <w:proofErr w:type="gramEnd"/>
      <w:r>
        <w:t xml:space="preserve"> </w:t>
      </w:r>
      <w:proofErr w:type="spellStart"/>
      <w:r>
        <w:t>PLoS</w:t>
      </w:r>
      <w:proofErr w:type="spellEnd"/>
      <w:r>
        <w:t xml:space="preserve"> ONE 7:e45313.</w:t>
      </w:r>
    </w:p>
    <w:p w14:paraId="2D1B11E4" w14:textId="77777777" w:rsidR="00895FB4" w:rsidRDefault="00895FB4" w:rsidP="00895FB4">
      <w:pPr>
        <w:pStyle w:val="Bibliography"/>
      </w:pPr>
      <w:r>
        <w:t xml:space="preserve">30. </w:t>
      </w:r>
      <w:r>
        <w:tab/>
        <w:t>Graham DE, White RH. 2002. Elucidation of methanogenic coenzyme biosyntheses: from spectroscopy to genomics. Nat Prod Rep 19:133–147.</w:t>
      </w:r>
    </w:p>
    <w:p w14:paraId="028A3618" w14:textId="77777777" w:rsidR="00895FB4" w:rsidRDefault="00895FB4" w:rsidP="00895FB4">
      <w:pPr>
        <w:pStyle w:val="Bibliography"/>
      </w:pPr>
      <w:r>
        <w:t xml:space="preserve">31. </w:t>
      </w:r>
      <w:r>
        <w:tab/>
        <w:t xml:space="preserve">Benedict MN, Mundy MB, Henry CS, Chia N, Price ND.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10:e1003882.</w:t>
      </w:r>
    </w:p>
    <w:p w14:paraId="0B49D72B" w14:textId="77777777" w:rsidR="00895FB4" w:rsidRDefault="00895FB4" w:rsidP="00895FB4">
      <w:pPr>
        <w:pStyle w:val="Bibliography"/>
      </w:pPr>
      <w:r>
        <w:t xml:space="preserve">32. </w:t>
      </w:r>
      <w:r>
        <w:tab/>
        <w:t xml:space="preserve">Jackson </w:t>
      </w:r>
      <w:proofErr w:type="gramStart"/>
      <w:r>
        <w:t>BE</w:t>
      </w:r>
      <w:proofErr w:type="gramEnd"/>
      <w:r>
        <w:t xml:space="preserve">, </w:t>
      </w:r>
      <w:proofErr w:type="spellStart"/>
      <w:r>
        <w:t>McInerney</w:t>
      </w:r>
      <w:proofErr w:type="spellEnd"/>
      <w:r>
        <w:t xml:space="preserve"> MJ. 2002. Anaerobic microbial metabolism can proceed close to thermodynamic limits. Nature 415:454–456.</w:t>
      </w:r>
    </w:p>
    <w:p w14:paraId="2AD032B0" w14:textId="77777777" w:rsidR="00895FB4" w:rsidRDefault="00895FB4" w:rsidP="00895FB4">
      <w:pPr>
        <w:pStyle w:val="Bibliography"/>
      </w:pPr>
      <w:r>
        <w:t xml:space="preserve">33. </w:t>
      </w:r>
      <w:r>
        <w:tab/>
        <w:t xml:space="preserve">Henry CS, </w:t>
      </w:r>
      <w:proofErr w:type="spellStart"/>
      <w:r>
        <w:t>Broadbelt</w:t>
      </w:r>
      <w:proofErr w:type="spellEnd"/>
      <w:r>
        <w:t xml:space="preserve"> LJ, </w:t>
      </w:r>
      <w:proofErr w:type="spellStart"/>
      <w:r>
        <w:t>Hatzimanikatis</w:t>
      </w:r>
      <w:proofErr w:type="spellEnd"/>
      <w:r>
        <w:t xml:space="preserve"> V. 2007. </w:t>
      </w:r>
      <w:proofErr w:type="gramStart"/>
      <w:r>
        <w:t>Thermodynamics-Based Metabolic Flux Analysis.</w:t>
      </w:r>
      <w:proofErr w:type="gramEnd"/>
      <w:r>
        <w:t xml:space="preserve"> </w:t>
      </w:r>
      <w:proofErr w:type="spellStart"/>
      <w:r>
        <w:t>Biophys</w:t>
      </w:r>
      <w:proofErr w:type="spellEnd"/>
      <w:r>
        <w:t xml:space="preserve"> J 92:1792–1805.</w:t>
      </w:r>
    </w:p>
    <w:p w14:paraId="10355EE6" w14:textId="77777777" w:rsidR="00895FB4" w:rsidRDefault="00895FB4" w:rsidP="00895FB4">
      <w:pPr>
        <w:pStyle w:val="Bibliography"/>
      </w:pPr>
      <w:r>
        <w:t xml:space="preserve">34. </w:t>
      </w:r>
      <w:r>
        <w:tab/>
        <w:t xml:space="preserve">Hoppe A, Hoffmann S, </w:t>
      </w:r>
      <w:proofErr w:type="spellStart"/>
      <w:r>
        <w:t>Holzhütter</w:t>
      </w:r>
      <w:proofErr w:type="spellEnd"/>
      <w:r>
        <w:t xml:space="preserve"> H-G.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1:23.</w:t>
      </w:r>
    </w:p>
    <w:p w14:paraId="6A866765" w14:textId="77777777" w:rsidR="00895FB4" w:rsidRDefault="00895FB4" w:rsidP="00895FB4">
      <w:pPr>
        <w:pStyle w:val="Bibliography"/>
      </w:pPr>
      <w:r>
        <w:t xml:space="preserve">35. </w:t>
      </w:r>
      <w:r>
        <w:tab/>
        <w:t xml:space="preserve">Thiele I, </w:t>
      </w:r>
      <w:proofErr w:type="spellStart"/>
      <w:r>
        <w:t>Palsson</w:t>
      </w:r>
      <w:proofErr w:type="spellEnd"/>
      <w:r>
        <w:t xml:space="preserve"> BØ. 2010. A protocol for generating a high-quality genome-scale metabolic reconstruction. Nat </w:t>
      </w:r>
      <w:proofErr w:type="spellStart"/>
      <w:r>
        <w:t>Protoc</w:t>
      </w:r>
      <w:proofErr w:type="spellEnd"/>
      <w:r>
        <w:t xml:space="preserve"> 5:93–121.</w:t>
      </w:r>
    </w:p>
    <w:p w14:paraId="41397AF9" w14:textId="77777777" w:rsidR="00895FB4" w:rsidRDefault="00895FB4" w:rsidP="00895FB4">
      <w:pPr>
        <w:pStyle w:val="Bibliography"/>
      </w:pPr>
      <w:r>
        <w:t xml:space="preserve">36. </w:t>
      </w:r>
      <w:r>
        <w:tab/>
      </w:r>
      <w:proofErr w:type="spellStart"/>
      <w:r>
        <w:t>Kanehisa</w:t>
      </w:r>
      <w:proofErr w:type="spellEnd"/>
      <w:r>
        <w:t xml:space="preserve"> M, </w:t>
      </w:r>
      <w:proofErr w:type="spellStart"/>
      <w:r>
        <w:t>Goto</w:t>
      </w:r>
      <w:proofErr w:type="spellEnd"/>
      <w:r>
        <w:t xml:space="preserve"> S. 2000. KEGG: Kyoto Encyclopedia of Genes and Genomes. Nucleic Acids Res 28:27–30.</w:t>
      </w:r>
    </w:p>
    <w:p w14:paraId="552F8C8E" w14:textId="77777777" w:rsidR="00895FB4" w:rsidRDefault="00895FB4" w:rsidP="00895FB4">
      <w:pPr>
        <w:pStyle w:val="Bibliography"/>
      </w:pPr>
      <w:r>
        <w:lastRenderedPageBreak/>
        <w:t xml:space="preserve">37. </w:t>
      </w:r>
      <w:r>
        <w:tab/>
      </w:r>
      <w:proofErr w:type="spellStart"/>
      <w:r>
        <w:t>Caspi</w:t>
      </w:r>
      <w:proofErr w:type="spellEnd"/>
      <w:r>
        <w:t xml:space="preserve"> R, Altman T, Dale JM, </w:t>
      </w:r>
      <w:proofErr w:type="spellStart"/>
      <w:r>
        <w:t>Dreher</w:t>
      </w:r>
      <w:proofErr w:type="spellEnd"/>
      <w:r>
        <w:t xml:space="preserve"> K, Fulcher CA, Gilham F, </w:t>
      </w:r>
      <w:proofErr w:type="spellStart"/>
      <w:r>
        <w:t>Kaipa</w:t>
      </w:r>
      <w:proofErr w:type="spellEnd"/>
      <w:r>
        <w:t xml:space="preserve"> P, </w:t>
      </w:r>
      <w:proofErr w:type="spellStart"/>
      <w:r>
        <w:t>Karthikeyan</w:t>
      </w:r>
      <w:proofErr w:type="spellEnd"/>
      <w:r>
        <w:t xml:space="preserve"> AS, Kothari A, </w:t>
      </w:r>
      <w:proofErr w:type="spellStart"/>
      <w:r>
        <w:t>Krummenacker</w:t>
      </w:r>
      <w:proofErr w:type="spellEnd"/>
      <w:r>
        <w:t xml:space="preserve"> M, </w:t>
      </w:r>
      <w:proofErr w:type="spellStart"/>
      <w:r>
        <w:t>Latendresse</w:t>
      </w:r>
      <w:proofErr w:type="spellEnd"/>
      <w:r>
        <w:t xml:space="preserve"> M, Mueller LA, Paley S, </w:t>
      </w:r>
      <w:proofErr w:type="spellStart"/>
      <w:r>
        <w:t>Popescu</w:t>
      </w:r>
      <w:proofErr w:type="spellEnd"/>
      <w:r>
        <w:t xml:space="preserve"> L, </w:t>
      </w:r>
      <w:proofErr w:type="spellStart"/>
      <w:r>
        <w:t>Pujar</w:t>
      </w:r>
      <w:proofErr w:type="spellEnd"/>
      <w:r>
        <w:t xml:space="preserve"> A, Shearer AG, Zhang P, Karp PD.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38:D473–D479.</w:t>
      </w:r>
    </w:p>
    <w:p w14:paraId="1C300538" w14:textId="77777777" w:rsidR="00895FB4" w:rsidRDefault="00895FB4" w:rsidP="00895FB4">
      <w:pPr>
        <w:pStyle w:val="Bibliography"/>
      </w:pPr>
      <w:r>
        <w:t xml:space="preserve">38. </w:t>
      </w:r>
      <w:r>
        <w:tab/>
        <w:t xml:space="preserve">Henry CS, </w:t>
      </w:r>
      <w:proofErr w:type="spellStart"/>
      <w:r>
        <w:t>DeJongh</w:t>
      </w:r>
      <w:proofErr w:type="spellEnd"/>
      <w:r>
        <w:t xml:space="preserve"> M, Best AA, </w:t>
      </w:r>
      <w:proofErr w:type="spellStart"/>
      <w:r>
        <w:t>Frybarger</w:t>
      </w:r>
      <w:proofErr w:type="spellEnd"/>
      <w:r>
        <w:t xml:space="preserve"> PM, </w:t>
      </w:r>
      <w:proofErr w:type="spellStart"/>
      <w:r>
        <w:t>Linsay</w:t>
      </w:r>
      <w:proofErr w:type="spellEnd"/>
      <w:r>
        <w:t xml:space="preserve"> B, Stevens RL. 2010. High-throughput generation, optimization and analysis of genome-scale metabolic models. Nat </w:t>
      </w:r>
      <w:proofErr w:type="spellStart"/>
      <w:r>
        <w:t>Biotechnol</w:t>
      </w:r>
      <w:proofErr w:type="spellEnd"/>
      <w:r>
        <w:t xml:space="preserve"> 28:977–982.</w:t>
      </w:r>
    </w:p>
    <w:p w14:paraId="794502D1" w14:textId="77777777" w:rsidR="00895FB4" w:rsidRDefault="00895FB4" w:rsidP="00895FB4">
      <w:pPr>
        <w:pStyle w:val="Bibliography"/>
      </w:pPr>
      <w:r>
        <w:t xml:space="preserve">39. </w:t>
      </w:r>
      <w:r>
        <w:tab/>
        <w:t xml:space="preserve">Price ND, Reed JL, </w:t>
      </w:r>
      <w:proofErr w:type="spellStart"/>
      <w:r>
        <w:t>Palsson</w:t>
      </w:r>
      <w:proofErr w:type="spellEnd"/>
      <w:r>
        <w:t xml:space="preserve"> BØ. 2004. Genome-scale models of microbial cells: evaluating the consequences of constraints. Nat Rev </w:t>
      </w:r>
      <w:proofErr w:type="spellStart"/>
      <w:r>
        <w:t>Microbiol</w:t>
      </w:r>
      <w:proofErr w:type="spellEnd"/>
      <w:r>
        <w:t xml:space="preserve"> 2:886–897.</w:t>
      </w:r>
    </w:p>
    <w:p w14:paraId="678A0515" w14:textId="77777777" w:rsidR="00895FB4" w:rsidRDefault="00895FB4" w:rsidP="00895FB4">
      <w:pPr>
        <w:pStyle w:val="Bibliography"/>
      </w:pPr>
      <w:r>
        <w:t xml:space="preserve">40. </w:t>
      </w:r>
      <w:r>
        <w:tab/>
        <w:t xml:space="preserve">Feist </w:t>
      </w:r>
      <w:proofErr w:type="gramStart"/>
      <w:r>
        <w:t>AM</w:t>
      </w:r>
      <w:proofErr w:type="gramEnd"/>
      <w:r>
        <w:t xml:space="preserve">, </w:t>
      </w:r>
      <w:proofErr w:type="spellStart"/>
      <w:r>
        <w:t>Palsson</w:t>
      </w:r>
      <w:proofErr w:type="spellEnd"/>
      <w:r>
        <w:t xml:space="preserve"> BO.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13:344–349.</w:t>
      </w:r>
    </w:p>
    <w:p w14:paraId="34F1EBE5" w14:textId="77777777" w:rsidR="00895FB4" w:rsidRDefault="00895FB4" w:rsidP="00895FB4">
      <w:pPr>
        <w:pStyle w:val="Bibliography"/>
      </w:pPr>
      <w:r>
        <w:t xml:space="preserve">41. </w:t>
      </w:r>
      <w:r>
        <w:tab/>
      </w:r>
      <w:proofErr w:type="spellStart"/>
      <w:r>
        <w:t>Schellenberger</w:t>
      </w:r>
      <w:proofErr w:type="spellEnd"/>
      <w:r>
        <w:t xml:space="preserve"> J, Que R, Fleming RMT, Thiele I, Orth JD, Feist AM, Zielinski DC, </w:t>
      </w:r>
      <w:proofErr w:type="spellStart"/>
      <w:r>
        <w:t>Bordbar</w:t>
      </w:r>
      <w:proofErr w:type="spellEnd"/>
      <w:r>
        <w:t xml:space="preserve"> A, Lewis NE, </w:t>
      </w:r>
      <w:proofErr w:type="spellStart"/>
      <w:r>
        <w:t>Rahmanian</w:t>
      </w:r>
      <w:proofErr w:type="spellEnd"/>
      <w:r>
        <w:t xml:space="preserve"> S, Kang J, </w:t>
      </w:r>
      <w:proofErr w:type="spellStart"/>
      <w:r>
        <w:t>Hyduke</w:t>
      </w:r>
      <w:proofErr w:type="spellEnd"/>
      <w:r>
        <w:t xml:space="preserve"> DR, </w:t>
      </w:r>
      <w:proofErr w:type="spellStart"/>
      <w:r>
        <w:t>Palsson</w:t>
      </w:r>
      <w:proofErr w:type="spellEnd"/>
      <w:r>
        <w:t xml:space="preserve"> BØ. 2011. Quantitative prediction of cellular metabolism with constraint-based models: the COBRA Toolbox v2.0. Nat </w:t>
      </w:r>
      <w:proofErr w:type="spellStart"/>
      <w:r>
        <w:t>Protoc</w:t>
      </w:r>
      <w:proofErr w:type="spellEnd"/>
      <w:r>
        <w:t xml:space="preserve"> 6:1290–1307.</w:t>
      </w:r>
    </w:p>
    <w:p w14:paraId="3FF36DEF" w14:textId="77777777" w:rsidR="00895FB4" w:rsidRDefault="00895FB4" w:rsidP="00895FB4">
      <w:pPr>
        <w:pStyle w:val="Bibliography"/>
      </w:pPr>
      <w:r>
        <w:t xml:space="preserve">42. </w:t>
      </w:r>
      <w:r>
        <w:tab/>
      </w:r>
      <w:proofErr w:type="spellStart"/>
      <w:r>
        <w:t>Heavner</w:t>
      </w:r>
      <w:proofErr w:type="spellEnd"/>
      <w:r>
        <w:t xml:space="preserve"> BD, Price ND.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34:105–109.</w:t>
      </w:r>
    </w:p>
    <w:p w14:paraId="78CD3712" w14:textId="77777777" w:rsidR="00895FB4" w:rsidRDefault="00895FB4" w:rsidP="00895FB4">
      <w:pPr>
        <w:pStyle w:val="Bibliography"/>
      </w:pPr>
      <w:r>
        <w:t xml:space="preserve">43. </w:t>
      </w:r>
      <w:r>
        <w:tab/>
      </w:r>
      <w:proofErr w:type="spellStart"/>
      <w:r>
        <w:t>Kostromins</w:t>
      </w:r>
      <w:proofErr w:type="spellEnd"/>
      <w:r>
        <w:t xml:space="preserve"> A, </w:t>
      </w:r>
      <w:proofErr w:type="spellStart"/>
      <w:r>
        <w:t>Stalidzans</w:t>
      </w:r>
      <w:proofErr w:type="spellEnd"/>
      <w:r>
        <w:t xml:space="preserve"> E. 2012. Paint4Net: COBRA Toolbox extension for visualization of stoichiometric models of metabolism. Biosystems 109:233–239.</w:t>
      </w:r>
    </w:p>
    <w:p w14:paraId="73C6B827" w14:textId="77777777" w:rsidR="00895FB4" w:rsidRDefault="00895FB4" w:rsidP="00895FB4">
      <w:pPr>
        <w:pStyle w:val="Bibliography"/>
      </w:pPr>
      <w:r>
        <w:t xml:space="preserve">44. </w:t>
      </w:r>
      <w:r>
        <w:tab/>
      </w:r>
      <w:proofErr w:type="spellStart"/>
      <w:r>
        <w:t>Porat</w:t>
      </w:r>
      <w:proofErr w:type="spellEnd"/>
      <w:r>
        <w:t xml:space="preserve"> I, Kim W, Hendrickson EL, Xia Q, Zhang Y, Wang T, </w:t>
      </w:r>
      <w:proofErr w:type="spellStart"/>
      <w:r>
        <w:t>Taub</w:t>
      </w:r>
      <w:proofErr w:type="spellEnd"/>
      <w:r>
        <w:t xml:space="preserve"> F, Moore BC, Anderson IJ, Hackett M, Leigh JA, Whitman WB. 2006. Disruption of the Operon Encoding </w:t>
      </w:r>
      <w:proofErr w:type="spellStart"/>
      <w:r>
        <w:t>Ehb</w:t>
      </w:r>
      <w:proofErr w:type="spellEnd"/>
      <w:r>
        <w:t xml:space="preserve"> Hydrogenase Limits Anabolic CO2 Assimilation in the Archaeon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188:1373–1380.</w:t>
      </w:r>
    </w:p>
    <w:p w14:paraId="2993B1B8" w14:textId="77777777" w:rsidR="00895FB4" w:rsidRDefault="00895FB4" w:rsidP="00895FB4">
      <w:pPr>
        <w:pStyle w:val="Bibliography"/>
      </w:pPr>
      <w:r>
        <w:t xml:space="preserve">45. </w:t>
      </w:r>
      <w:r>
        <w:tab/>
        <w:t xml:space="preserve">Lie TJ, Costa KC, </w:t>
      </w:r>
      <w:proofErr w:type="spellStart"/>
      <w:r>
        <w:t>Lupa</w:t>
      </w:r>
      <w:proofErr w:type="spellEnd"/>
      <w:r>
        <w:t xml:space="preserve"> B, </w:t>
      </w:r>
      <w:proofErr w:type="spellStart"/>
      <w:r>
        <w:t>Korpole</w:t>
      </w:r>
      <w:proofErr w:type="spellEnd"/>
      <w:r>
        <w:t xml:space="preserve"> S, Whitman WB, Leigh JA. 2012. Essential anaplerotic role for the energy-converting hydrogenase </w:t>
      </w:r>
      <w:proofErr w:type="spellStart"/>
      <w:r>
        <w:t>Eha</w:t>
      </w:r>
      <w:proofErr w:type="spellEnd"/>
      <w:r>
        <w:t xml:space="preserve"> in hydrogenotrophic methanogenesis. Proc Natl </w:t>
      </w:r>
      <w:proofErr w:type="spellStart"/>
      <w:r>
        <w:t>Acad</w:t>
      </w:r>
      <w:proofErr w:type="spellEnd"/>
      <w:r>
        <w:t xml:space="preserve"> </w:t>
      </w:r>
      <w:proofErr w:type="spellStart"/>
      <w:r>
        <w:t>Sci</w:t>
      </w:r>
      <w:proofErr w:type="spellEnd"/>
      <w:r>
        <w:t xml:space="preserve"> 109:15473–15478.</w:t>
      </w:r>
    </w:p>
    <w:p w14:paraId="2215BBEF" w14:textId="77777777" w:rsidR="00895FB4" w:rsidRDefault="00895FB4" w:rsidP="00895FB4">
      <w:pPr>
        <w:pStyle w:val="Bibliography"/>
      </w:pPr>
      <w:r>
        <w:t xml:space="preserve">46. </w:t>
      </w:r>
      <w:r>
        <w:tab/>
      </w:r>
      <w:proofErr w:type="spellStart"/>
      <w:r>
        <w:t>Lupa</w:t>
      </w:r>
      <w:proofErr w:type="spellEnd"/>
      <w:r>
        <w:t xml:space="preserve"> B, Hendrickson EL, Leigh JA, Whitman WB. 2008. Formate-Dependent H2 Production by the Mesophilic Methanogen </w:t>
      </w:r>
      <w:proofErr w:type="spellStart"/>
      <w:r>
        <w:rPr>
          <w:i/>
          <w:iCs/>
        </w:rPr>
        <w:t>Methanococcus</w:t>
      </w:r>
      <w:proofErr w:type="spellEnd"/>
      <w:r>
        <w:rPr>
          <w:i/>
          <w:iCs/>
        </w:rPr>
        <w:t xml:space="preserve"> maripaludis</w:t>
      </w:r>
      <w:r>
        <w:t xml:space="preserve">. </w:t>
      </w:r>
      <w:proofErr w:type="spellStart"/>
      <w:r>
        <w:t>Appl</w:t>
      </w:r>
      <w:proofErr w:type="spellEnd"/>
      <w:r>
        <w:t xml:space="preserve"> Environ </w:t>
      </w:r>
      <w:proofErr w:type="spellStart"/>
      <w:r>
        <w:t>Microbiol</w:t>
      </w:r>
      <w:proofErr w:type="spellEnd"/>
      <w:r>
        <w:t xml:space="preserve"> 74:6584–6590.</w:t>
      </w:r>
    </w:p>
    <w:p w14:paraId="36D77C5E" w14:textId="77777777" w:rsidR="00895FB4" w:rsidRDefault="00895FB4" w:rsidP="00895FB4">
      <w:pPr>
        <w:pStyle w:val="Bibliography"/>
      </w:pPr>
      <w:r>
        <w:t xml:space="preserve">47. </w:t>
      </w:r>
      <w:r>
        <w:tab/>
        <w:t xml:space="preserve">Costa KC, Lie TJ, Jacobs MA, Leigh JA. 2013. H2-Independent Growth of the Hydrogenotrophic Methanogen </w:t>
      </w:r>
      <w:proofErr w:type="spellStart"/>
      <w:r>
        <w:rPr>
          <w:i/>
          <w:iCs/>
        </w:rPr>
        <w:t>Methanococcus</w:t>
      </w:r>
      <w:proofErr w:type="spellEnd"/>
      <w:r>
        <w:rPr>
          <w:i/>
          <w:iCs/>
        </w:rPr>
        <w:t xml:space="preserve"> maripaludis</w:t>
      </w:r>
      <w:r>
        <w:t xml:space="preserve">. </w:t>
      </w:r>
      <w:proofErr w:type="spellStart"/>
      <w:proofErr w:type="gramStart"/>
      <w:r>
        <w:t>mBio</w:t>
      </w:r>
      <w:proofErr w:type="spellEnd"/>
      <w:proofErr w:type="gramEnd"/>
      <w:r>
        <w:t xml:space="preserve"> 4:e00062–13.</w:t>
      </w:r>
    </w:p>
    <w:p w14:paraId="03CAF300" w14:textId="77777777" w:rsidR="00895FB4" w:rsidRDefault="00895FB4" w:rsidP="00895FB4">
      <w:pPr>
        <w:pStyle w:val="Bibliography"/>
      </w:pPr>
      <w:r>
        <w:t xml:space="preserve">48.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1BD8FA1B" w14:textId="77777777" w:rsidR="00895FB4" w:rsidRDefault="00895FB4" w:rsidP="00895FB4">
      <w:pPr>
        <w:pStyle w:val="Bibliography"/>
      </w:pPr>
      <w:r>
        <w:t xml:space="preserve">49. </w:t>
      </w:r>
      <w:r>
        <w:tab/>
        <w:t xml:space="preserve">Hendrickson EL, Leigh JA.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190:4818–4821.</w:t>
      </w:r>
    </w:p>
    <w:p w14:paraId="6DFF8CA3" w14:textId="77777777" w:rsidR="00895FB4" w:rsidRDefault="00895FB4" w:rsidP="00895FB4">
      <w:pPr>
        <w:pStyle w:val="Bibliography"/>
      </w:pPr>
      <w:r>
        <w:t xml:space="preserve">50. </w:t>
      </w:r>
      <w:r>
        <w:tab/>
        <w:t xml:space="preserve">Matthews BW.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405:442–451.</w:t>
      </w:r>
    </w:p>
    <w:p w14:paraId="7FC33735" w14:textId="77777777" w:rsidR="00895FB4" w:rsidRDefault="00895FB4" w:rsidP="00895FB4">
      <w:pPr>
        <w:pStyle w:val="Bibliography"/>
      </w:pPr>
      <w:r>
        <w:t xml:space="preserve">51. </w:t>
      </w:r>
      <w:r>
        <w:tab/>
      </w:r>
      <w:proofErr w:type="spellStart"/>
      <w:r>
        <w:t>Flamholz</w:t>
      </w:r>
      <w:proofErr w:type="spellEnd"/>
      <w:r>
        <w:t xml:space="preserve"> A, Noor E, Bar-Even A, Milo R.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7F29DEF7" w14:textId="77777777" w:rsidR="00895FB4" w:rsidRDefault="00895FB4" w:rsidP="00895FB4">
      <w:pPr>
        <w:pStyle w:val="Bibliography"/>
      </w:pPr>
      <w:r>
        <w:t xml:space="preserve">52. </w:t>
      </w:r>
      <w:r>
        <w:tab/>
        <w:t xml:space="preserve">Jankowski MD, Henry CS, </w:t>
      </w:r>
      <w:proofErr w:type="spellStart"/>
      <w:r>
        <w:t>Broadbelt</w:t>
      </w:r>
      <w:proofErr w:type="spellEnd"/>
      <w:r>
        <w:t xml:space="preserve"> LJ, </w:t>
      </w:r>
      <w:proofErr w:type="spellStart"/>
      <w:r>
        <w:t>Hatzimanikatis</w:t>
      </w:r>
      <w:proofErr w:type="spellEnd"/>
      <w:r>
        <w:t xml:space="preserve"> V. 2008. </w:t>
      </w:r>
      <w:proofErr w:type="gramStart"/>
      <w:r>
        <w:t>Group Contribution Method for Thermodynamic Analysis of Complex Metabolic Networks.</w:t>
      </w:r>
      <w:proofErr w:type="gramEnd"/>
      <w:r>
        <w:t xml:space="preserve"> </w:t>
      </w:r>
      <w:proofErr w:type="spellStart"/>
      <w:r>
        <w:t>Biophys</w:t>
      </w:r>
      <w:proofErr w:type="spellEnd"/>
      <w:r>
        <w:t xml:space="preserve"> J 95:1487–1499.</w:t>
      </w:r>
    </w:p>
    <w:p w14:paraId="045BAD89" w14:textId="77777777" w:rsidR="00895FB4" w:rsidRDefault="00895FB4" w:rsidP="00895FB4">
      <w:pPr>
        <w:pStyle w:val="Bibliography"/>
      </w:pPr>
      <w:r>
        <w:t xml:space="preserve">53. </w:t>
      </w:r>
      <w:r>
        <w:tab/>
        <w:t xml:space="preserve">Costa KC, Yoon SH, Pan </w:t>
      </w:r>
      <w:proofErr w:type="spellStart"/>
      <w:r>
        <w:t>M</w:t>
      </w:r>
      <w:proofErr w:type="spellEnd"/>
      <w:r>
        <w:t xml:space="preserve">, Burn JA, </w:t>
      </w:r>
      <w:proofErr w:type="spellStart"/>
      <w:r>
        <w:t>Baliga</w:t>
      </w:r>
      <w:proofErr w:type="spellEnd"/>
      <w:r>
        <w:t xml:space="preserve"> NS, Leigh JA. 2013. Effects of H2 and Formate on Growth Yield and Regulation of Methanogenesis in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195:1456–1462.</w:t>
      </w:r>
    </w:p>
    <w:p w14:paraId="4C1D015D" w14:textId="77777777" w:rsidR="00895FB4" w:rsidRDefault="00895FB4" w:rsidP="00895FB4">
      <w:pPr>
        <w:pStyle w:val="Bibliography"/>
      </w:pPr>
      <w:r>
        <w:t xml:space="preserve">54. </w:t>
      </w:r>
      <w:r>
        <w:tab/>
      </w:r>
      <w:proofErr w:type="spellStart"/>
      <w:r>
        <w:t>Gonnerman</w:t>
      </w:r>
      <w:proofErr w:type="spellEnd"/>
      <w:r>
        <w:t xml:space="preserve"> MC, Benedict MN, Feist AM, Metcalf WW, Price ND. 2013. </w:t>
      </w:r>
      <w:proofErr w:type="spellStart"/>
      <w:r>
        <w:t>Genomically</w:t>
      </w:r>
      <w:proofErr w:type="spellEnd"/>
      <w:r>
        <w:t xml:space="preserve"> and biochemically accurate metabolic reconstruction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Fusaro</w:t>
      </w:r>
      <w:proofErr w:type="spellEnd"/>
      <w:r>
        <w:t xml:space="preserve">, iMG746. </w:t>
      </w:r>
      <w:proofErr w:type="spellStart"/>
      <w:r>
        <w:t>Biotechnol</w:t>
      </w:r>
      <w:proofErr w:type="spellEnd"/>
      <w:r>
        <w:t xml:space="preserve"> J 8:1070–1079.</w:t>
      </w:r>
    </w:p>
    <w:p w14:paraId="0FCA2727" w14:textId="77777777" w:rsidR="00895FB4" w:rsidRDefault="00895FB4" w:rsidP="00895FB4">
      <w:pPr>
        <w:pStyle w:val="Bibliography"/>
      </w:pPr>
      <w:r>
        <w:t xml:space="preserve">55. </w:t>
      </w:r>
      <w:r>
        <w:tab/>
        <w:t xml:space="preserve">Benedict MN, </w:t>
      </w:r>
      <w:proofErr w:type="spellStart"/>
      <w:r>
        <w:t>Gonnerman</w:t>
      </w:r>
      <w:proofErr w:type="spellEnd"/>
      <w:r>
        <w:t xml:space="preserve"> MC, Metcalf WW, Price ND. 2012. Genome-Scale Metabolic Reconstruction and Hypothesis Testing in the Methanogenic Archaeon </w:t>
      </w:r>
      <w:proofErr w:type="spellStart"/>
      <w:r>
        <w:rPr>
          <w:i/>
          <w:iCs/>
        </w:rPr>
        <w:t>Methanosarcina</w:t>
      </w:r>
      <w:proofErr w:type="spellEnd"/>
      <w:r>
        <w:rPr>
          <w:i/>
          <w:iCs/>
        </w:rPr>
        <w:t xml:space="preserve"> </w:t>
      </w:r>
      <w:proofErr w:type="spellStart"/>
      <w:r>
        <w:rPr>
          <w:i/>
          <w:iCs/>
        </w:rPr>
        <w:t>acetivorans</w:t>
      </w:r>
      <w:proofErr w:type="spellEnd"/>
      <w:r>
        <w:t xml:space="preserve"> C2A. J </w:t>
      </w:r>
      <w:proofErr w:type="spellStart"/>
      <w:r>
        <w:t>Bacteriol</w:t>
      </w:r>
      <w:proofErr w:type="spellEnd"/>
      <w:r>
        <w:t xml:space="preserve"> 194:855–865.</w:t>
      </w:r>
    </w:p>
    <w:p w14:paraId="594CB8E4" w14:textId="77777777" w:rsidR="00895FB4" w:rsidRDefault="00895FB4" w:rsidP="00895FB4">
      <w:pPr>
        <w:pStyle w:val="Bibliography"/>
      </w:pPr>
      <w:r>
        <w:lastRenderedPageBreak/>
        <w:t xml:space="preserve">56. </w:t>
      </w:r>
      <w:r>
        <w:tab/>
      </w:r>
      <w:proofErr w:type="spellStart"/>
      <w:r>
        <w:t>Thauer</w:t>
      </w:r>
      <w:proofErr w:type="spellEnd"/>
      <w:r>
        <w:t xml:space="preserve"> RK. 2012. The Wolfe cycle comes full circle. Proc Natl </w:t>
      </w:r>
      <w:proofErr w:type="spellStart"/>
      <w:r>
        <w:t>Acad</w:t>
      </w:r>
      <w:proofErr w:type="spellEnd"/>
      <w:r>
        <w:t xml:space="preserve"> </w:t>
      </w:r>
      <w:proofErr w:type="spellStart"/>
      <w:r>
        <w:t>Sci</w:t>
      </w:r>
      <w:proofErr w:type="spellEnd"/>
      <w:r>
        <w:t xml:space="preserve"> 109:15084–15085.</w:t>
      </w:r>
    </w:p>
    <w:p w14:paraId="6F5DE5BB" w14:textId="77777777" w:rsidR="00895FB4" w:rsidRDefault="00895FB4" w:rsidP="00895FB4">
      <w:pPr>
        <w:pStyle w:val="Bibliography"/>
      </w:pPr>
      <w:r>
        <w:t xml:space="preserve">57. </w:t>
      </w:r>
      <w:r>
        <w:tab/>
      </w:r>
      <w:proofErr w:type="spellStart"/>
      <w:r>
        <w:t>Setzke</w:t>
      </w:r>
      <w:proofErr w:type="spellEnd"/>
      <w:r>
        <w:t xml:space="preserve"> E, </w:t>
      </w:r>
      <w:proofErr w:type="spellStart"/>
      <w:r>
        <w:t>Hedderich</w:t>
      </w:r>
      <w:proofErr w:type="spellEnd"/>
      <w:r>
        <w:t xml:space="preserve"> R, </w:t>
      </w:r>
      <w:proofErr w:type="spellStart"/>
      <w:r>
        <w:t>Heiden</w:t>
      </w:r>
      <w:proofErr w:type="spellEnd"/>
      <w:r>
        <w:t xml:space="preserve"> S, </w:t>
      </w:r>
      <w:proofErr w:type="spellStart"/>
      <w:r>
        <w:t>Thauer</w:t>
      </w:r>
      <w:proofErr w:type="spellEnd"/>
      <w:r>
        <w:t xml:space="preserve"> RK. 1994. H2: heterodisulfide oxidoreductase complex from </w:t>
      </w:r>
      <w:proofErr w:type="spellStart"/>
      <w:r>
        <w:rPr>
          <w:i/>
          <w:iCs/>
        </w:rPr>
        <w:t>Methanobacterium</w:t>
      </w:r>
      <w:proofErr w:type="spellEnd"/>
      <w:r>
        <w:rPr>
          <w:i/>
          <w:iCs/>
        </w:rPr>
        <w:t xml:space="preserve"> </w:t>
      </w:r>
      <w:proofErr w:type="spellStart"/>
      <w:r>
        <w:rPr>
          <w:i/>
          <w:iCs/>
        </w:rPr>
        <w:t>thermoautotrophicum</w:t>
      </w:r>
      <w:proofErr w:type="spellEnd"/>
      <w:r>
        <w:t xml:space="preserve">. </w:t>
      </w:r>
      <w:proofErr w:type="spellStart"/>
      <w:r>
        <w:t>Eur</w:t>
      </w:r>
      <w:proofErr w:type="spellEnd"/>
      <w:r>
        <w:t xml:space="preserve"> J </w:t>
      </w:r>
      <w:proofErr w:type="spellStart"/>
      <w:r>
        <w:t>Biochem</w:t>
      </w:r>
      <w:proofErr w:type="spellEnd"/>
      <w:r>
        <w:t xml:space="preserve"> 220:139–148.</w:t>
      </w:r>
    </w:p>
    <w:p w14:paraId="00432E26" w14:textId="77777777" w:rsidR="00895FB4" w:rsidRDefault="00895FB4" w:rsidP="00895FB4">
      <w:pPr>
        <w:pStyle w:val="Bibliography"/>
      </w:pPr>
      <w:r>
        <w:t xml:space="preserve">58.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2C4E1AFB" w14:textId="77777777" w:rsidR="00895FB4" w:rsidRDefault="00895FB4" w:rsidP="00895FB4">
      <w:pPr>
        <w:pStyle w:val="Bibliography"/>
      </w:pPr>
      <w:r>
        <w:t xml:space="preserve">59. </w:t>
      </w:r>
      <w:r>
        <w:tab/>
      </w:r>
      <w:proofErr w:type="spellStart"/>
      <w:r>
        <w:t>Hedderich</w:t>
      </w:r>
      <w:proofErr w:type="spellEnd"/>
      <w:r>
        <w:t xml:space="preserve"> R, </w:t>
      </w:r>
      <w:proofErr w:type="spellStart"/>
      <w:r>
        <w:t>Thauer</w:t>
      </w:r>
      <w:proofErr w:type="spellEnd"/>
      <w:r>
        <w:t xml:space="preserve"> R k. 1988. </w:t>
      </w:r>
      <w:proofErr w:type="spellStart"/>
      <w:r>
        <w:t>Methanobacterium</w:t>
      </w:r>
      <w:proofErr w:type="spellEnd"/>
      <w:r>
        <w:t xml:space="preserve"> </w:t>
      </w:r>
      <w:proofErr w:type="spellStart"/>
      <w:r>
        <w:t>thermoautotrophicum</w:t>
      </w:r>
      <w:proofErr w:type="spellEnd"/>
      <w:r>
        <w:t xml:space="preserve"> contains a soluble enzyme system that specifically catalyzes the reduction of the heterodisulfide of coenzyme M and 7-mercaptoheptanoylthreonine phosphate with H2. FEBS Lett 234:223–227.</w:t>
      </w:r>
    </w:p>
    <w:p w14:paraId="4B6DEB59" w14:textId="77777777" w:rsidR="00895FB4" w:rsidRDefault="00895FB4" w:rsidP="00895FB4">
      <w:pPr>
        <w:pStyle w:val="Bibliography"/>
      </w:pPr>
      <w:r>
        <w:t xml:space="preserve">60. </w:t>
      </w:r>
      <w:r>
        <w:tab/>
      </w:r>
      <w:proofErr w:type="spellStart"/>
      <w:r>
        <w:t>Nitschke</w:t>
      </w:r>
      <w:proofErr w:type="spellEnd"/>
      <w:r>
        <w:t xml:space="preserve"> W, Russell MJ. 2012. Redox bifurcations: Mechanisms and importance to life now, and at its origin: A widespread means of energy conversion in biology unfolds…. </w:t>
      </w:r>
      <w:proofErr w:type="spellStart"/>
      <w:r>
        <w:t>BioEssays</w:t>
      </w:r>
      <w:proofErr w:type="spellEnd"/>
      <w:r>
        <w:t xml:space="preserve"> 34:106–109.</w:t>
      </w:r>
    </w:p>
    <w:p w14:paraId="52EA873A" w14:textId="77777777" w:rsidR="00895FB4" w:rsidRDefault="00895FB4" w:rsidP="00895FB4">
      <w:pPr>
        <w:pStyle w:val="Bibliography"/>
      </w:pPr>
      <w:r>
        <w:t xml:space="preserve">61. </w:t>
      </w:r>
      <w:r>
        <w:tab/>
        <w:t xml:space="preserve">Herrmann G, </w:t>
      </w:r>
      <w:proofErr w:type="spellStart"/>
      <w:r>
        <w:t>Jayamani</w:t>
      </w:r>
      <w:proofErr w:type="spellEnd"/>
      <w:r>
        <w:t xml:space="preserve"> E, Mai G, </w:t>
      </w:r>
      <w:proofErr w:type="spellStart"/>
      <w:r>
        <w:t>Buckel</w:t>
      </w:r>
      <w:proofErr w:type="spellEnd"/>
      <w:r>
        <w:t xml:space="preserve"> W. 2008. </w:t>
      </w:r>
      <w:proofErr w:type="gramStart"/>
      <w:r>
        <w:t xml:space="preserve">Energy Conservation via Electron-Transferring </w:t>
      </w:r>
      <w:proofErr w:type="spellStart"/>
      <w:r>
        <w:t>Flavoprotein</w:t>
      </w:r>
      <w:proofErr w:type="spellEnd"/>
      <w:r>
        <w:t xml:space="preserve"> in Anaerobic Bacteria.</w:t>
      </w:r>
      <w:proofErr w:type="gramEnd"/>
      <w:r>
        <w:t xml:space="preserve"> J </w:t>
      </w:r>
      <w:proofErr w:type="spellStart"/>
      <w:r>
        <w:t>Bacteriol</w:t>
      </w:r>
      <w:proofErr w:type="spellEnd"/>
      <w:r>
        <w:t xml:space="preserve"> 190:784–791.</w:t>
      </w:r>
    </w:p>
    <w:p w14:paraId="0A52AA5E" w14:textId="77777777" w:rsidR="00895FB4" w:rsidRDefault="00895FB4" w:rsidP="00895FB4">
      <w:pPr>
        <w:pStyle w:val="Bibliography"/>
      </w:pPr>
      <w:r>
        <w:t xml:space="preserve">62.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205E9A03" w14:textId="77777777" w:rsidR="00895FB4" w:rsidRDefault="00895FB4" w:rsidP="00895FB4">
      <w:pPr>
        <w:pStyle w:val="Bibliography"/>
      </w:pPr>
      <w:r>
        <w:t xml:space="preserve">63. </w:t>
      </w:r>
      <w:r>
        <w:tab/>
        <w:t xml:space="preserve">Shieh JS, Whitman WB. 1987. Pathway of acetate assimilation in autotrophic and heterotrophic </w:t>
      </w:r>
      <w:proofErr w:type="spellStart"/>
      <w:r>
        <w:t>methanococci</w:t>
      </w:r>
      <w:proofErr w:type="spellEnd"/>
      <w:r>
        <w:t xml:space="preserve">. J </w:t>
      </w:r>
      <w:proofErr w:type="spellStart"/>
      <w:r>
        <w:t>Bacteriol</w:t>
      </w:r>
      <w:proofErr w:type="spellEnd"/>
      <w:r>
        <w:t xml:space="preserve"> 169:5327–5329.</w:t>
      </w:r>
    </w:p>
    <w:p w14:paraId="684731F7" w14:textId="77777777" w:rsidR="00895FB4" w:rsidRDefault="00895FB4" w:rsidP="00895FB4">
      <w:pPr>
        <w:pStyle w:val="Bibliography"/>
      </w:pPr>
      <w:r>
        <w:t xml:space="preserve">64. </w:t>
      </w:r>
      <w:r>
        <w:tab/>
      </w:r>
      <w:proofErr w:type="spellStart"/>
      <w:r>
        <w:t>Welander</w:t>
      </w:r>
      <w:proofErr w:type="spellEnd"/>
      <w:r>
        <w:t xml:space="preserve"> PV, Metcalf WW. 2005. Loss of the </w:t>
      </w:r>
      <w:proofErr w:type="spellStart"/>
      <w:r>
        <w:rPr>
          <w:i/>
          <w:iCs/>
        </w:rPr>
        <w:t>mtr</w:t>
      </w:r>
      <w:proofErr w:type="spellEnd"/>
      <w:r>
        <w:t xml:space="preserve"> operon in </w:t>
      </w:r>
      <w:proofErr w:type="spellStart"/>
      <w:r>
        <w:rPr>
          <w:i/>
          <w:iCs/>
        </w:rPr>
        <w:t>Methanosarcina</w:t>
      </w:r>
      <w:proofErr w:type="spellEnd"/>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102:10664–10669.</w:t>
      </w:r>
    </w:p>
    <w:p w14:paraId="0E54B882" w14:textId="77777777" w:rsidR="00895FB4" w:rsidRDefault="00895FB4" w:rsidP="00895FB4">
      <w:pPr>
        <w:pStyle w:val="Bibliography"/>
      </w:pPr>
      <w:r>
        <w:t xml:space="preserve">65. </w:t>
      </w:r>
      <w:r>
        <w:tab/>
      </w:r>
      <w:proofErr w:type="spellStart"/>
      <w:r>
        <w:t>Kaster</w:t>
      </w:r>
      <w:proofErr w:type="spellEnd"/>
      <w:r>
        <w:t xml:space="preserve"> A-K, </w:t>
      </w:r>
      <w:proofErr w:type="spellStart"/>
      <w:r>
        <w:t>Goenrich</w:t>
      </w:r>
      <w:proofErr w:type="spellEnd"/>
      <w:r>
        <w:t xml:space="preserve"> M, </w:t>
      </w:r>
      <w:proofErr w:type="spellStart"/>
      <w:r>
        <w:t>Seedorf</w:t>
      </w:r>
      <w:proofErr w:type="spellEnd"/>
      <w:r>
        <w:t xml:space="preserve"> H, </w:t>
      </w:r>
      <w:proofErr w:type="spellStart"/>
      <w:r>
        <w:t>Liesegang</w:t>
      </w:r>
      <w:proofErr w:type="spellEnd"/>
      <w:r>
        <w:t xml:space="preserve"> H, </w:t>
      </w:r>
      <w:proofErr w:type="spellStart"/>
      <w:r>
        <w:t>Wollherr</w:t>
      </w:r>
      <w:proofErr w:type="spellEnd"/>
      <w:r>
        <w:t xml:space="preserve"> A, Gottschalk G, </w:t>
      </w:r>
      <w:proofErr w:type="spellStart"/>
      <w:r>
        <w:t>Thauer</w:t>
      </w:r>
      <w:proofErr w:type="spellEnd"/>
      <w:r>
        <w:t xml:space="preserve"> RK.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Archaea 2011:1–23.</w:t>
      </w:r>
    </w:p>
    <w:p w14:paraId="63371CA8" w14:textId="77777777" w:rsidR="00895FB4" w:rsidRDefault="00895FB4" w:rsidP="00895FB4">
      <w:pPr>
        <w:pStyle w:val="Bibliography"/>
      </w:pPr>
      <w:r>
        <w:t xml:space="preserve">66.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5453332B" w14:textId="77777777" w:rsidR="00895FB4" w:rsidRDefault="00895FB4" w:rsidP="00895FB4">
      <w:pPr>
        <w:pStyle w:val="Bibliography"/>
      </w:pPr>
      <w:r>
        <w:t xml:space="preserve">67. </w:t>
      </w:r>
      <w:r>
        <w:tab/>
        <w:t xml:space="preserve">Siu S, </w:t>
      </w:r>
      <w:proofErr w:type="spellStart"/>
      <w:r>
        <w:t>Robotham</w:t>
      </w:r>
      <w:proofErr w:type="spellEnd"/>
      <w:r>
        <w:t xml:space="preserve"> A, Logan SM, Kelly JF, Uchida K, </w:t>
      </w:r>
      <w:proofErr w:type="spellStart"/>
      <w:r>
        <w:t>Aizawa</w:t>
      </w:r>
      <w:proofErr w:type="spellEnd"/>
      <w:r>
        <w:t xml:space="preserve"> S-I, Jarrell KF.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proofErr w:type="spellStart"/>
      <w:r>
        <w:rPr>
          <w:i/>
          <w:iCs/>
        </w:rPr>
        <w:t>Methanococcus</w:t>
      </w:r>
      <w:proofErr w:type="spellEnd"/>
      <w:r>
        <w:rPr>
          <w:i/>
          <w:iCs/>
        </w:rPr>
        <w:t xml:space="preserve">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197:1668–1680.</w:t>
      </w:r>
    </w:p>
    <w:p w14:paraId="16DEE62B" w14:textId="77777777" w:rsidR="00895FB4" w:rsidRDefault="00895FB4" w:rsidP="00895FB4">
      <w:pPr>
        <w:pStyle w:val="Bibliography"/>
      </w:pPr>
      <w:r>
        <w:t xml:space="preserve">68. </w:t>
      </w:r>
      <w:r>
        <w:tab/>
        <w:t xml:space="preserve">Jain S, </w:t>
      </w:r>
      <w:proofErr w:type="spellStart"/>
      <w:r>
        <w:t>Caforio</w:t>
      </w:r>
      <w:proofErr w:type="spellEnd"/>
      <w:r>
        <w:t xml:space="preserve"> A, </w:t>
      </w:r>
      <w:proofErr w:type="spellStart"/>
      <w:r>
        <w:t>Driessen</w:t>
      </w:r>
      <w:proofErr w:type="spellEnd"/>
      <w:r>
        <w:t xml:space="preserve"> AJM. 2014. Biosynthesis of archaeal membrane ether lipids. Front </w:t>
      </w:r>
      <w:proofErr w:type="spellStart"/>
      <w:r>
        <w:t>Microbiol</w:t>
      </w:r>
      <w:proofErr w:type="spellEnd"/>
      <w:r>
        <w:t xml:space="preserve"> 5.</w:t>
      </w:r>
    </w:p>
    <w:p w14:paraId="0030C888" w14:textId="77777777" w:rsidR="00895FB4" w:rsidRDefault="00895FB4" w:rsidP="00895FB4">
      <w:pPr>
        <w:pStyle w:val="Bibliography"/>
      </w:pPr>
      <w:r>
        <w:t xml:space="preserve">69. </w:t>
      </w:r>
      <w:r>
        <w:tab/>
      </w:r>
      <w:proofErr w:type="spellStart"/>
      <w:r>
        <w:t>Overbeek</w:t>
      </w:r>
      <w:proofErr w:type="spellEnd"/>
      <w:r>
        <w:t xml:space="preserve"> R, Begley T, Butler RM, </w:t>
      </w:r>
      <w:proofErr w:type="spellStart"/>
      <w:r>
        <w:t>Choudhuri</w:t>
      </w:r>
      <w:proofErr w:type="spellEnd"/>
      <w:r>
        <w:t xml:space="preserve"> JV, Chuang H-Y, </w:t>
      </w:r>
      <w:proofErr w:type="spellStart"/>
      <w:r>
        <w:t>Cohoon</w:t>
      </w:r>
      <w:proofErr w:type="spellEnd"/>
      <w:r>
        <w:t xml:space="preserve"> M, de </w:t>
      </w:r>
      <w:proofErr w:type="spellStart"/>
      <w:r>
        <w:t>Crécy-Lagard</w:t>
      </w:r>
      <w:proofErr w:type="spellEnd"/>
      <w:r>
        <w:t xml:space="preserve"> V, Diaz N, </w:t>
      </w:r>
      <w:proofErr w:type="spellStart"/>
      <w:r>
        <w:t>Disz</w:t>
      </w:r>
      <w:proofErr w:type="spellEnd"/>
      <w:r>
        <w:t xml:space="preserve"> T, Edwards R, </w:t>
      </w:r>
      <w:proofErr w:type="spellStart"/>
      <w:r>
        <w:t>Fonstein</w:t>
      </w:r>
      <w:proofErr w:type="spellEnd"/>
      <w:r>
        <w:t xml:space="preserve"> M, Frank ED, </w:t>
      </w:r>
      <w:proofErr w:type="spellStart"/>
      <w:r>
        <w:t>Gerdes</w:t>
      </w:r>
      <w:proofErr w:type="spellEnd"/>
      <w:r>
        <w:t xml:space="preserve"> S, Glass EM, </w:t>
      </w:r>
      <w:proofErr w:type="spellStart"/>
      <w:r>
        <w:t>Goesmann</w:t>
      </w:r>
      <w:proofErr w:type="spellEnd"/>
      <w:r>
        <w:t xml:space="preserve"> A, Hanson A, Iwata-</w:t>
      </w:r>
      <w:proofErr w:type="spellStart"/>
      <w:r>
        <w:t>Reuyl</w:t>
      </w:r>
      <w:proofErr w:type="spellEnd"/>
      <w:r>
        <w:t xml:space="preserve"> D, Jensen R, </w:t>
      </w:r>
      <w:proofErr w:type="spellStart"/>
      <w:r>
        <w:t>Jamshidi</w:t>
      </w:r>
      <w:proofErr w:type="spellEnd"/>
      <w:r>
        <w:t xml:space="preserve"> N, Krause L, </w:t>
      </w:r>
      <w:proofErr w:type="spellStart"/>
      <w:r>
        <w:t>Kubal</w:t>
      </w:r>
      <w:proofErr w:type="spellEnd"/>
      <w:r>
        <w:t xml:space="preserve"> M, Larsen N, </w:t>
      </w:r>
      <w:proofErr w:type="spellStart"/>
      <w:r>
        <w:t>Linke</w:t>
      </w:r>
      <w:proofErr w:type="spellEnd"/>
      <w:r>
        <w:t xml:space="preserve"> B, </w:t>
      </w:r>
      <w:proofErr w:type="spellStart"/>
      <w:r>
        <w:t>McHardy</w:t>
      </w:r>
      <w:proofErr w:type="spellEnd"/>
      <w:r>
        <w:t xml:space="preserve"> AC, Meyer F, </w:t>
      </w:r>
      <w:proofErr w:type="spellStart"/>
      <w:r>
        <w:t>Neuweger</w:t>
      </w:r>
      <w:proofErr w:type="spellEnd"/>
      <w:r>
        <w:t xml:space="preserve"> H, Olsen G, Olson R, Osterman A, Portnoy V, </w:t>
      </w:r>
      <w:proofErr w:type="spellStart"/>
      <w:r>
        <w:t>Pusch</w:t>
      </w:r>
      <w:proofErr w:type="spellEnd"/>
      <w:r>
        <w:t xml:space="preserve"> GD, </w:t>
      </w:r>
      <w:proofErr w:type="spellStart"/>
      <w:r>
        <w:t>Rodionov</w:t>
      </w:r>
      <w:proofErr w:type="spellEnd"/>
      <w:r>
        <w:t xml:space="preserve"> DA, </w:t>
      </w:r>
      <w:proofErr w:type="spellStart"/>
      <w:r>
        <w:t>Rückert</w:t>
      </w:r>
      <w:proofErr w:type="spellEnd"/>
      <w:r>
        <w:t xml:space="preserve"> C, Steiner J, Stevens R, Thiele I, </w:t>
      </w:r>
      <w:proofErr w:type="spellStart"/>
      <w:r>
        <w:t>Vassieva</w:t>
      </w:r>
      <w:proofErr w:type="spellEnd"/>
      <w:r>
        <w:t xml:space="preserve"> O, Ye Y, </w:t>
      </w:r>
      <w:proofErr w:type="spellStart"/>
      <w:r>
        <w:t>Zagnitko</w:t>
      </w:r>
      <w:proofErr w:type="spellEnd"/>
      <w:r>
        <w:t xml:space="preserve"> O, </w:t>
      </w:r>
      <w:proofErr w:type="spellStart"/>
      <w:r>
        <w:t>Vonstein</w:t>
      </w:r>
      <w:proofErr w:type="spellEnd"/>
      <w:r>
        <w:t xml:space="preserve"> V. 2005. The subsystems approach to genome annotation and its use in the project to annotate 1000 genomes. Nucleic Acids Res 33:5691–5702.</w:t>
      </w:r>
    </w:p>
    <w:p w14:paraId="6A89B2C4" w14:textId="77777777" w:rsidR="00895FB4" w:rsidRDefault="00895FB4" w:rsidP="00895FB4">
      <w:pPr>
        <w:pStyle w:val="Bibliography"/>
      </w:pPr>
      <w:r>
        <w:t xml:space="preserve">70. </w:t>
      </w:r>
      <w:r>
        <w:tab/>
      </w:r>
      <w:proofErr w:type="spellStart"/>
      <w:r>
        <w:t>Balderston</w:t>
      </w:r>
      <w:proofErr w:type="spellEnd"/>
      <w:r>
        <w:t xml:space="preserve"> WL, Payne WJ.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32:264–269.</w:t>
      </w:r>
    </w:p>
    <w:p w14:paraId="3F9BED3C" w14:textId="77777777" w:rsidR="00895FB4" w:rsidRDefault="00895FB4" w:rsidP="00895FB4">
      <w:pPr>
        <w:pStyle w:val="Bibliography"/>
      </w:pPr>
      <w:r>
        <w:t xml:space="preserve">71. </w:t>
      </w:r>
      <w:r>
        <w:tab/>
        <w:t xml:space="preserve">Liu Y, Beer LL, Whitman WB. 2012. Methanogens: a window into ancient sulfur metabolism. </w:t>
      </w:r>
      <w:proofErr w:type="gramStart"/>
      <w:r>
        <w:t xml:space="preserve">Trends </w:t>
      </w:r>
      <w:proofErr w:type="spellStart"/>
      <w:r>
        <w:t>Microbiol</w:t>
      </w:r>
      <w:proofErr w:type="spellEnd"/>
      <w:r>
        <w:t xml:space="preserve"> 20:251–258.</w:t>
      </w:r>
      <w:proofErr w:type="gramEnd"/>
    </w:p>
    <w:p w14:paraId="5BE8EB77" w14:textId="77777777" w:rsidR="00895FB4" w:rsidRDefault="00895FB4" w:rsidP="00895FB4">
      <w:pPr>
        <w:pStyle w:val="Bibliography"/>
      </w:pPr>
      <w:r>
        <w:t xml:space="preserve">72. </w:t>
      </w:r>
      <w:r>
        <w:tab/>
        <w:t xml:space="preserve">Feist </w:t>
      </w:r>
      <w:proofErr w:type="gramStart"/>
      <w:r>
        <w:t>AM</w:t>
      </w:r>
      <w:proofErr w:type="gramEnd"/>
      <w:r>
        <w:t xml:space="preserve">, Henry CS, Reed JL, </w:t>
      </w:r>
      <w:proofErr w:type="spellStart"/>
      <w:r>
        <w:t>Krummenacker</w:t>
      </w:r>
      <w:proofErr w:type="spellEnd"/>
      <w:r>
        <w:t xml:space="preserve"> M, Joyce AR, Karp PD, </w:t>
      </w:r>
      <w:proofErr w:type="spellStart"/>
      <w:r>
        <w:t>Broadbelt</w:t>
      </w:r>
      <w:proofErr w:type="spellEnd"/>
      <w:r>
        <w:t xml:space="preserve"> LJ, </w:t>
      </w:r>
      <w:proofErr w:type="spellStart"/>
      <w:r>
        <w:t>Hatzimanikatis</w:t>
      </w:r>
      <w:proofErr w:type="spellEnd"/>
      <w:r>
        <w:t xml:space="preserve"> V, </w:t>
      </w:r>
      <w:proofErr w:type="spellStart"/>
      <w:r>
        <w:t>Palsson</w:t>
      </w:r>
      <w:proofErr w:type="spellEnd"/>
      <w:r>
        <w:t xml:space="preserve"> BØ. 2007. A genome-scale metabolic reconstruction for Escherichia coli K-12 MG1655 that accounts for 1260 ORFs and thermodynamic information. </w:t>
      </w:r>
      <w:proofErr w:type="spellStart"/>
      <w:proofErr w:type="gramStart"/>
      <w:r>
        <w:t>Mol</w:t>
      </w:r>
      <w:proofErr w:type="spellEnd"/>
      <w:r>
        <w:t xml:space="preserve"> </w:t>
      </w:r>
      <w:proofErr w:type="spellStart"/>
      <w:r>
        <w:t>Syst</w:t>
      </w:r>
      <w:proofErr w:type="spellEnd"/>
      <w:r>
        <w:t xml:space="preserve"> </w:t>
      </w:r>
      <w:proofErr w:type="spellStart"/>
      <w:r>
        <w:t>Biol</w:t>
      </w:r>
      <w:proofErr w:type="spellEnd"/>
      <w:r>
        <w:t xml:space="preserve"> 3.</w:t>
      </w:r>
      <w:proofErr w:type="gramEnd"/>
    </w:p>
    <w:p w14:paraId="119E17D0" w14:textId="77777777" w:rsidR="00895FB4" w:rsidRDefault="00895FB4" w:rsidP="00895FB4">
      <w:pPr>
        <w:pStyle w:val="Bibliography"/>
      </w:pPr>
      <w:r>
        <w:t xml:space="preserve">73. </w:t>
      </w:r>
      <w:r>
        <w:tab/>
        <w:t xml:space="preserve">Orth JD, Conrad TM, Na J, </w:t>
      </w:r>
      <w:proofErr w:type="spellStart"/>
      <w:r>
        <w:t>Lerman</w:t>
      </w:r>
      <w:proofErr w:type="spellEnd"/>
      <w:r>
        <w:t xml:space="preserve"> JA, Nam H, Feist AM, </w:t>
      </w:r>
      <w:proofErr w:type="spellStart"/>
      <w:r>
        <w:t>Palsson</w:t>
      </w:r>
      <w:proofErr w:type="spellEnd"/>
      <w:r>
        <w:t xml:space="preserve"> BO. 2014. A comprehensive genome-scale reconstruction of </w:t>
      </w:r>
      <w:r>
        <w:rPr>
          <w:i/>
          <w:iCs/>
        </w:rPr>
        <w:t>Escherichia coli</w:t>
      </w:r>
      <w:r>
        <w:t xml:space="preserve">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7:535–535.</w:t>
      </w:r>
    </w:p>
    <w:p w14:paraId="79044965" w14:textId="77777777" w:rsidR="00895FB4" w:rsidRDefault="00895FB4" w:rsidP="00895FB4">
      <w:pPr>
        <w:pStyle w:val="Bibliography"/>
      </w:pPr>
      <w:r>
        <w:lastRenderedPageBreak/>
        <w:t xml:space="preserve">74. </w:t>
      </w:r>
      <w:r>
        <w:tab/>
        <w:t xml:space="preserve">Sarmiento F, </w:t>
      </w:r>
      <w:proofErr w:type="spellStart"/>
      <w:r>
        <w:t>Mrázek</w:t>
      </w:r>
      <w:proofErr w:type="spellEnd"/>
      <w:r>
        <w:t xml:space="preserve"> J, Whitman WB. 2013. Genome-scale analysis of gene function in the hydrogenotrophic methanogenic archaeon </w:t>
      </w:r>
      <w:proofErr w:type="spellStart"/>
      <w:r>
        <w:rPr>
          <w:i/>
          <w:iCs/>
        </w:rPr>
        <w:t>Methanococcus</w:t>
      </w:r>
      <w:proofErr w:type="spellEnd"/>
      <w:r>
        <w:rPr>
          <w:i/>
          <w:iCs/>
        </w:rPr>
        <w:t xml:space="preserve"> maripaludis</w:t>
      </w:r>
      <w:r>
        <w:t xml:space="preserve">. Proc Natl </w:t>
      </w:r>
      <w:proofErr w:type="spellStart"/>
      <w:r>
        <w:t>Acad</w:t>
      </w:r>
      <w:proofErr w:type="spellEnd"/>
      <w:r>
        <w:t xml:space="preserve"> </w:t>
      </w:r>
      <w:proofErr w:type="spellStart"/>
      <w:r>
        <w:t>Sci</w:t>
      </w:r>
      <w:proofErr w:type="spellEnd"/>
      <w:r>
        <w:t xml:space="preserve"> 110:4726–4731.</w:t>
      </w:r>
    </w:p>
    <w:p w14:paraId="3480A8CB" w14:textId="77777777" w:rsidR="00895FB4" w:rsidRDefault="00895FB4" w:rsidP="00895FB4">
      <w:pPr>
        <w:pStyle w:val="Bibliography"/>
      </w:pPr>
      <w:r>
        <w:t xml:space="preserve">75. </w:t>
      </w:r>
      <w:r>
        <w:tab/>
      </w:r>
      <w:proofErr w:type="spellStart"/>
      <w:r>
        <w:t>Degtyarenko</w:t>
      </w:r>
      <w:proofErr w:type="spellEnd"/>
      <w:r>
        <w:t xml:space="preserve"> K, Matos P de, Ennis M, Hastings J, </w:t>
      </w:r>
      <w:proofErr w:type="spellStart"/>
      <w:r>
        <w:t>Zbinden</w:t>
      </w:r>
      <w:proofErr w:type="spellEnd"/>
      <w:r>
        <w:t xml:space="preserve"> M, </w:t>
      </w:r>
      <w:proofErr w:type="spellStart"/>
      <w:r>
        <w:t>McNaught</w:t>
      </w:r>
      <w:proofErr w:type="spellEnd"/>
      <w:r>
        <w:t xml:space="preserve"> A, </w:t>
      </w:r>
      <w:proofErr w:type="spellStart"/>
      <w:r>
        <w:t>Alcántara</w:t>
      </w:r>
      <w:proofErr w:type="spellEnd"/>
      <w:r>
        <w:t xml:space="preserve"> R, </w:t>
      </w:r>
      <w:proofErr w:type="spellStart"/>
      <w:r>
        <w:t>Darsow</w:t>
      </w:r>
      <w:proofErr w:type="spellEnd"/>
      <w:r>
        <w:t xml:space="preserve"> M, </w:t>
      </w:r>
      <w:proofErr w:type="spellStart"/>
      <w:r>
        <w:t>Guedj</w:t>
      </w:r>
      <w:proofErr w:type="spellEnd"/>
      <w:r>
        <w:t xml:space="preserve"> M, </w:t>
      </w:r>
      <w:proofErr w:type="spellStart"/>
      <w:r>
        <w:t>Ashburner</w:t>
      </w:r>
      <w:proofErr w:type="spellEnd"/>
      <w:r>
        <w:t xml:space="preserve"> M. 2008. </w:t>
      </w:r>
      <w:proofErr w:type="spellStart"/>
      <w:r>
        <w:t>ChEBI</w:t>
      </w:r>
      <w:proofErr w:type="spellEnd"/>
      <w:r>
        <w:t>: a database and ontology for chemical entities of biological interest. Nucleic Acids Res 36:D344–D350.</w:t>
      </w:r>
    </w:p>
    <w:p w14:paraId="46D84C63" w14:textId="77777777" w:rsidR="00895FB4" w:rsidRDefault="00895FB4" w:rsidP="00895FB4">
      <w:pPr>
        <w:pStyle w:val="Bibliography"/>
      </w:pPr>
      <w:r>
        <w:t xml:space="preserve">76. </w:t>
      </w:r>
      <w:r>
        <w:tab/>
      </w:r>
      <w:proofErr w:type="spellStart"/>
      <w:r>
        <w:t>Hucka</w:t>
      </w:r>
      <w:proofErr w:type="spellEnd"/>
      <w:r>
        <w:t xml:space="preserve"> M, Finney A, </w:t>
      </w:r>
      <w:proofErr w:type="spellStart"/>
      <w:r>
        <w:t>Sauro</w:t>
      </w:r>
      <w:proofErr w:type="spellEnd"/>
      <w:r>
        <w:t xml:space="preserve"> HM, </w:t>
      </w:r>
      <w:proofErr w:type="spellStart"/>
      <w:r>
        <w:t>Bolouri</w:t>
      </w:r>
      <w:proofErr w:type="spellEnd"/>
      <w:r>
        <w:t xml:space="preserve"> H, Doyle JC, Kitano H, Forum  and the rest of the S, Arkin AP, Bornstein BJ, Bray D, Cornish-Bowden A, Cuellar AA, </w:t>
      </w:r>
      <w:proofErr w:type="spellStart"/>
      <w:r>
        <w:t>Dronov</w:t>
      </w:r>
      <w:proofErr w:type="spellEnd"/>
      <w:r>
        <w:t xml:space="preserve"> S, Gilles ED, </w:t>
      </w:r>
      <w:proofErr w:type="spellStart"/>
      <w:r>
        <w:t>Ginkel</w:t>
      </w:r>
      <w:proofErr w:type="spellEnd"/>
      <w:r>
        <w:t xml:space="preserve"> M, </w:t>
      </w:r>
      <w:proofErr w:type="spellStart"/>
      <w:r>
        <w:t>Gor</w:t>
      </w:r>
      <w:proofErr w:type="spellEnd"/>
      <w:r>
        <w:t xml:space="preserve"> V, </w:t>
      </w:r>
      <w:proofErr w:type="spellStart"/>
      <w:r>
        <w:t>Goryanin</w:t>
      </w:r>
      <w:proofErr w:type="spellEnd"/>
      <w:r>
        <w:t xml:space="preserve"> II, Hedley WJ, </w:t>
      </w:r>
      <w:proofErr w:type="spellStart"/>
      <w:r>
        <w:t>Hodgman</w:t>
      </w:r>
      <w:proofErr w:type="spellEnd"/>
      <w:r>
        <w:t xml:space="preserve"> TC, </w:t>
      </w:r>
      <w:proofErr w:type="spellStart"/>
      <w:r>
        <w:t>Hofmeyr</w:t>
      </w:r>
      <w:proofErr w:type="spellEnd"/>
      <w:r>
        <w:t xml:space="preserve"> J-H, Hunter PJ, </w:t>
      </w:r>
      <w:proofErr w:type="spellStart"/>
      <w:r>
        <w:t>Juty</w:t>
      </w:r>
      <w:proofErr w:type="spellEnd"/>
      <w:r>
        <w:t xml:space="preserve"> NS, </w:t>
      </w:r>
      <w:proofErr w:type="spellStart"/>
      <w:r>
        <w:t>Kasberger</w:t>
      </w:r>
      <w:proofErr w:type="spellEnd"/>
      <w:r>
        <w:t xml:space="preserve"> JL, </w:t>
      </w:r>
      <w:proofErr w:type="spellStart"/>
      <w:r>
        <w:t>Kremling</w:t>
      </w:r>
      <w:proofErr w:type="spellEnd"/>
      <w:r>
        <w:t xml:space="preserve"> A, </w:t>
      </w:r>
      <w:proofErr w:type="spellStart"/>
      <w:r>
        <w:t>Kummer</w:t>
      </w:r>
      <w:proofErr w:type="spellEnd"/>
      <w:r>
        <w:t xml:space="preserve"> U, </w:t>
      </w:r>
      <w:proofErr w:type="spellStart"/>
      <w:r>
        <w:t>Novère</w:t>
      </w:r>
      <w:proofErr w:type="spellEnd"/>
      <w:r>
        <w:t xml:space="preserve"> NL, Loew LM, Lucio D, Mendes P, Minch E, </w:t>
      </w:r>
      <w:proofErr w:type="spellStart"/>
      <w:r>
        <w:t>Mjolsness</w:t>
      </w:r>
      <w:proofErr w:type="spellEnd"/>
      <w:r>
        <w:t xml:space="preserve"> ED, Nakayama Y, Nelson MR, Nielsen PF, Sakurada T, </w:t>
      </w:r>
      <w:proofErr w:type="spellStart"/>
      <w:r>
        <w:t>Schaff</w:t>
      </w:r>
      <w:proofErr w:type="spellEnd"/>
      <w:r>
        <w:t xml:space="preserve"> JC, Shapiro BE, Shimizu TS, Spence HD, </w:t>
      </w:r>
      <w:proofErr w:type="spellStart"/>
      <w:r>
        <w:t>Stelling</w:t>
      </w:r>
      <w:proofErr w:type="spellEnd"/>
      <w:r>
        <w:t xml:space="preserve"> J, Takahashi K, Tomita M, Wagner J, Wang J. 2003. The systems biology markup language (SBML): a medium for representation and exchange of biochemical network models. Bioinformatics 19:524–531.</w:t>
      </w:r>
    </w:p>
    <w:p w14:paraId="662D5F5E" w14:textId="5A10DC0A"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agsdale" w:date="2016-04-05T10:16:00Z" w:initials="SR">
    <w:p w14:paraId="5374A45C" w14:textId="77777777" w:rsidR="00032675" w:rsidRDefault="00032675" w:rsidP="00CE40C8">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2" w:author="John Leigh" w:date="2016-04-05T10:16:00Z" w:initials="JL">
    <w:p w14:paraId="0A393E0A" w14:textId="02F64299" w:rsidR="00032675" w:rsidRDefault="00032675">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comment>
  <w:comment w:id="3" w:author="Administrator" w:date="2016-04-05T10:16:00Z" w:initials="A">
    <w:p w14:paraId="7949D5C1" w14:textId="0C14A826" w:rsidR="00032675" w:rsidRDefault="00032675">
      <w:pPr>
        <w:pStyle w:val="CommentText"/>
      </w:pPr>
      <w:r>
        <w:rPr>
          <w:rStyle w:val="CommentReference"/>
        </w:rPr>
        <w:annotationRef/>
      </w:r>
      <w:r>
        <w:t>These numbers may need slight updates before final submission in case I make any slight model tweaks</w:t>
      </w:r>
    </w:p>
  </w:comment>
  <w:comment w:id="4" w:author="Stephen Ragsdale" w:date="2016-04-05T10:16:00Z" w:initials="SR">
    <w:p w14:paraId="21AE70EC" w14:textId="2CC408B9" w:rsidR="00032675" w:rsidRDefault="00032675">
      <w:pPr>
        <w:pStyle w:val="CommentText"/>
      </w:pPr>
      <w:r>
        <w:rPr>
          <w:rStyle w:val="CommentReference"/>
        </w:rPr>
        <w:annotationRef/>
      </w:r>
      <w:r>
        <w:t>I wonder if this title should be “Model prediction of the essentiality of electron bifurcation in hydrogenotrophic methanogens”</w:t>
      </w:r>
    </w:p>
  </w:comment>
  <w:comment w:id="5" w:author="Administrator" w:date="2016-04-05T10:16:00Z" w:initials="A">
    <w:p w14:paraId="72BD9027" w14:textId="3A4219DD" w:rsidR="00032675" w:rsidRDefault="00032675">
      <w:pPr>
        <w:pStyle w:val="CommentText"/>
      </w:pPr>
      <w:r>
        <w:rPr>
          <w:rStyle w:val="CommentReference"/>
        </w:rPr>
        <w:annotationRef/>
      </w:r>
      <w:r>
        <w:t xml:space="preserve">I think this is what Tom meant here by “two step one electron transfer”, but I can check with him and perhaps smooth it out a bit more. </w:t>
      </w:r>
    </w:p>
  </w:comment>
  <w:comment w:id="6" w:author="Stephen Ragsdale" w:date="2016-04-05T10:16:00Z" w:initials="SR">
    <w:p w14:paraId="679124FB" w14:textId="699E1256" w:rsidR="00032675" w:rsidRDefault="00032675">
      <w:pPr>
        <w:pStyle w:val="CommentText"/>
      </w:pPr>
      <w:r>
        <w:rPr>
          <w:rStyle w:val="CommentReference"/>
        </w:rPr>
        <w:annotationRef/>
      </w:r>
      <w:r>
        <w:t xml:space="preserve">I think that the equations for the two reactions should be shown here. </w:t>
      </w:r>
    </w:p>
  </w:comment>
  <w:comment w:id="7" w:author="Stephen Ragsdale" w:date="2016-05-02T13:51:00Z" w:initials="SR">
    <w:p w14:paraId="4A51CEC9" w14:textId="77777777" w:rsidR="001F1D6B" w:rsidRDefault="001F1D6B" w:rsidP="001F1D6B">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8" w:author="Stephen Ragsdale" w:date="2016-04-05T10:16:00Z" w:initials="SR">
    <w:p w14:paraId="06DDD0CC" w14:textId="2E484170" w:rsidR="00032675" w:rsidRDefault="00032675">
      <w:pPr>
        <w:pStyle w:val="CommentText"/>
      </w:pPr>
      <w:r>
        <w:rPr>
          <w:rStyle w:val="CommentReference"/>
        </w:rPr>
        <w:annotationRef/>
      </w:r>
      <w:r>
        <w:t xml:space="preserve">This paragraph, as is, seems like speculation and should be moved to the discussion, if it is included at all. No results are presented, so it shouldn’t go here. </w:t>
      </w:r>
    </w:p>
  </w:comment>
  <w:comment w:id="9" w:author="John Leigh" w:date="2016-04-05T10:16:00Z" w:initials="JL">
    <w:p w14:paraId="1566F56C" w14:textId="25A2F2EA" w:rsidR="00032675" w:rsidRDefault="00032675">
      <w:pPr>
        <w:pStyle w:val="CommentText"/>
      </w:pPr>
      <w:r>
        <w:rPr>
          <w:rStyle w:val="CommentReference"/>
        </w:rPr>
        <w:annotationRef/>
      </w:r>
      <w:r>
        <w:t>So a reviewer might ask if there was an effect on the gene knockout predictions below.</w:t>
      </w:r>
    </w:p>
  </w:comment>
  <w:comment w:id="10" w:author="Administrator" w:date="2016-05-02T15:25:00Z" w:initials="A">
    <w:p w14:paraId="78720AD7" w14:textId="67711BD2" w:rsidR="009F44C4" w:rsidRDefault="009F44C4">
      <w:pPr>
        <w:pStyle w:val="CommentText"/>
      </w:pPr>
      <w:r>
        <w:rPr>
          <w:rStyle w:val="CommentReference"/>
        </w:rPr>
        <w:annotationRef/>
      </w:r>
      <w:r>
        <w:t>This is a review article, but I think it’s probably the most relevant reference here</w:t>
      </w:r>
    </w:p>
  </w:comment>
  <w:comment w:id="11" w:author="Stephen Ragsdale" w:date="2016-04-05T10:16:00Z" w:initials="SR">
    <w:p w14:paraId="44BB8C5C" w14:textId="7DC3A3DE" w:rsidR="00032675" w:rsidRDefault="00032675">
      <w:pPr>
        <w:pStyle w:val="CommentText"/>
      </w:pPr>
      <w:r>
        <w:rPr>
          <w:rStyle w:val="CommentReference"/>
        </w:rPr>
        <w:annotationRef/>
      </w:r>
      <w:r>
        <w:t xml:space="preserve">I’m noticing that there is a fair amount of Summarizing at the ends of sections that is not necessary for the results but can be done in the methods. I would also remove the </w:t>
      </w:r>
      <w:proofErr w:type="gramStart"/>
      <w:r>
        <w:t>editorializing .</w:t>
      </w:r>
      <w:proofErr w:type="gramEnd"/>
      <w:r>
        <w:t xml:space="preserve"> IT would have been better to describe exactly why the manual curation (addition of the sulfur pathway) improved the model. … </w:t>
      </w:r>
      <w:proofErr w:type="gramStart"/>
      <w:r>
        <w:t>or</w:t>
      </w:r>
      <w:proofErr w:type="gramEnd"/>
      <w:r>
        <w:t xml:space="preserve"> is the value solely that it makes the model more consistent with the literature?</w:t>
      </w:r>
    </w:p>
  </w:comment>
  <w:comment w:id="12" w:author="Stephen Ragsdale" w:date="2016-04-05T10:16:00Z" w:initials="SR">
    <w:p w14:paraId="08981CB6" w14:textId="21C9CA7E" w:rsidR="00032675" w:rsidRDefault="00032675">
      <w:pPr>
        <w:pStyle w:val="CommentText"/>
      </w:pPr>
      <w:r>
        <w:rPr>
          <w:rStyle w:val="CommentReference"/>
        </w:rPr>
        <w:annotationRef/>
      </w:r>
      <w:r>
        <w:t xml:space="preserve">Where is it demonstrated?  It would be good to include some parameter that demonstrates improvement of the model. </w:t>
      </w:r>
    </w:p>
  </w:comment>
  <w:comment w:id="13" w:author="Stephen Ragsdale" w:date="2016-04-05T10:16:00Z" w:initials="SR">
    <w:p w14:paraId="52C8371D" w14:textId="523B7C3D" w:rsidR="00032675" w:rsidRDefault="00032675">
      <w:pPr>
        <w:pStyle w:val="CommentText"/>
      </w:pPr>
      <w:r>
        <w:rPr>
          <w:rStyle w:val="CommentReference"/>
        </w:rPr>
        <w:annotationRef/>
      </w:r>
      <w:r>
        <w:t xml:space="preserve">It seems that the writing becomes much more diffuse in the later parts of the results. </w:t>
      </w:r>
    </w:p>
  </w:comment>
  <w:comment w:id="14" w:author="Stephen Ragsdale" w:date="2016-04-05T10:16:00Z" w:initials="SR">
    <w:p w14:paraId="23D5EEBE" w14:textId="03F75994" w:rsidR="00032675" w:rsidRDefault="00032675">
      <w:pPr>
        <w:pStyle w:val="CommentText"/>
      </w:pPr>
      <w:r>
        <w:rPr>
          <w:rStyle w:val="CommentReference"/>
        </w:rPr>
        <w:annotationRef/>
      </w:r>
      <w:r>
        <w:t>Discussion section</w:t>
      </w:r>
    </w:p>
  </w:comment>
  <w:comment w:id="15" w:author="John Leigh" w:date="2016-04-05T10:16:00Z" w:initials="JL">
    <w:p w14:paraId="2FA4D4FA" w14:textId="1F035C95" w:rsidR="00032675" w:rsidRDefault="00032675">
      <w:pPr>
        <w:pStyle w:val="CommentText"/>
      </w:pPr>
      <w:r>
        <w:rPr>
          <w:rStyle w:val="CommentReference"/>
        </w:rPr>
        <w:annotationRef/>
      </w:r>
      <w:r>
        <w:t xml:space="preserve">Am I correct that GAM is just on a grams cell mass basis while NGAM is on a grams cell mass per hour basis? </w:t>
      </w:r>
    </w:p>
  </w:comment>
  <w:comment w:id="16" w:author="Administrator" w:date="2016-04-05T10:16:00Z" w:initials="A">
    <w:p w14:paraId="5F0387D5" w14:textId="06538252" w:rsidR="00032675" w:rsidRDefault="00032675">
      <w:pPr>
        <w:pStyle w:val="CommentText"/>
      </w:pPr>
      <w:r>
        <w:rPr>
          <w:rStyle w:val="CommentReference"/>
        </w:rPr>
        <w:annotationRef/>
      </w:r>
      <w:r>
        <w:t>I think so…units make sense based on the plot, but I’ll check on this to make sure</w:t>
      </w:r>
    </w:p>
  </w:comment>
  <w:comment w:id="17" w:author="Stephen Ragsdale" w:date="2016-04-05T10:16:00Z" w:initials="SR">
    <w:p w14:paraId="0787D94B" w14:textId="7B770DBD" w:rsidR="00032675" w:rsidRDefault="00032675">
      <w:pPr>
        <w:pStyle w:val="CommentText"/>
      </w:pPr>
      <w:r>
        <w:rPr>
          <w:rStyle w:val="CommentReference"/>
        </w:rPr>
        <w:annotationRef/>
      </w:r>
      <w:r>
        <w:t xml:space="preserve">Try to condense your results section by at least 30%, getting rid of redundancy and didactic or philosophical concepts (which may be moved to the discussion). </w:t>
      </w:r>
    </w:p>
  </w:comment>
  <w:comment w:id="18" w:author="Stephen Ragsdale" w:date="2016-04-05T10:16:00Z" w:initials="SR">
    <w:p w14:paraId="29B86011" w14:textId="29CB6912" w:rsidR="00032675" w:rsidRDefault="00032675">
      <w:pPr>
        <w:pStyle w:val="CommentText"/>
      </w:pPr>
      <w:r>
        <w:rPr>
          <w:rStyle w:val="CommentReference"/>
        </w:rPr>
        <w:annotationRef/>
      </w:r>
      <w:r>
        <w:t xml:space="preserve">Not sure if this section should be in the paper. If it is, it needs to be streamlined significantly. </w:t>
      </w:r>
    </w:p>
  </w:comment>
  <w:comment w:id="19" w:author="Administrator" w:date="2016-04-05T10:16:00Z" w:initials="A">
    <w:p w14:paraId="2CFC762C" w14:textId="467D93C9" w:rsidR="00032675" w:rsidRDefault="00032675">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 w:id="20" w:author="Stephen Ragsdale" w:date="2016-04-05T10:16:00Z" w:initials="SR">
    <w:p w14:paraId="0A23D335" w14:textId="77EC927C" w:rsidR="00032675" w:rsidRDefault="00032675">
      <w:pPr>
        <w:pStyle w:val="CommentText"/>
      </w:pPr>
      <w:r>
        <w:rPr>
          <w:rStyle w:val="CommentReference"/>
        </w:rPr>
        <w:annotationRef/>
      </w:r>
      <w:r>
        <w:t xml:space="preserve">Again …. SUMMARIZE this material, move some to methods and some to discussion.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E523" w14:textId="77777777" w:rsidR="009641DC" w:rsidRDefault="009641DC" w:rsidP="00516D83">
      <w:pPr>
        <w:spacing w:after="0" w:line="240" w:lineRule="auto"/>
      </w:pPr>
      <w:r>
        <w:separator/>
      </w:r>
    </w:p>
  </w:endnote>
  <w:endnote w:type="continuationSeparator" w:id="0">
    <w:p w14:paraId="66C0DA60" w14:textId="77777777" w:rsidR="009641DC" w:rsidRDefault="009641DC"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032675" w:rsidRDefault="00032675">
    <w:pPr>
      <w:pStyle w:val="Footer"/>
      <w:jc w:val="center"/>
    </w:pPr>
    <w:r>
      <w:fldChar w:fldCharType="begin"/>
    </w:r>
    <w:r>
      <w:instrText xml:space="preserve"> PAGE   \* MERGEFORMAT </w:instrText>
    </w:r>
    <w:r>
      <w:fldChar w:fldCharType="separate"/>
    </w:r>
    <w:r w:rsidR="004B4269">
      <w:rPr>
        <w:noProof/>
      </w:rPr>
      <w:t>2</w:t>
    </w:r>
    <w:r>
      <w:rPr>
        <w:noProof/>
      </w:rPr>
      <w:fldChar w:fldCharType="end"/>
    </w:r>
  </w:p>
  <w:p w14:paraId="45C11215" w14:textId="77777777" w:rsidR="00032675" w:rsidRDefault="00032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79E5F" w14:textId="77777777" w:rsidR="009641DC" w:rsidRDefault="009641DC" w:rsidP="00516D83">
      <w:pPr>
        <w:spacing w:after="0" w:line="240" w:lineRule="auto"/>
      </w:pPr>
      <w:r>
        <w:separator/>
      </w:r>
    </w:p>
  </w:footnote>
  <w:footnote w:type="continuationSeparator" w:id="0">
    <w:p w14:paraId="184028A7" w14:textId="77777777" w:rsidR="009641DC" w:rsidRDefault="009641DC"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7F87"/>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3C67"/>
    <w:rsid w:val="002607EE"/>
    <w:rsid w:val="0026382C"/>
    <w:rsid w:val="002659AE"/>
    <w:rsid w:val="00266387"/>
    <w:rsid w:val="002670AD"/>
    <w:rsid w:val="00270704"/>
    <w:rsid w:val="00270FE5"/>
    <w:rsid w:val="00274688"/>
    <w:rsid w:val="00275D3A"/>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19FA"/>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C69E7"/>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84AFD-5C1E-4C49-A18A-174CEC1A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27</Pages>
  <Words>44109</Words>
  <Characters>251422</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294942</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cp:lastPrinted>2016-01-11T05:49:00Z</cp:lastPrinted>
  <dcterms:created xsi:type="dcterms:W3CDTF">2016-04-05T17:16:00Z</dcterms:created>
  <dcterms:modified xsi:type="dcterms:W3CDTF">2016-05-02T22:42:00Z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id="UTqtiIMG"/&gt;&lt;style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