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7BA400B"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proofErr w:type="spellStart"/>
      <w:r w:rsidR="00651B46">
        <w:rPr>
          <w:i/>
        </w:rPr>
        <w:t>Methanococcus</w:t>
      </w:r>
      <w:proofErr w:type="spellEnd"/>
      <w:r w:rsidR="00651B46">
        <w:rPr>
          <w:i/>
        </w:rPr>
        <w:t xml:space="preserve">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w:t>
      </w:r>
      <w:r w:rsidR="00651B46">
        <w:t xml:space="preserve">To better understand its metabolism and compare it with </w:t>
      </w:r>
      <w:r w:rsidR="00651B46">
        <w:t>other</w:t>
      </w:r>
      <w:r w:rsidR="00651B46">
        <w:t xml:space="preserve"> methanogens </w:t>
      </w:r>
      <w:r w:rsidR="00651B46">
        <w:t>that utilize</w:t>
      </w:r>
      <w:r w:rsidR="00651B46">
        <w:t xml:space="preserve"> </w:t>
      </w:r>
      <w:r w:rsidR="002A1DF2">
        <w:t>a</w:t>
      </w:r>
      <w:r w:rsidR="00651B46">
        <w:t xml:space="preserve"> traditional </w:t>
      </w:r>
      <w:proofErr w:type="spellStart"/>
      <w:r w:rsidR="00651B46">
        <w:t>chemiosmotic</w:t>
      </w:r>
      <w:proofErr w:type="spellEnd"/>
      <w:r w:rsidR="00651B46">
        <w:t xml:space="preserve"> mode of energy conversation, we have built iMR539</w:t>
      </w:r>
      <w:r w:rsidR="00651B46">
        <w:t>, a genome scale metab</w:t>
      </w:r>
      <w:r w:rsidR="002A1DF2">
        <w:t>olic reconstruction that account</w:t>
      </w:r>
      <w:r w:rsidR="00651B46">
        <w:t>s for 539 of its 1722 protein-coding genes</w:t>
      </w:r>
      <w:r w:rsidR="00651B46">
        <w:t>.</w:t>
      </w:r>
      <w:r w:rsidR="00651B46">
        <w:t xml:space="preserve"> </w:t>
      </w:r>
      <w:r w:rsidR="002A1DF2">
        <w:t xml:space="preserve">Our reconstructed network uses recent literature to not only portray the central electron bifurcation </w:t>
      </w:r>
      <w:bookmarkStart w:id="0" w:name="_GoBack"/>
      <w:r w:rsidR="002A1DF2">
        <w:t xml:space="preserve">reaction, but also incorporate vital biosynthesis </w:t>
      </w:r>
      <w:r w:rsidR="005F2447">
        <w:t xml:space="preserve">and assimilation </w:t>
      </w:r>
      <w:r w:rsidR="002A1DF2">
        <w:t xml:space="preserve">pathways, including unique </w:t>
      </w:r>
      <w:bookmarkEnd w:id="0"/>
      <w:r w:rsidR="002A1DF2">
        <w:t xml:space="preserve">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1"/>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1"/>
      <w:r w:rsidR="006A665D">
        <w:rPr>
          <w:rStyle w:val="CommentReference"/>
          <w:rFonts w:asciiTheme="minorHAnsi" w:hAnsiTheme="minorHAnsi"/>
        </w:rPr>
        <w:commentReference w:id="1"/>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5D177372"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EA94660"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2"/>
      <w:r w:rsidR="004862FB">
        <w:t xml:space="preserve">(method currently not available through </w:t>
      </w:r>
      <w:proofErr w:type="spellStart"/>
      <w:r w:rsidR="004862FB">
        <w:t>Kbase</w:t>
      </w:r>
      <w:proofErr w:type="spellEnd"/>
      <w:r w:rsidR="004862FB">
        <w:t xml:space="preserve"> Narrative Interface).</w:t>
      </w:r>
      <w:commentRangeEnd w:id="2"/>
      <w:r w:rsidR="00AE21C1">
        <w:rPr>
          <w:rStyle w:val="CommentReference"/>
          <w:rFonts w:asciiTheme="minorHAnsi" w:hAnsiTheme="minorHAnsi"/>
        </w:rPr>
        <w:commentReference w:id="2"/>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35B0B"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35B0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35B0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3"/>
      <w:r>
        <w:t xml:space="preserve">Experimental </w:t>
      </w:r>
      <w:r w:rsidR="00FB6A81">
        <w:t>Measurements</w:t>
      </w:r>
      <w:commentRangeEnd w:id="3"/>
      <w:r w:rsidR="001056FA">
        <w:rPr>
          <w:rStyle w:val="CommentReference"/>
          <w:rFonts w:asciiTheme="minorHAnsi" w:eastAsiaTheme="minorHAnsi" w:hAnsiTheme="minorHAnsi" w:cstheme="minorBidi"/>
          <w:b w:val="0"/>
          <w:bCs w:val="0"/>
          <w:color w:val="auto"/>
        </w:rPr>
        <w:commentReference w:id="3"/>
      </w:r>
    </w:p>
    <w:p w14:paraId="14C1A5CE" w14:textId="5B0218EA"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4635668F"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w:t>
      </w:r>
      <w:r w:rsidR="00F55A92">
        <w:t xml:space="preserve"> Overall chemostat optical density was measured and 20</w:t>
      </w:r>
      <w:r w:rsidR="00650EC2">
        <w:t xml:space="preserve"> mL aliquots of cells in media were </w:t>
      </w:r>
      <w:r w:rsidR="006A723F">
        <w:t xml:space="preserve">then </w:t>
      </w:r>
      <w:r w:rsidR="004105BE">
        <w:t xml:space="preserve">sampled directly from chemostat culture </w:t>
      </w:r>
      <w:r w:rsidR="00F55A92">
        <w:t xml:space="preserve">by syringe. These aliquots </w:t>
      </w:r>
      <w:proofErr w:type="spellStart"/>
      <w:r w:rsidR="00F55A92">
        <w:t>werevacuum</w:t>
      </w:r>
      <w:proofErr w:type="spellEnd"/>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r w:rsidR="00650EC2">
        <w:t xml:space="preserve"> </w:t>
      </w:r>
    </w:p>
    <w:p w14:paraId="5C055897" w14:textId="2C084E83"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r w:rsidR="001D1107">
        <w:t xml:space="preserve">In </w:t>
      </w:r>
      <w:r w:rsidR="00D414E0">
        <w:t xml:space="preserve">practice, this required us to measure the growth rate and methane secretion rate of </w:t>
      </w:r>
      <w:r w:rsidR="001D1107">
        <w:rPr>
          <w:i/>
        </w:rPr>
        <w:t>M. maripaludis</w:t>
      </w:r>
      <w:r w:rsidR="00D414E0">
        <w:rPr>
          <w:i/>
        </w:rPr>
        <w:t xml:space="preserve"> </w:t>
      </w:r>
      <w:r w:rsidR="00D414E0">
        <w:t xml:space="preserve">during steady state growth to obtain a set of training data. For each time point, we </w:t>
      </w:r>
      <w:r w:rsidR="00D414E0">
        <w:lastRenderedPageBreak/>
        <w:t>constrained our model to our measured growth rate and secretion rate and set the model objective to maximize ATP hydrolysis (</w:t>
      </w:r>
      <w:proofErr w:type="gramStart"/>
      <w:r w:rsidR="00D414E0">
        <w:t>rxn00062[</w:t>
      </w:r>
      <w:proofErr w:type="gramEnd"/>
      <w:r w:rsidR="00D414E0">
        <w:t xml:space="preserve">c0]). We plotted the resulting value of ATP production </w:t>
      </w:r>
      <w:r w:rsidR="00F55A92">
        <w:t xml:space="preserve">as a function of </w:t>
      </w:r>
      <w:r w:rsidR="00D414E0">
        <w:t xml:space="preserve">growth rate and obtained the growth-associated (slope) and non-growth associated (y-intercept) ATP maintenance values </w:t>
      </w:r>
      <w:r w:rsidR="00F55A92">
        <w:t xml:space="preserve">using a linear model. </w:t>
      </w:r>
      <w:r w:rsidR="001D1107">
        <w:rPr>
          <w:i/>
        </w:rPr>
        <w:t xml:space="preserve"> </w:t>
      </w:r>
      <w:r w:rsidR="00F55A92">
        <w:t xml:space="preserve">We ensured steady state growth by </w:t>
      </w:r>
      <w:r w:rsidR="004105BE">
        <w:rPr>
          <w:rFonts w:eastAsiaTheme="minorEastAsia"/>
        </w:rPr>
        <w:t>monitor</w:t>
      </w:r>
      <w:r w:rsidR="00F55A92">
        <w:rPr>
          <w:rFonts w:eastAsiaTheme="minorEastAsia"/>
        </w:rPr>
        <w:t>ing</w:t>
      </w:r>
      <w:r w:rsidR="004105BE">
        <w:rPr>
          <w:rFonts w:eastAsiaTheme="minorEastAsia"/>
        </w:rPr>
        <w:t xml:space="preserve"> dry cell weight via optical density values. </w:t>
      </w:r>
      <w:r w:rsidR="00F55A92">
        <w:rPr>
          <w:rFonts w:eastAsiaTheme="minorEastAsia"/>
        </w:rPr>
        <w:t>Cell growth rate was measured using chemostat dilution rate, which is equivalent to growth rate at steady state {</w:t>
      </w:r>
      <w:r w:rsidR="00F55A92" w:rsidRPr="00F55A92">
        <w:rPr>
          <w:rFonts w:eastAsiaTheme="minorEastAsia"/>
          <w:highlight w:val="yellow"/>
        </w:rPr>
        <w:t>ref?</w:t>
      </w:r>
      <w:r w:rsidR="00F55A92">
        <w:rPr>
          <w:rFonts w:eastAsiaTheme="minorEastAsia"/>
        </w:rPr>
        <w:t xml:space="preserve">}. Methane evolution rate was quantitatively assessed by </w:t>
      </w:r>
      <w:r w:rsidR="00381A37">
        <w:rPr>
          <w:rFonts w:eastAsiaTheme="minorEastAsia"/>
        </w:rPr>
        <w:t xml:space="preserve">measuring total gas outflow using a bubble flow meter and measuring </w:t>
      </w:r>
      <w:r w:rsidR="00F55A92">
        <w:rPr>
          <w:rFonts w:eastAsiaTheme="minorEastAsia"/>
        </w:rPr>
        <w:t xml:space="preserve">the </w:t>
      </w:r>
      <w:r w:rsidR="00381A37">
        <w:rPr>
          <w:rFonts w:eastAsiaTheme="minorEastAsia"/>
        </w:rPr>
        <w:t xml:space="preserve">methane </w:t>
      </w:r>
      <w:r w:rsidR="00F55A92">
        <w:rPr>
          <w:rFonts w:eastAsiaTheme="minorEastAsia"/>
        </w:rPr>
        <w:t xml:space="preserve">fraction </w:t>
      </w:r>
      <w:r w:rsidR="004105BE">
        <w:rPr>
          <w:rFonts w:eastAsiaTheme="minorEastAsia"/>
        </w:rPr>
        <w:t>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4"/>
      <w:r>
        <w:t xml:space="preserve">Reconstruction </w:t>
      </w:r>
      <w:r w:rsidR="00920B05">
        <w:t>Statistics</w:t>
      </w:r>
      <w:commentRangeEnd w:id="4"/>
      <w:r w:rsidR="008270DA">
        <w:rPr>
          <w:rStyle w:val="CommentReference"/>
          <w:rFonts w:asciiTheme="minorHAnsi" w:eastAsiaTheme="minorHAnsi" w:hAnsiTheme="minorHAnsi" w:cstheme="minorBidi"/>
          <w:b w:val="0"/>
          <w:bCs w:val="0"/>
          <w:color w:val="auto"/>
        </w:rPr>
        <w:commentReference w:id="4"/>
      </w:r>
    </w:p>
    <w:p w14:paraId="180FA53C" w14:textId="07B121DB" w:rsidR="00650EC2" w:rsidRDefault="00920B05" w:rsidP="004F28CF">
      <w:pPr>
        <w:spacing w:line="480" w:lineRule="auto"/>
      </w:pPr>
      <w:r>
        <w:t xml:space="preserve">The basic statistics for </w:t>
      </w:r>
      <w:r w:rsidR="0026382C">
        <w:t xml:space="preserve">iMR539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7D8F3BAD" w:rsidR="00650EC2" w:rsidRDefault="001908F4" w:rsidP="007A2129">
      <w:pPr>
        <w:spacing w:line="480" w:lineRule="auto"/>
      </w:pPr>
      <w:r>
        <w:lastRenderedPageBreak/>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these reactions and the 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143D9D42"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all added to fill biosynthesis gaps but have no supporting literature evidence. In total, </w:t>
      </w:r>
      <w:r w:rsidR="00D43FEF">
        <w:t xml:space="preserve">46 </w:t>
      </w:r>
      <w:r w:rsidR="00516D83">
        <w:t>of the 85 reactions genes(54%) are gap</w:t>
      </w:r>
      <w:r w:rsidR="00CD3E73">
        <w:t xml:space="preserve"> </w:t>
      </w:r>
      <w:r w:rsidR="00516D83">
        <w:t xml:space="preserve">filling reactions and the remaining 39 (46%) are classified as “hypothetical”, </w:t>
      </w:r>
      <w:r w:rsidR="00516D83">
        <w:lastRenderedPageBreak/>
        <w:t xml:space="preserve">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reactions in this latter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77777777" w:rsidR="00EF5BC0" w:rsidRDefault="00EF5BC0" w:rsidP="00EF5BC0">
      <w:pPr>
        <w:spacing w:line="480" w:lineRule="auto"/>
      </w:pPr>
      <w:r>
        <w:t xml:space="preserve">It has been often assumed that the methanogenic pathway is linear with two main membrane complexes for generating membrane potential. That is the </w:t>
      </w:r>
      <w:proofErr w:type="spellStart"/>
      <w:r>
        <w:t>Mtr</w:t>
      </w:r>
      <w:proofErr w:type="spellEnd"/>
      <w:r>
        <w:t xml:space="preserve"> and the 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lastRenderedPageBreak/>
        <w:t>(</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model.</w:t>
      </w:r>
    </w:p>
    <w:p w14:paraId="345F5C25" w14:textId="7A8FC0D7"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p>
    <w:p w14:paraId="61B6AC86" w14:textId="77777777"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7F3C28B3" w:rsidR="00105926" w:rsidRP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proofErr w:type="spellEnd"/>
      <w:r w:rsidR="00105926">
        <w:t xml:space="preserve"> complex but could not perform electron bifurcation. We optimized our model for growth on </w:t>
      </w:r>
      <w:r w:rsidR="00105926">
        <w:lastRenderedPageBreak/>
        <w:t>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suggesting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scenario effectively produces no sodium ion gradient for synthesizing ATP, the central component necessary for biomass formation. Additionally, methanogenesis also “leaks”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853534">
        <w:t>EhA</w:t>
      </w:r>
      <w:proofErr w:type="spellEnd"/>
      <w:r w:rsidR="00853534">
        <w:t xml:space="preserve"> hydrogenase can play only an anaplerotic role in methanogenesis </w:t>
      </w:r>
      <w:r w:rsidR="00853534">
        <w:fldChar w:fldCharType="begin"/>
      </w:r>
      <w:r w:rsidR="00853534">
        <w:instrText xml:space="preserve"> ADDIN ZOTERO_ITEM CSL_CITATION {"citationID":"2dljuucmmq","properties":{"formattedCitation":"(32)","plainCitation":"(32)"},"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853534" w:rsidRPr="00853534">
        <w:rPr>
          <w:rFonts w:cs="Times New Roman"/>
        </w:rPr>
        <w:t>(32)</w:t>
      </w:r>
      <w:r w:rsidR="00853534">
        <w:fldChar w:fldCharType="end"/>
      </w:r>
      <w:r w:rsidR="00853534">
        <w:t xml:space="preserve">. </w:t>
      </w:r>
    </w:p>
    <w:p w14:paraId="7511EAEE" w14:textId="76830441" w:rsidR="00EF5BC0" w:rsidRPr="00EF5BC0" w:rsidRDefault="00EF5BC0" w:rsidP="00853534">
      <w:pPr>
        <w:spacing w:line="480" w:lineRule="auto"/>
      </w:pPr>
      <w:commentRangeStart w:id="5"/>
      <w:r>
        <w:t>Interestingly</w:t>
      </w:r>
      <w:commentRangeEnd w:id="5"/>
      <w:r w:rsidR="00853534">
        <w:rPr>
          <w:rStyle w:val="CommentReference"/>
          <w:rFonts w:asciiTheme="minorHAnsi" w:hAnsiTheme="minorHAnsi"/>
        </w:rPr>
        <w:commentReference w:id="5"/>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Pr="0026382C">
        <w:rPr>
          <w:rFonts w:cs="Times New Roman"/>
        </w:rPr>
        <w:t>(41)</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changes promiscuous ferredoxins to </w:t>
      </w:r>
      <w:r w:rsidR="00853534">
        <w:t xml:space="preserve">specific ferredoxins for the </w:t>
      </w:r>
      <w:proofErr w:type="spellStart"/>
      <w:r w:rsidR="00853534">
        <w:t>EhA</w:t>
      </w:r>
      <w:proofErr w:type="spellEnd"/>
      <w:r>
        <w:t xml:space="preserve"> hydrogenase, heterodisulfide reductase, and </w:t>
      </w:r>
      <w:proofErr w:type="spellStart"/>
      <w:r>
        <w:t>formylmethanfuran</w:t>
      </w:r>
      <w:proofErr w:type="spellEnd"/>
      <w:r>
        <w:t xml:space="preserve"> dehydrogenase (carbon dioxide r</w:t>
      </w:r>
      <w:r w:rsidR="00853534">
        <w:t>eduction). Using this function</w:t>
      </w:r>
      <w:r>
        <w:t xml:space="preserve">, tightens the coupling between the aforementioned reactions by restricting them all to </w:t>
      </w:r>
      <w:r>
        <w:lastRenderedPageBreak/>
        <w:t>one pool of electron carriers and allows us to predict how ferredoxin specificity could change possible model flux distributions.</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lastRenderedPageBreak/>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6"/>
      <w:r w:rsidR="005E58A9">
        <w:t>We were unsure of the accuracy of this value and t</w:t>
      </w:r>
      <w:r w:rsidR="00C82E52">
        <w:t>o mitigate our concerns</w:t>
      </w:r>
      <w:commentRangeEnd w:id="6"/>
      <w:r w:rsidR="005E58A9">
        <w:rPr>
          <w:rStyle w:val="CommentReference"/>
          <w:rFonts w:asciiTheme="minorHAnsi" w:hAnsiTheme="minorHAnsi"/>
        </w:rPr>
        <w:commentReference w:id="6"/>
      </w:r>
      <w:r w:rsidR="00C82E52">
        <w:t>, we re-measured this conversion factor (see Methods)</w:t>
      </w:r>
      <w:r w:rsidR="005E58A9">
        <w:t>.</w:t>
      </w:r>
      <w:r w:rsidR="00C82E52">
        <w:t xml:space="preserve"> </w:t>
      </w:r>
      <w:r w:rsidR="005E58A9">
        <w:t xml:space="preserve">We used our newly-measured </w:t>
      </w:r>
      <w:r w:rsidR="00C82E52">
        <w:lastRenderedPageBreak/>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7"/>
      <w:r w:rsidR="00C82E52">
        <w:t>limitation</w:t>
      </w:r>
      <w:commentRangeEnd w:id="7"/>
      <w:r w:rsidR="00EC4669">
        <w:rPr>
          <w:rStyle w:val="CommentReference"/>
          <w:rFonts w:asciiTheme="minorHAnsi" w:hAnsiTheme="minorHAnsi"/>
        </w:rPr>
        <w:commentReference w:id="7"/>
      </w:r>
      <w:r w:rsidR="00C82E52">
        <w:t xml:space="preserve">. </w:t>
      </w:r>
    </w:p>
    <w:p w14:paraId="66C45521" w14:textId="356AC08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xml:space="preserve"># in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8"/>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8"/>
      <w:r w:rsidR="00435253">
        <w:rPr>
          <w:rStyle w:val="CommentReference"/>
          <w:rFonts w:asciiTheme="minorHAnsi" w:hAnsiTheme="minorHAnsi"/>
        </w:rPr>
        <w:commentReference w:id="8"/>
      </w:r>
    </w:p>
    <w:p w14:paraId="3A8609F4" w14:textId="4CE743BA" w:rsidR="009F4D6C" w:rsidRDefault="00AD6208" w:rsidP="007A2129">
      <w:pPr>
        <w:spacing w:line="480" w:lineRule="auto"/>
      </w:pPr>
      <w:commentRangeStart w:id="9"/>
      <w:r>
        <w:t>Gene</w:t>
      </w:r>
      <w:commentRangeEnd w:id="9"/>
      <w:r w:rsidR="002A1B75">
        <w:rPr>
          <w:rStyle w:val="CommentReference"/>
          <w:rFonts w:asciiTheme="minorHAnsi" w:hAnsiTheme="minorHAnsi"/>
        </w:rPr>
        <w:commentReference w:id="9"/>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w:t>
      </w:r>
      <w:r>
        <w:lastRenderedPageBreak/>
        <w:t xml:space="preserve">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the GAPOR cycle is a regulatory difference, and we have chosen to leave the cycle upregulated as a default to allow for a richer spectrum of possible flux distributions. Thus, although our </w:t>
      </w:r>
      <w:r w:rsidR="009F4D6C">
        <w:lastRenderedPageBreak/>
        <w:t>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0"/>
      <w:r>
        <w:t>growth</w:t>
      </w:r>
      <w:commentRangeEnd w:id="10"/>
      <w:r w:rsidR="005C589C">
        <w:rPr>
          <w:rStyle w:val="CommentReference"/>
          <w:rFonts w:asciiTheme="minorHAnsi" w:hAnsiTheme="minorHAnsi"/>
        </w:rPr>
        <w:commentReference w:id="10"/>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1"/>
      <w:r w:rsidR="006D6FE3">
        <w:t>itself</w:t>
      </w:r>
      <w:commentRangeEnd w:id="11"/>
      <w:r w:rsidR="00967F47">
        <w:rPr>
          <w:rStyle w:val="CommentReference"/>
          <w:rFonts w:asciiTheme="minorHAnsi" w:hAnsiTheme="minorHAnsi"/>
        </w:rPr>
        <w:commentReference w:id="11"/>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w:t>
      </w:r>
      <w:r>
        <w:lastRenderedPageBreak/>
        <w:t xml:space="preserve">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2"/>
      <w:r w:rsidR="00B36C33">
        <w:t>Distribution</w:t>
      </w:r>
      <w:commentRangeEnd w:id="12"/>
      <w:r w:rsidR="00967F47">
        <w:rPr>
          <w:rStyle w:val="CommentReference"/>
          <w:rFonts w:asciiTheme="minorHAnsi" w:eastAsiaTheme="minorHAnsi" w:hAnsiTheme="minorHAnsi" w:cstheme="minorBidi"/>
          <w:b w:val="0"/>
          <w:bCs w:val="0"/>
          <w:color w:val="auto"/>
        </w:rPr>
        <w:commentReference w:id="12"/>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w:t>
      </w:r>
      <w:r w:rsidR="00322F94">
        <w:lastRenderedPageBreak/>
        <w:t xml:space="preserve">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3"/>
      <w:r w:rsidR="00CF4E3A">
        <w:t>model</w:t>
      </w:r>
      <w:commentRangeEnd w:id="13"/>
      <w:r w:rsidR="00CF4E3A">
        <w:t xml:space="preserve">. </w:t>
      </w:r>
      <w:r w:rsidR="00CF4E3A">
        <w:rPr>
          <w:rStyle w:val="CommentReference"/>
          <w:rFonts w:asciiTheme="minorHAnsi" w:hAnsiTheme="minorHAnsi"/>
        </w:rPr>
        <w:commentReference w:id="13"/>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w:t>
      </w:r>
      <w:r>
        <w:lastRenderedPageBreak/>
        <w:t xml:space="preserve">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lastRenderedPageBreak/>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lastRenderedPageBreak/>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4"/>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4"/>
      <w:r w:rsidR="00665411">
        <w:rPr>
          <w:rStyle w:val="CommentReference"/>
          <w:rFonts w:asciiTheme="minorHAnsi" w:hAnsiTheme="minorHAnsi"/>
          <w:b w:val="0"/>
          <w:bCs w:val="0"/>
          <w:color w:val="auto"/>
        </w:rPr>
        <w:commentReference w:id="14"/>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istrator" w:date="2015-11-11T13:13:00Z" w:initials="A">
    <w:p w14:paraId="42468D9A" w14:textId="3DA7865C" w:rsidR="00D35B0B" w:rsidRDefault="00D35B0B" w:rsidP="002670AD">
      <w:pPr>
        <w:pStyle w:val="CommentText"/>
      </w:pPr>
      <w:r>
        <w:rPr>
          <w:rStyle w:val="CommentReference"/>
        </w:rPr>
        <w:annotationRef/>
      </w:r>
      <w:r>
        <w:t>Still considering that this could use some smoothing out or re-wording</w:t>
      </w:r>
    </w:p>
  </w:comment>
  <w:comment w:id="2" w:author="Administrator" w:date="2015-09-09T11:05:00Z" w:initials="A">
    <w:p w14:paraId="45684249" w14:textId="3FF7F29E" w:rsidR="00D35B0B" w:rsidRDefault="00D35B0B">
      <w:pPr>
        <w:pStyle w:val="CommentText"/>
      </w:pPr>
      <w:r>
        <w:rPr>
          <w:rStyle w:val="CommentReference"/>
        </w:rPr>
        <w:annotationRef/>
      </w:r>
      <w:r>
        <w:t>Hopefully this will change</w:t>
      </w:r>
    </w:p>
  </w:comment>
  <w:comment w:id="3" w:author="Administrator" w:date="2015-09-08T14:14:00Z" w:initials="A">
    <w:p w14:paraId="3FAB654A" w14:textId="25D57E8C" w:rsidR="00D35B0B" w:rsidRDefault="00D35B0B">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4" w:author="Administrator" w:date="2015-11-16T10:23:00Z" w:initials="A">
    <w:p w14:paraId="510EDFC4" w14:textId="342A3A73" w:rsidR="00D35B0B" w:rsidRDefault="00D35B0B">
      <w:pPr>
        <w:pStyle w:val="CommentText"/>
      </w:pPr>
      <w:r>
        <w:rPr>
          <w:rStyle w:val="CommentReference"/>
        </w:rPr>
        <w:annotationRef/>
      </w:r>
      <w:r>
        <w:t>Nearly all of these numbers need to be slightly updated to reflect some recent changes</w:t>
      </w:r>
    </w:p>
  </w:comment>
  <w:comment w:id="5" w:author="Administrator" w:date="2015-11-17T17:16:00Z" w:initials="A">
    <w:p w14:paraId="4B73E84E" w14:textId="259AF0B3" w:rsidR="00D35B0B" w:rsidRDefault="00D35B0B">
      <w:pPr>
        <w:pStyle w:val="CommentText"/>
      </w:pPr>
      <w:r>
        <w:rPr>
          <w:rStyle w:val="CommentReference"/>
        </w:rPr>
        <w:annotationRef/>
      </w:r>
      <w:r>
        <w:t xml:space="preserve">Need more meat in the specific ferredoxins; do another check on exactly what doing this shows. </w:t>
      </w:r>
    </w:p>
  </w:comment>
  <w:comment w:id="6" w:author="Administrator" w:date="2015-09-09T12:07:00Z" w:initials="A">
    <w:p w14:paraId="1963DBB8" w14:textId="3B721CD3" w:rsidR="00D35B0B" w:rsidRDefault="00D35B0B">
      <w:pPr>
        <w:pStyle w:val="CommentText"/>
      </w:pPr>
      <w:r>
        <w:rPr>
          <w:rStyle w:val="CommentReference"/>
        </w:rPr>
        <w:annotationRef/>
      </w:r>
      <w:r>
        <w:t>I feel like there’s definitely a better way to put this, it’s escaping me at the moment. I’m open to suggestions</w:t>
      </w:r>
    </w:p>
  </w:comment>
  <w:comment w:id="7" w:author="Administrator" w:date="2015-11-16T10:24:00Z" w:initials="A">
    <w:p w14:paraId="0992E3F0" w14:textId="6067024E" w:rsidR="00D35B0B" w:rsidRDefault="00D35B0B">
      <w:pPr>
        <w:pStyle w:val="CommentText"/>
      </w:pPr>
      <w:r>
        <w:rPr>
          <w:rStyle w:val="CommentReference"/>
        </w:rPr>
        <w:annotationRef/>
      </w:r>
      <w:r>
        <w:t xml:space="preserve">Values highlighted in pink here are waiting for values to be inserted once we finish measuring/calculating them. </w:t>
      </w:r>
    </w:p>
  </w:comment>
  <w:comment w:id="8" w:author="Administrator" w:date="2015-11-16T10:25:00Z" w:initials="A">
    <w:p w14:paraId="6C9CD276" w14:textId="17EEAE78" w:rsidR="00D35B0B" w:rsidRDefault="00D35B0B">
      <w:pPr>
        <w:pStyle w:val="CommentText"/>
      </w:pPr>
      <w:r>
        <w:rPr>
          <w:rStyle w:val="CommentReference"/>
        </w:rPr>
        <w:annotationRef/>
      </w:r>
      <w:r>
        <w:t xml:space="preserve">This whole section is contingent on how our growth experiments turn out, but I can’t imagine that we’ll be far off.  </w:t>
      </w:r>
    </w:p>
  </w:comment>
  <w:comment w:id="9" w:author="Administrator" w:date="2015-11-16T10:26:00Z" w:initials="A">
    <w:p w14:paraId="47C55C3F" w14:textId="679C03FE" w:rsidR="00D35B0B" w:rsidRDefault="00D35B0B">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D35B0B" w:rsidRDefault="00D35B0B">
      <w:pPr>
        <w:pStyle w:val="CommentText"/>
      </w:pPr>
    </w:p>
    <w:p w14:paraId="0E878096" w14:textId="6F94CAC8" w:rsidR="00D35B0B" w:rsidRDefault="00D35B0B">
      <w:pPr>
        <w:pStyle w:val="CommentText"/>
      </w:pPr>
      <w:r>
        <w:t>Also worth noting that some numbers here have changed too (90% -&gt; 86.7%, 26/30 correct, MCC ~0.56)</w:t>
      </w:r>
    </w:p>
  </w:comment>
  <w:comment w:id="10" w:author="Administrator" w:date="2015-09-08T16:33:00Z" w:initials="A">
    <w:p w14:paraId="6B626597" w14:textId="0674677C" w:rsidR="00D35B0B" w:rsidRDefault="00D35B0B">
      <w:pPr>
        <w:pStyle w:val="CommentText"/>
      </w:pPr>
      <w:r>
        <w:rPr>
          <w:rStyle w:val="CommentReference"/>
        </w:rPr>
        <w:annotationRef/>
      </w:r>
      <w:r>
        <w:t>Is this common sense enough? Do I need a specific source here?</w:t>
      </w:r>
    </w:p>
  </w:comment>
  <w:comment w:id="11" w:author="Administrator" w:date="2015-09-09T12:16:00Z" w:initials="A">
    <w:p w14:paraId="2B29973C" w14:textId="18E14E10" w:rsidR="00D35B0B" w:rsidRDefault="00D35B0B">
      <w:pPr>
        <w:pStyle w:val="CommentText"/>
      </w:pPr>
      <w:r>
        <w:rPr>
          <w:rStyle w:val="CommentReference"/>
        </w:rPr>
        <w:annotationRef/>
      </w:r>
      <w:r>
        <w:t>Should I have a result and figure of running this code here? It seems like that might be missing right now</w:t>
      </w:r>
    </w:p>
  </w:comment>
  <w:comment w:id="12" w:author="Administrator" w:date="2015-09-09T12:18:00Z" w:initials="A">
    <w:p w14:paraId="49F11034" w14:textId="229FD3EA" w:rsidR="00D35B0B" w:rsidRDefault="00D35B0B">
      <w:pPr>
        <w:pStyle w:val="CommentText"/>
      </w:pPr>
      <w:r>
        <w:rPr>
          <w:rStyle w:val="CommentReference"/>
        </w:rPr>
        <w:annotationRef/>
      </w:r>
      <w:r>
        <w:t>This is very much a “Data Availability” type section; perhaps it deserves its own short section separate from Results?</w:t>
      </w:r>
    </w:p>
  </w:comment>
  <w:comment w:id="13" w:author="Administrator" w:date="2015-09-09T12:19:00Z" w:initials="A">
    <w:p w14:paraId="3FCB8553" w14:textId="2E6241A7" w:rsidR="00D35B0B" w:rsidRDefault="00D35B0B">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4" w:author="Administrator" w:date="2015-09-08T14:21:00Z" w:initials="A">
    <w:p w14:paraId="1E05CE63" w14:textId="2ABCE296" w:rsidR="00D35B0B" w:rsidRDefault="00D35B0B">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E8442" w14:textId="77777777" w:rsidR="00A12B7B" w:rsidRDefault="00A12B7B" w:rsidP="00516D83">
      <w:pPr>
        <w:spacing w:after="0" w:line="240" w:lineRule="auto"/>
      </w:pPr>
      <w:r>
        <w:separator/>
      </w:r>
    </w:p>
  </w:endnote>
  <w:endnote w:type="continuationSeparator" w:id="0">
    <w:p w14:paraId="5A85B3E7" w14:textId="77777777" w:rsidR="00A12B7B" w:rsidRDefault="00A12B7B"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35B0B" w:rsidRDefault="00D35B0B">
        <w:pPr>
          <w:pStyle w:val="Footer"/>
          <w:jc w:val="center"/>
        </w:pPr>
        <w:r>
          <w:fldChar w:fldCharType="begin"/>
        </w:r>
        <w:r>
          <w:instrText xml:space="preserve"> PAGE   \* MERGEFORMAT </w:instrText>
        </w:r>
        <w:r>
          <w:fldChar w:fldCharType="separate"/>
        </w:r>
        <w:r w:rsidR="005F2447">
          <w:rPr>
            <w:noProof/>
          </w:rPr>
          <w:t>1</w:t>
        </w:r>
        <w:r>
          <w:rPr>
            <w:noProof/>
          </w:rPr>
          <w:fldChar w:fldCharType="end"/>
        </w:r>
      </w:p>
    </w:sdtContent>
  </w:sdt>
  <w:p w14:paraId="7DC31E85" w14:textId="77777777" w:rsidR="00D35B0B" w:rsidRDefault="00D35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6ED6A" w14:textId="77777777" w:rsidR="00A12B7B" w:rsidRDefault="00A12B7B" w:rsidP="00516D83">
      <w:pPr>
        <w:spacing w:after="0" w:line="240" w:lineRule="auto"/>
      </w:pPr>
      <w:r>
        <w:separator/>
      </w:r>
    </w:p>
  </w:footnote>
  <w:footnote w:type="continuationSeparator" w:id="0">
    <w:p w14:paraId="4DC510D2" w14:textId="77777777" w:rsidR="00A12B7B" w:rsidRDefault="00A12B7B"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64662"/>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602A6"/>
    <w:rsid w:val="00665411"/>
    <w:rsid w:val="00666EBB"/>
    <w:rsid w:val="00673E4C"/>
    <w:rsid w:val="00681980"/>
    <w:rsid w:val="006A665D"/>
    <w:rsid w:val="006A723F"/>
    <w:rsid w:val="006B0C00"/>
    <w:rsid w:val="006C011E"/>
    <w:rsid w:val="006C2CF1"/>
    <w:rsid w:val="006D6FE3"/>
    <w:rsid w:val="007032A7"/>
    <w:rsid w:val="0071383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0785B"/>
    <w:rsid w:val="00815A63"/>
    <w:rsid w:val="008270DA"/>
    <w:rsid w:val="008367FA"/>
    <w:rsid w:val="0084303B"/>
    <w:rsid w:val="0084390A"/>
    <w:rsid w:val="00853534"/>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2B7B"/>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3AFC"/>
    <w:rsid w:val="00B042B4"/>
    <w:rsid w:val="00B11429"/>
    <w:rsid w:val="00B1506E"/>
    <w:rsid w:val="00B273EF"/>
    <w:rsid w:val="00B36C33"/>
    <w:rsid w:val="00B37EA1"/>
    <w:rsid w:val="00B42019"/>
    <w:rsid w:val="00B42562"/>
    <w:rsid w:val="00B47A20"/>
    <w:rsid w:val="00B543C6"/>
    <w:rsid w:val="00B552F6"/>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35B0B"/>
    <w:rsid w:val="00D414E0"/>
    <w:rsid w:val="00D43FEF"/>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EF5BC0"/>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95886336"/>
        <c:axId val="95909760"/>
      </c:barChart>
      <c:catAx>
        <c:axId val="95886336"/>
        <c:scaling>
          <c:orientation val="minMax"/>
        </c:scaling>
        <c:delete val="0"/>
        <c:axPos val="b"/>
        <c:majorTickMark val="out"/>
        <c:minorTickMark val="none"/>
        <c:tickLblPos val="nextTo"/>
        <c:crossAx val="95909760"/>
        <c:crosses val="autoZero"/>
        <c:auto val="1"/>
        <c:lblAlgn val="ctr"/>
        <c:lblOffset val="100"/>
        <c:noMultiLvlLbl val="0"/>
      </c:catAx>
      <c:valAx>
        <c:axId val="95909760"/>
        <c:scaling>
          <c:orientation val="minMax"/>
        </c:scaling>
        <c:delete val="0"/>
        <c:axPos val="l"/>
        <c:majorGridlines/>
        <c:numFmt formatCode="General" sourceLinked="1"/>
        <c:majorTickMark val="out"/>
        <c:minorTickMark val="none"/>
        <c:tickLblPos val="nextTo"/>
        <c:crossAx val="95886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930B-B88A-4FDF-B880-AF1577AE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36</Pages>
  <Words>30711</Words>
  <Characters>175055</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2015-11-16T18:29:00Z</dcterms:created>
  <dcterms:modified xsi:type="dcterms:W3CDTF">2015-11-19T20:51:00Z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id="xMO59kqi"/&gt;&lt;style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