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3F3E0">
      <w:pPr>
        <w:spacing w:after="240"/>
        <w:jc w:val="center"/>
        <w:rPr>
          <w:b/>
          <w:color w:val="1F4E79"/>
          <w:sz w:val="36"/>
        </w:rPr>
      </w:pPr>
      <w:bookmarkStart w:id="0" w:name="_GoBack"/>
      <w:r>
        <w:rPr>
          <w:b/>
          <w:color w:val="1F4E79"/>
          <w:sz w:val="36"/>
        </w:rPr>
        <w:t>PLAN DE LECȚIE</w:t>
      </w:r>
    </w:p>
    <w:p w14:paraId="5625B383">
      <w:pPr>
        <w:spacing w:after="240"/>
        <w:jc w:val="left"/>
        <w:rPr>
          <w:rFonts w:hint="default" w:ascii="Times New Roman" w:hAnsi="Times New Roman" w:cs="Times New Roman"/>
          <w:b/>
          <w:color w:val="1F4E79"/>
          <w:sz w:val="24"/>
          <w:szCs w:val="24"/>
        </w:rPr>
      </w:pPr>
      <w:r>
        <w:rPr>
          <w:b/>
          <w:color w:val="1F4E79"/>
          <w:sz w:val="36"/>
        </w:rPr>
        <w:br w:type="textWrapping"/>
      </w:r>
      <w:r>
        <w:rPr>
          <w:rFonts w:hint="default" w:ascii="Times New Roman" w:hAnsi="Times New Roman" w:cs="Times New Roman"/>
          <w:b/>
          <w:color w:val="1F4E79"/>
          <w:sz w:val="24"/>
          <w:szCs w:val="24"/>
        </w:rPr>
        <w:t>DISCIPLINA: ISTORIE</w:t>
      </w:r>
    </w:p>
    <w:p w14:paraId="533DFFC1">
      <w:pPr>
        <w:spacing w:after="240"/>
        <w:jc w:val="left"/>
        <w:rPr>
          <w:rFonts w:hint="default" w:ascii="Times New Roman" w:hAnsi="Times New Roman" w:cs="Times New Roman"/>
          <w:sz w:val="24"/>
          <w:szCs w:val="24"/>
          <w:lang w:val="ro-RO"/>
        </w:rPr>
      </w:pPr>
      <w:r>
        <w:rPr>
          <w:rFonts w:hint="default" w:ascii="Times New Roman" w:hAnsi="Times New Roman" w:cs="Times New Roman"/>
          <w:b/>
          <w:color w:val="1F4E79"/>
          <w:sz w:val="24"/>
          <w:szCs w:val="24"/>
        </w:rPr>
        <w:t xml:space="preserve"> CLASA A IX-A</w:t>
      </w:r>
      <w:r>
        <w:rPr>
          <w:rFonts w:hint="default" w:ascii="Times New Roman" w:hAnsi="Times New Roman" w:cs="Times New Roman"/>
          <w:b/>
          <w:color w:val="1F4E79"/>
          <w:sz w:val="24"/>
          <w:szCs w:val="24"/>
          <w:lang w:val="ro-RO"/>
        </w:rPr>
        <w:t xml:space="preserve"> U1-STIINTE SOCIALE</w:t>
      </w:r>
    </w:p>
    <w:p w14:paraId="1BBA8084">
      <w:r>
        <w:rPr>
          <w:b/>
        </w:rPr>
        <w:t xml:space="preserve">Unitatea de învățare: </w:t>
      </w:r>
      <w:r>
        <w:t>Orientul Antic</w:t>
      </w:r>
      <w:r>
        <w:br w:type="textWrapping"/>
      </w:r>
      <w:r>
        <w:rPr>
          <w:b/>
        </w:rPr>
        <w:t xml:space="preserve">Subiectul lecției: </w:t>
      </w:r>
      <w:r>
        <w:t>Orientul Antic: Cadrul geografic, societatea, inventarea scrisului, religia</w:t>
      </w:r>
      <w:r>
        <w:br w:type="textWrapping"/>
      </w:r>
      <w:r>
        <w:rPr>
          <w:b/>
        </w:rPr>
        <w:t xml:space="preserve">Tipul lecției: </w:t>
      </w:r>
      <w:r>
        <w:t>Lecție de dobândire de noi cunoștințe</w:t>
      </w:r>
      <w:r>
        <w:br w:type="textWrapping"/>
      </w:r>
      <w:r>
        <w:rPr>
          <w:b/>
        </w:rPr>
        <w:t xml:space="preserve">Timp alocat: </w:t>
      </w:r>
      <w:r>
        <w:t>50 minute</w:t>
      </w:r>
    </w:p>
    <w:p w14:paraId="1F589908">
      <w:pPr>
        <w:rPr>
          <w:rFonts w:hint="default"/>
          <w:lang w:val="ro-RO"/>
        </w:rPr>
      </w:pPr>
      <w:r>
        <w:rPr>
          <w:rFonts w:hint="default"/>
          <w:lang w:val="ro-RO"/>
        </w:rPr>
        <w:t>PROFESOR: CRISTEA MARICICA</w:t>
      </w:r>
    </w:p>
    <w:p w14:paraId="15F76DDB">
      <w:pPr>
        <w:keepNext/>
        <w:spacing w:before="240" w:after="120"/>
      </w:pPr>
      <w:r>
        <w:rPr>
          <w:rFonts w:ascii="Calibri" w:hAnsi="Calibri"/>
          <w:b/>
          <w:color w:val="1F4E79"/>
          <w:sz w:val="32"/>
        </w:rPr>
        <w:t>1. Competențe și Obiective</w:t>
      </w:r>
    </w:p>
    <w:p w14:paraId="3EA001E8">
      <w:pPr>
        <w:keepNext/>
        <w:spacing w:before="200" w:after="80"/>
      </w:pPr>
      <w:r>
        <w:rPr>
          <w:rFonts w:ascii="Calibri" w:hAnsi="Calibri"/>
          <w:b/>
          <w:color w:val="2E74B5"/>
          <w:sz w:val="26"/>
        </w:rPr>
        <w:t>Competențe specifice:</w:t>
      </w:r>
    </w:p>
    <w:p w14:paraId="4B8796DE">
      <w:pPr>
        <w:pStyle w:val="23"/>
      </w:pPr>
      <w:r>
        <w:t>1.1. Utilizarea termenilor istorici fundamentali în mesaje orale sau scrise.</w:t>
      </w:r>
      <w:r>
        <w:br w:type="textWrapping"/>
      </w:r>
      <w:r>
        <w:t>2.1. Localizarea în timp și spațiu a faptelor istorice din Antichitate.</w:t>
      </w:r>
      <w:r>
        <w:br w:type="textWrapping"/>
      </w:r>
      <w:r>
        <w:t>3.2. Analiza izvoarelor istorice scrise pentru a identifica elemente de organizare socială și juridică.</w:t>
      </w:r>
    </w:p>
    <w:p w14:paraId="4728550E">
      <w:pPr>
        <w:keepNext/>
        <w:spacing w:before="200" w:after="80"/>
      </w:pPr>
      <w:r>
        <w:rPr>
          <w:rFonts w:ascii="Calibri" w:hAnsi="Calibri"/>
          <w:b/>
          <w:color w:val="2E74B5"/>
          <w:sz w:val="26"/>
        </w:rPr>
        <w:t>Obiective operaționale (la sfârșitul lecției, elevii vor fi capabili să):</w:t>
      </w:r>
    </w:p>
    <w:p w14:paraId="69EB470C">
      <w:pPr>
        <w:pStyle w:val="23"/>
      </w:pPr>
      <w:r>
        <w:t>O1: Să localizeze pe hartă principalele civilizații ale Orientului Antic (Mesopotamia, Egipt, Fenicia, Iudaism).</w:t>
      </w:r>
    </w:p>
    <w:p w14:paraId="3D702645">
      <w:pPr>
        <w:pStyle w:val="23"/>
      </w:pPr>
      <w:r>
        <w:t>O2: Să descrie structura socială piramidală a statelor din Orientul Antic.</w:t>
      </w:r>
    </w:p>
    <w:p w14:paraId="19D805DD">
      <w:pPr>
        <w:pStyle w:val="23"/>
      </w:pPr>
      <w:r>
        <w:t>O3: Să identifice importanța apariției scrisului și a primelor coduri de legi.</w:t>
      </w:r>
    </w:p>
    <w:p w14:paraId="3500B597">
      <w:pPr>
        <w:pStyle w:val="23"/>
      </w:pPr>
      <w:r>
        <w:t>O4: Să compare caracteristicile religiilor politeiste cu cele ale religiei monoteiste (iudaismul).</w:t>
      </w:r>
    </w:p>
    <w:p w14:paraId="377AB970">
      <w:pPr>
        <w:keepNext/>
        <w:spacing w:before="240" w:after="120"/>
      </w:pPr>
      <w:r>
        <w:rPr>
          <w:rFonts w:ascii="Calibri" w:hAnsi="Calibri"/>
          <w:b/>
          <w:color w:val="1F4E79"/>
          <w:sz w:val="32"/>
        </w:rPr>
        <w:t>2. Strategia Didactică</w:t>
      </w:r>
    </w:p>
    <w:p w14:paraId="542AE6DF">
      <w:r>
        <w:rPr>
          <w:b/>
        </w:rPr>
        <w:t xml:space="preserve">Metode și procedee: </w:t>
      </w:r>
      <w:r>
        <w:t>Expunerea, conversația euristică, lucrul cu harta, analiza de text istoric (metoda cadranelor), problematizarea.</w:t>
      </w:r>
      <w:r>
        <w:br w:type="textWrapping"/>
      </w:r>
      <w:r>
        <w:rPr>
          <w:b/>
        </w:rPr>
        <w:t xml:space="preserve">Mijloace de învățământ: </w:t>
      </w:r>
      <w:r>
        <w:t>Manualul, harta istorică a Orientului Antic, fișa de lucru (Codul lui Hammurabi), tabla, videoproiectorul (opțional).</w:t>
      </w:r>
      <w:r>
        <w:br w:type="textWrapping"/>
      </w:r>
      <w:r>
        <w:rPr>
          <w:b/>
        </w:rPr>
        <w:t xml:space="preserve">Forme de organizare: </w:t>
      </w:r>
      <w:r>
        <w:t>Frontală, individuală.</w:t>
      </w:r>
    </w:p>
    <w:p w14:paraId="37842579"/>
    <w:p w14:paraId="740D5A4E"/>
    <w:p w14:paraId="69C8405E"/>
    <w:p w14:paraId="7EA63F04"/>
    <w:p w14:paraId="12276B1E"/>
    <w:p w14:paraId="1F70A9E6">
      <w:pPr>
        <w:keepNext/>
        <w:spacing w:before="240" w:after="120"/>
      </w:pPr>
      <w:r>
        <w:rPr>
          <w:rFonts w:ascii="Calibri" w:hAnsi="Calibri"/>
          <w:b/>
          <w:color w:val="1F4E79"/>
          <w:sz w:val="32"/>
        </w:rPr>
        <w:t>3. Desfășurarea Lecției (Tabel)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BC8F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1F4E79"/>
          </w:tcPr>
          <w:p w14:paraId="7BE44CE2">
            <w:pPr>
              <w:spacing w:before="80" w:after="80"/>
            </w:pPr>
            <w:r>
              <w:rPr>
                <w:b/>
                <w:sz w:val="20"/>
              </w:rPr>
              <w:t>Etapa lecției (Timp)</w:t>
            </w:r>
          </w:p>
        </w:tc>
        <w:tc>
          <w:tcPr>
            <w:tcW w:w="576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1F4E79"/>
          </w:tcPr>
          <w:p w14:paraId="26A4549F">
            <w:pPr>
              <w:spacing w:before="80" w:after="80"/>
            </w:pPr>
            <w:r>
              <w:rPr>
                <w:b/>
                <w:sz w:val="20"/>
              </w:rPr>
              <w:t>Ob.</w:t>
            </w:r>
          </w:p>
        </w:tc>
        <w:tc>
          <w:tcPr>
            <w:tcW w:w="3168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1F4E79"/>
          </w:tcPr>
          <w:p w14:paraId="2BD4788A">
            <w:pPr>
              <w:spacing w:before="80" w:after="80"/>
            </w:pPr>
            <w:r>
              <w:rPr>
                <w:b/>
                <w:sz w:val="20"/>
              </w:rPr>
              <w:t>Activitatea profesorului</w:t>
            </w:r>
          </w:p>
        </w:tc>
        <w:tc>
          <w:tcPr>
            <w:tcW w:w="2880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1F4E79"/>
          </w:tcPr>
          <w:p w14:paraId="5382ED75">
            <w:pPr>
              <w:spacing w:before="80" w:after="80"/>
            </w:pPr>
            <w:r>
              <w:rPr>
                <w:b/>
                <w:sz w:val="20"/>
              </w:rPr>
              <w:t>Activitatea elevilor</w:t>
            </w:r>
          </w:p>
        </w:tc>
        <w:tc>
          <w:tcPr>
            <w:tcW w:w="1584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1F4E79"/>
          </w:tcPr>
          <w:p w14:paraId="17EC1A9F">
            <w:pPr>
              <w:spacing w:before="80" w:after="80"/>
            </w:pPr>
            <w:r>
              <w:rPr>
                <w:b/>
                <w:sz w:val="20"/>
              </w:rPr>
              <w:t>Metode / Evaluare</w:t>
            </w:r>
          </w:p>
        </w:tc>
      </w:tr>
      <w:tr w14:paraId="6CD64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2BC94F2F">
            <w:pPr>
              <w:spacing w:before="60" w:after="60"/>
            </w:pPr>
            <w:r>
              <w:rPr>
                <w:sz w:val="19"/>
              </w:rPr>
              <w:t>1. Moment organizatoric (2 min)</w:t>
            </w:r>
          </w:p>
        </w:tc>
        <w:tc>
          <w:tcPr>
            <w:tcW w:w="576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7DE4FD84">
            <w:pPr>
              <w:spacing w:before="60" w:after="60"/>
            </w:pPr>
            <w:r>
              <w:rPr>
                <w:sz w:val="19"/>
              </w:rPr>
              <w:t>-</w:t>
            </w:r>
          </w:p>
        </w:tc>
        <w:tc>
          <w:tcPr>
            <w:tcW w:w="3168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3C2E534A">
            <w:pPr>
              <w:spacing w:before="60" w:after="60"/>
            </w:pPr>
            <w:r>
              <w:rPr>
                <w:sz w:val="19"/>
              </w:rPr>
              <w:t>Notarea absențelor, pregătirea mijloacelor didactice, asigurarea liniștii.</w:t>
            </w:r>
          </w:p>
        </w:tc>
        <w:tc>
          <w:tcPr>
            <w:tcW w:w="2880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1BDC3D23">
            <w:pPr>
              <w:spacing w:before="60" w:after="60"/>
            </w:pPr>
            <w:r>
              <w:rPr>
                <w:sz w:val="19"/>
              </w:rPr>
              <w:t>Își pregătesc manualele și caietele.</w:t>
            </w:r>
          </w:p>
        </w:tc>
        <w:tc>
          <w:tcPr>
            <w:tcW w:w="1584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1B31A874">
            <w:pPr>
              <w:spacing w:before="60" w:after="60"/>
            </w:pPr>
            <w:r>
              <w:rPr>
                <w:sz w:val="19"/>
              </w:rPr>
              <w:t>Conversație</w:t>
            </w:r>
          </w:p>
        </w:tc>
      </w:tr>
      <w:tr w14:paraId="11B1D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1D6DA914">
            <w:pPr>
              <w:spacing w:before="60" w:after="60"/>
            </w:pPr>
            <w:r>
              <w:rPr>
                <w:sz w:val="19"/>
              </w:rPr>
              <w:t>2. Evocare / Reactualizare (5 min)</w:t>
            </w:r>
          </w:p>
        </w:tc>
        <w:tc>
          <w:tcPr>
            <w:tcW w:w="576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4A768F8E">
            <w:pPr>
              <w:spacing w:before="60" w:after="60"/>
            </w:pPr>
            <w:r>
              <w:rPr>
                <w:sz w:val="19"/>
              </w:rPr>
              <w:t>-</w:t>
            </w:r>
          </w:p>
        </w:tc>
        <w:tc>
          <w:tcPr>
            <w:tcW w:w="3168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1EE38E86">
            <w:pPr>
              <w:spacing w:before="60" w:after="60"/>
            </w:pPr>
            <w:r>
              <w:rPr>
                <w:sz w:val="19"/>
              </w:rPr>
              <w:t>Adresează întrebări despre trecerea de la Preistorie la Istorie și importanța marilor fluvii.</w:t>
            </w:r>
          </w:p>
        </w:tc>
        <w:tc>
          <w:tcPr>
            <w:tcW w:w="2880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2182E4F7">
            <w:pPr>
              <w:spacing w:before="60" w:after="60"/>
            </w:pPr>
            <w:r>
              <w:rPr>
                <w:sz w:val="19"/>
              </w:rPr>
              <w:t>Răspund la întrebări, amintindu-și rolul Nilului sau Tigrului.</w:t>
            </w:r>
          </w:p>
        </w:tc>
        <w:tc>
          <w:tcPr>
            <w:tcW w:w="1584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6AF9F5D3">
            <w:pPr>
              <w:spacing w:before="60" w:after="60"/>
            </w:pPr>
            <w:r>
              <w:rPr>
                <w:sz w:val="19"/>
              </w:rPr>
              <w:t>Conversație euristică</w:t>
            </w:r>
          </w:p>
        </w:tc>
      </w:tr>
      <w:tr w14:paraId="42EB8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76D16489">
            <w:pPr>
              <w:spacing w:before="60" w:after="60"/>
            </w:pPr>
            <w:r>
              <w:rPr>
                <w:sz w:val="19"/>
              </w:rPr>
              <w:t>3. Anunțarea temei și a obiectivelor (3 min)</w:t>
            </w:r>
          </w:p>
        </w:tc>
        <w:tc>
          <w:tcPr>
            <w:tcW w:w="576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4F0DF66C">
            <w:pPr>
              <w:spacing w:before="60" w:after="60"/>
            </w:pPr>
            <w:r>
              <w:rPr>
                <w:sz w:val="19"/>
              </w:rPr>
              <w:t>-</w:t>
            </w:r>
          </w:p>
        </w:tc>
        <w:tc>
          <w:tcPr>
            <w:tcW w:w="3168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374AE685">
            <w:pPr>
              <w:spacing w:before="60" w:after="60"/>
            </w:pPr>
            <w:r>
              <w:rPr>
                <w:sz w:val="19"/>
              </w:rPr>
              <w:t>Scrie titlul pe tablă: „Orientul Antic”. Prezintă pe scurt punctele principale ce vor fi abordate.</w:t>
            </w:r>
          </w:p>
        </w:tc>
        <w:tc>
          <w:tcPr>
            <w:tcW w:w="2880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085EC23A">
            <w:pPr>
              <w:spacing w:before="60" w:after="60"/>
            </w:pPr>
            <w:r>
              <w:rPr>
                <w:sz w:val="19"/>
              </w:rPr>
              <w:t>Notează titlul în caiete și ascultă obiectivele.</w:t>
            </w:r>
          </w:p>
        </w:tc>
        <w:tc>
          <w:tcPr>
            <w:tcW w:w="1584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2ADBE105">
            <w:pPr>
              <w:spacing w:before="60" w:after="60"/>
            </w:pPr>
            <w:r>
              <w:rPr>
                <w:sz w:val="19"/>
              </w:rPr>
              <w:t>Expunere</w:t>
            </w:r>
          </w:p>
        </w:tc>
      </w:tr>
      <w:tr w14:paraId="57EC3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344D11CC">
            <w:pPr>
              <w:spacing w:before="60" w:after="60"/>
            </w:pPr>
            <w:r>
              <w:rPr>
                <w:sz w:val="19"/>
              </w:rPr>
              <w:t>4. Realizarea sensului (25 min)</w:t>
            </w:r>
          </w:p>
        </w:tc>
        <w:tc>
          <w:tcPr>
            <w:tcW w:w="576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47E767C0">
            <w:pPr>
              <w:spacing w:before="60" w:after="60"/>
            </w:pPr>
            <w:r>
              <w:rPr>
                <w:sz w:val="19"/>
              </w:rPr>
              <w:t>O1, O2, O3, O4</w:t>
            </w:r>
          </w:p>
        </w:tc>
        <w:tc>
          <w:tcPr>
            <w:tcW w:w="3168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33C13CD1">
            <w:pPr>
              <w:spacing w:before="60" w:after="60"/>
            </w:pPr>
            <w:r>
              <w:rPr>
                <w:sz w:val="19"/>
              </w:rPr>
              <w:t>Prezintă cadrul geografic (Semiluna Roditoare), structura socială (monarhul absolut), apariția scrisului (cuneiform, hieroglife) și tipurile de religie. Coordonează completarea schiței.</w:t>
            </w:r>
          </w:p>
        </w:tc>
        <w:tc>
          <w:tcPr>
            <w:tcW w:w="2880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7AAE9E22">
            <w:pPr>
              <w:spacing w:before="60" w:after="60"/>
            </w:pPr>
            <w:r>
              <w:rPr>
                <w:sz w:val="19"/>
              </w:rPr>
              <w:t>Urmăresc explicațiile, localizează pe hartă regiunile, adresează întrebări și notează schița pe caiet.</w:t>
            </w:r>
          </w:p>
        </w:tc>
        <w:tc>
          <w:tcPr>
            <w:tcW w:w="1584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695F2290">
            <w:pPr>
              <w:spacing w:before="60" w:after="60"/>
            </w:pPr>
            <w:r>
              <w:rPr>
                <w:sz w:val="19"/>
              </w:rPr>
              <w:t>Expunere, Lucrul cu harta, Conversație</w:t>
            </w:r>
          </w:p>
        </w:tc>
      </w:tr>
      <w:tr w14:paraId="56ADD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54598ED9">
            <w:pPr>
              <w:spacing w:before="60" w:after="60"/>
            </w:pPr>
            <w:r>
              <w:rPr>
                <w:sz w:val="19"/>
              </w:rPr>
              <w:t>5. Reflecție / Fixare (12 min)</w:t>
            </w:r>
          </w:p>
        </w:tc>
        <w:tc>
          <w:tcPr>
            <w:tcW w:w="576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39313DE1">
            <w:pPr>
              <w:spacing w:before="60" w:after="60"/>
            </w:pPr>
            <w:r>
              <w:rPr>
                <w:sz w:val="19"/>
              </w:rPr>
              <w:t>O3</w:t>
            </w:r>
          </w:p>
        </w:tc>
        <w:tc>
          <w:tcPr>
            <w:tcW w:w="3168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7C0852AA">
            <w:pPr>
              <w:spacing w:before="60" w:after="60"/>
            </w:pPr>
            <w:r>
              <w:rPr>
                <w:sz w:val="19"/>
              </w:rPr>
              <w:t>Distribuie Fișa de lucru (Codul lui Hammurabi). Ghidează elevii în analiza textului și rezolvarea cerințelor.</w:t>
            </w:r>
          </w:p>
        </w:tc>
        <w:tc>
          <w:tcPr>
            <w:tcW w:w="2880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6115420D">
            <w:pPr>
              <w:spacing w:before="60" w:after="60"/>
            </w:pPr>
            <w:r>
              <w:rPr>
                <w:sz w:val="19"/>
              </w:rPr>
              <w:t>Citesc textul istoric în mod individual și rezolvă cele 4 cerințe de pe fișă.</w:t>
            </w:r>
          </w:p>
        </w:tc>
        <w:tc>
          <w:tcPr>
            <w:tcW w:w="1584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18465510">
            <w:pPr>
              <w:spacing w:before="60" w:after="60"/>
            </w:pPr>
            <w:r>
              <w:rPr>
                <w:sz w:val="19"/>
              </w:rPr>
              <w:t>Analiză de text (Lucru individual)</w:t>
            </w:r>
          </w:p>
        </w:tc>
      </w:tr>
      <w:tr w14:paraId="6DEA5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0E806728">
            <w:pPr>
              <w:spacing w:before="60" w:after="60"/>
            </w:pPr>
            <w:r>
              <w:rPr>
                <w:sz w:val="19"/>
              </w:rPr>
              <w:t>6. Evaluare și temă (3 min)</w:t>
            </w:r>
          </w:p>
        </w:tc>
        <w:tc>
          <w:tcPr>
            <w:tcW w:w="576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0FE3B5C8">
            <w:pPr>
              <w:spacing w:before="60" w:after="60"/>
            </w:pPr>
            <w:r>
              <w:rPr>
                <w:sz w:val="19"/>
              </w:rPr>
              <w:t>-</w:t>
            </w:r>
          </w:p>
        </w:tc>
        <w:tc>
          <w:tcPr>
            <w:tcW w:w="3168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3033DFB0">
            <w:pPr>
              <w:spacing w:before="60" w:after="60"/>
            </w:pPr>
            <w:r>
              <w:rPr>
                <w:sz w:val="19"/>
              </w:rPr>
              <w:t>Apreciază participarea elevilor. Recomandă ca temă aprofundarea schiței și a textului analizat.</w:t>
            </w:r>
          </w:p>
        </w:tc>
        <w:tc>
          <w:tcPr>
            <w:tcW w:w="2880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41F4F653">
            <w:pPr>
              <w:spacing w:before="60" w:after="60"/>
            </w:pPr>
            <w:r>
              <w:rPr>
                <w:sz w:val="19"/>
              </w:rPr>
              <w:t>Ascultă aprecierile profesorului și notează tema.</w:t>
            </w:r>
          </w:p>
        </w:tc>
        <w:tc>
          <w:tcPr>
            <w:tcW w:w="1584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</w:tcPr>
          <w:p w14:paraId="14EA09EA">
            <w:pPr>
              <w:spacing w:before="60" w:after="60"/>
            </w:pPr>
            <w:r>
              <w:rPr>
                <w:sz w:val="19"/>
              </w:rPr>
              <w:t>Evaluare formativă</w:t>
            </w:r>
          </w:p>
        </w:tc>
      </w:tr>
    </w:tbl>
    <w:p w14:paraId="33F32AF8">
      <w:pPr>
        <w:keepNext/>
        <w:spacing w:before="240" w:after="120"/>
        <w:rPr>
          <w:rFonts w:ascii="Calibri" w:hAnsi="Calibri"/>
          <w:b/>
          <w:color w:val="1F4E79"/>
          <w:sz w:val="32"/>
        </w:rPr>
      </w:pPr>
    </w:p>
    <w:p w14:paraId="23A1134F">
      <w:pPr>
        <w:keepNext/>
        <w:spacing w:before="240" w:after="120"/>
        <w:rPr>
          <w:rFonts w:ascii="Calibri" w:hAnsi="Calibri"/>
          <w:b/>
          <w:color w:val="1F4E79"/>
          <w:sz w:val="32"/>
        </w:rPr>
      </w:pPr>
    </w:p>
    <w:p w14:paraId="429B42A2">
      <w:pPr>
        <w:keepNext/>
        <w:spacing w:before="240" w:after="120"/>
      </w:pPr>
      <w:r>
        <w:rPr>
          <w:rFonts w:ascii="Calibri" w:hAnsi="Calibri"/>
          <w:b/>
          <w:color w:val="1F4E79"/>
          <w:sz w:val="32"/>
        </w:rPr>
        <w:t>4. Schița Lecției (Pentru Tablă)</w:t>
      </w:r>
    </w:p>
    <w:p w14:paraId="3B2C9693">
      <w:r>
        <w:rPr>
          <w:b/>
        </w:rPr>
        <w:t>I. Cadrul geografic și apariția statelor</w:t>
      </w:r>
      <w:r>
        <w:rPr>
          <w:b/>
        </w:rPr>
        <w:br w:type="textWrapping"/>
      </w:r>
      <w:r>
        <w:t>• Localizare: Semiluna Roditoare (Orientul Apropiat și Mijlociu), de-a lungul marilor fluvii (Nil în Egipt, Tigru și Eufrat în Mesopotamia, Indus și Fluviul Galben în Asia).</w:t>
      </w:r>
      <w:r>
        <w:br w:type="textWrapping"/>
      </w:r>
      <w:r>
        <w:t>• Primele state: orașe-stat (Uruk, Babilon), regate și imperii (Imperiul Egiptean, Imperiul Persian).</w:t>
      </w:r>
      <w:r>
        <w:br w:type="textWrapping"/>
      </w:r>
      <w:r>
        <w:br w:type="textWrapping"/>
      </w:r>
      <w:r>
        <w:rPr>
          <w:b/>
        </w:rPr>
        <w:t>II. Structura socială (Piramida socială)</w:t>
      </w:r>
      <w:r>
        <w:rPr>
          <w:b/>
        </w:rPr>
        <w:br w:type="textWrapping"/>
      </w:r>
      <w:r>
        <w:t>1. Monarhul (faraon, rege, împărat) – putere absolută, caracter sacru.</w:t>
      </w:r>
      <w:r>
        <w:br w:type="textWrapping"/>
      </w:r>
      <w:r>
        <w:t>2. Aristocrația (nobilii, preoții, marii funcționari/scribii).</w:t>
      </w:r>
      <w:r>
        <w:br w:type="textWrapping"/>
      </w:r>
      <w:r>
        <w:t>3. Oamenii liberi (meșteșugari, negustori, țărani – baza producției).</w:t>
      </w:r>
      <w:r>
        <w:br w:type="textWrapping"/>
      </w:r>
      <w:r>
        <w:t>4. Sclavii (prizonieri de război, folosiți la munci grele – pondere redusă).</w:t>
      </w:r>
      <w:r>
        <w:br w:type="textWrapping"/>
      </w:r>
      <w:r>
        <w:br w:type="textWrapping"/>
      </w:r>
      <w:r>
        <w:rPr>
          <w:b/>
        </w:rPr>
        <w:t>III. Cultura: Scrisul și Legile</w:t>
      </w:r>
      <w:r>
        <w:rPr>
          <w:b/>
        </w:rPr>
        <w:br w:type="textWrapping"/>
      </w:r>
      <w:r>
        <w:t>• Apariția scrisului (aprox. 3500 î.Hr.): cuneiform (Mesopotamia, pe tăblițe de lut), hieroglif (Egipt, pe papirus), alfabetul fenician (primul alfabet fonetic).</w:t>
      </w:r>
      <w:r>
        <w:br w:type="textWrapping"/>
      </w:r>
      <w:r>
        <w:t>• Primele legi scrise: Răspundeau nevoii de ordine în state mari. Exemplu: Codul lui Hammurabi (Babilon, sec. XVIII î.Hr.), bazat pe „Legea Talionului” (ochi pentru ochi).</w:t>
      </w:r>
      <w:r>
        <w:br w:type="textWrapping"/>
      </w:r>
      <w:r>
        <w:br w:type="textWrapping"/>
      </w:r>
      <w:r>
        <w:rPr>
          <w:b/>
        </w:rPr>
        <w:t>IV. Religia</w:t>
      </w:r>
      <w:r>
        <w:rPr>
          <w:b/>
        </w:rPr>
        <w:br w:type="textWrapping"/>
      </w:r>
      <w:r>
        <w:t>• Politeismul: Majoritatea popoarelor adorau mai mulți zei ce personificau forțele naturii (ex: Amon-Ra în Egipt, Marduk în Babilon).</w:t>
      </w:r>
      <w:r>
        <w:br w:type="textWrapping"/>
      </w:r>
      <w:r>
        <w:t>• Monoteismul: Credința într-un singur Dumnezeu (Iahve). Apare la evrei (Iudaism), fiind consemnată în Tora (Vechiul Testament).</w:t>
      </w:r>
    </w:p>
    <w:bookmarkEnd w:id="0"/>
    <w:p w14:paraId="3E7152CD">
      <w:r>
        <w:br w:type="page"/>
      </w:r>
    </w:p>
    <w:p w14:paraId="08DD443B">
      <w:pPr>
        <w:jc w:val="center"/>
      </w:pPr>
      <w:r>
        <w:rPr>
          <w:b/>
          <w:color w:val="1F4E79"/>
          <w:sz w:val="28"/>
        </w:rPr>
        <w:t>FIȘĂ DE LUCRU: CODUL LUI HAMMURABI</w:t>
      </w:r>
    </w:p>
    <w:p w14:paraId="1CC1F035">
      <w:pPr>
        <w:ind w:left="360" w:right="360"/>
      </w:pPr>
      <w:r>
        <w:rPr>
          <w:b/>
        </w:rPr>
        <w:t xml:space="preserve">Sursă istorică: </w:t>
      </w:r>
      <w:r>
        <w:rPr>
          <w:i/>
        </w:rPr>
        <w:t>„§ 195: Dacă un fiu își lovește tatăl, să i se taie mâna.</w:t>
      </w:r>
      <w:r>
        <w:rPr>
          <w:i/>
        </w:rPr>
        <w:br w:type="textWrapping"/>
      </w:r>
      <w:r>
        <w:rPr>
          <w:i/>
        </w:rPr>
        <w:t>§ 196: Dacă un om liber scoate ochiul altui om liber, să i se scoată și lui ochiul.</w:t>
      </w:r>
      <w:r>
        <w:rPr>
          <w:i/>
        </w:rPr>
        <w:br w:type="textWrapping"/>
      </w:r>
      <w:r>
        <w:rPr>
          <w:i/>
        </w:rPr>
        <w:t>§ 198: Dacă a scos ochiul unui meșteșugar sau i-a rupt un os, să plătească o mină de argint.</w:t>
      </w:r>
      <w:r>
        <w:rPr>
          <w:i/>
        </w:rPr>
        <w:br w:type="textWrapping"/>
      </w:r>
      <w:r>
        <w:rPr>
          <w:i/>
        </w:rPr>
        <w:t>§ 202: Dacă cineva palmuiește o persoană cu un rang mai înalt decât al său, să fie biciuit în public cu 60 de lovituri.”</w:t>
      </w:r>
      <w:r>
        <w:rPr>
          <w:i/>
        </w:rPr>
        <w:br w:type="textWrapping"/>
      </w:r>
      <w:r>
        <w:rPr>
          <w:i/>
        </w:rPr>
        <w:t>(Codul lui Hammurabi, Babilon, sec. XVIII î.Hr.)</w:t>
      </w:r>
    </w:p>
    <w:p w14:paraId="6A340C56">
      <w:pPr>
        <w:keepNext/>
        <w:spacing w:before="200" w:after="80"/>
      </w:pPr>
      <w:r>
        <w:rPr>
          <w:rFonts w:ascii="Calibri" w:hAnsi="Calibri"/>
          <w:b/>
          <w:color w:val="2E74B5"/>
          <w:sz w:val="26"/>
        </w:rPr>
        <w:t>Cerințe:</w:t>
      </w:r>
    </w:p>
    <w:p w14:paraId="0645F0A0">
      <w:pPr>
        <w:pStyle w:val="29"/>
      </w:pPr>
      <w:r>
        <w:t>1. Identificați, pe baza paragrafului § 196, principiul de drept după care se ghida codul de legi și numiți-l în mod curent.</w:t>
      </w:r>
    </w:p>
    <w:p w14:paraId="31169742">
      <w:pPr>
        <w:pStyle w:val="29"/>
      </w:pPr>
      <w:r>
        <w:t>2. Comparați paragrafele § 196 și § 198. Explicați de ce pedepsele pentru aceeași fapă sunt diferite.</w:t>
      </w:r>
    </w:p>
    <w:p w14:paraId="0FA74D73">
      <w:pPr>
        <w:pStyle w:val="29"/>
      </w:pPr>
      <w:r>
        <w:t>3. Menționați o consecință prevăzută în § 195 pentru încălcarea autorității părintești.</w:t>
      </w:r>
    </w:p>
    <w:p w14:paraId="1466D76F">
      <w:pPr>
        <w:pStyle w:val="29"/>
      </w:pPr>
      <w:r>
        <w:t>4. Formulați o concluzie (de 2-3 rânduri) privind caracterul societății babiloniene reflectat în acest izvor istoric.</w:t>
      </w:r>
    </w:p>
    <w:p w14:paraId="261CB719">
      <w:pPr>
        <w:spacing w:before="400"/>
      </w:pPr>
    </w:p>
    <w:p w14:paraId="4320A12F">
      <w:pPr>
        <w:keepNext/>
        <w:spacing w:before="240" w:after="120"/>
      </w:pPr>
      <w:r>
        <w:rPr>
          <w:rFonts w:ascii="Calibri" w:hAnsi="Calibri"/>
          <w:b/>
          <w:color w:val="1F4E79"/>
          <w:sz w:val="32"/>
        </w:rPr>
        <w:t>Barem de Evaluare și Răspunsuri (Ghid pentru profesor)</w:t>
      </w:r>
    </w:p>
    <w:p w14:paraId="19F1C19D">
      <w:r>
        <w:rPr>
          <w:b/>
        </w:rPr>
        <w:t xml:space="preserve">Cerința 1 (2 puncte): </w:t>
      </w:r>
      <w:r>
        <w:t>Identificarea corectă a principiului (Legea Talionului / „ochi pentru ochi, dinte pentru dinte”).</w:t>
      </w:r>
      <w:r>
        <w:br w:type="textWrapping"/>
      </w:r>
      <w:r>
        <w:rPr>
          <w:b/>
        </w:rPr>
        <w:t xml:space="preserve">Cerința 2 (3 puncte): </w:t>
      </w:r>
      <w:r>
        <w:t>Explicația clară a inegalității sociale: pedeapsa depindea de statutul social al victimei. Omul liber primește pedeapsă corporală simetrică, dar rănirea unui meșteșugar (statut inferior) se răscumpără doar prin amendă în bani.</w:t>
      </w:r>
      <w:r>
        <w:br w:type="textWrapping"/>
      </w:r>
      <w:r>
        <w:rPr>
          <w:b/>
        </w:rPr>
        <w:t xml:space="preserve">Cerința 3 (2 puncte): </w:t>
      </w:r>
      <w:r>
        <w:t>Menționarea pedepsei fizice extreme (tăierea mâinii fiului care își lovește tatăl).</w:t>
      </w:r>
      <w:r>
        <w:br w:type="textWrapping"/>
      </w:r>
      <w:r>
        <w:rPr>
          <w:b/>
        </w:rPr>
        <w:t xml:space="preserve">Cerința 4 (3 puncte): </w:t>
      </w:r>
      <w:r>
        <w:t>Formularea unei concluzii coerente. Răspuns așteptat: Societatea babiloniană era profund ierarhizată, inegală din punct de vedere juridic și aplica pedepse extrem de violente pentru menținerea ordinii sociale și protejarea autorității.</w:t>
      </w:r>
    </w:p>
    <w:sectPr>
      <w:pgSz w:w="12240" w:h="15840"/>
      <w:pgMar w:top="780" w:right="1440" w:bottom="98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A7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MARICICA</cp:lastModifiedBy>
  <dcterms:modified xsi:type="dcterms:W3CDTF">2026-10-07T08:36:25Z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4588A3F9E6BF48DEBFE967F2D797A432_12</vt:lpwstr>
  </property>
</Properties>
</file>