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F5597"/>
          <w:sz w:val="44"/>
          <w:szCs w:val="44"/>
        </w:rPr>
        <w:t xml:space="preserve">Case 3 — Previsão de Gasto Mensal</w:t>
      </w:r>
    </w:p>
    <w:p>
      <w:pPr>
        <w:spacing w:after="360"/>
      </w:pPr>
      <w:r>
        <w:rPr>
          <w:i/>
          <w:iCs/>
          <w:color w:val="444444"/>
          <w:sz w:val="26"/>
          <w:szCs w:val="26"/>
        </w:rPr>
        <w:t xml:space="preserve">O que foi feito em cada célula dos notebooks, e por quê</w:t>
      </w:r>
    </w:p>
    <w:p>
      <w:pPr>
        <w:spacing w:after="160" w:line="300"/>
      </w:pPr>
      <w:r>
        <w:rPr>
          <w:sz w:val="22"/>
          <w:szCs w:val="22"/>
        </w:rPr>
        <w:t xml:space="preserve">Este documento acompanha, célula a célula, os seis notebooks do pipeline (01 a 06) que estimam o gasto_mensal de cada cliente a partir do perfil e comportamento recente dele. O objetivo de negócio por trás disso é dar suporte a três decisões: priorizar ações de CRM, dimensionar metas de receita por carteira, e identificar clientes gastando abaixo do esperado para o perfil deles.</w:t>
      </w:r>
    </w:p>
    <w:p>
      <w:pPr>
        <w:spacing w:after="160" w:line="300"/>
      </w:pPr>
      <w:r>
        <w:rPr>
          <w:sz w:val="22"/>
          <w:szCs w:val="22"/>
        </w:rPr>
        <w:t xml:space="preserve">Uma suposição importante está declarada desde o início do projeto (README e notebook 01) e vale repetir aqui: a base não tem um timestamp explícito, então assumimos que as features descrevem o cliente antes do período de gasto_mensal sendo previsto. Essa suposição não dá pra confirmar só com os dados em mãos — o DATA_DICTIONARY.md detalha, variável por variável, o que precisaria ser validado com quem gerou a base antes de colocar o modelo em produção. Isso não invalida o trabalho feito, mas é o tipo de coisa que precisa estar visível pra quem for usar os resultados.</w:t>
      </w:r>
    </w:p>
    <w:p>
      <w:pPr>
        <w:spacing w:after="160" w:line="300"/>
      </w:pPr>
      <w:r>
        <w:rPr>
          <w:sz w:val="22"/>
          <w:szCs w:val="22"/>
        </w:rPr>
        <w:t xml:space="preserve">Os notebooks seguem uma ordem que importa — cada um lê o que o anterior salvou em data/processed/: 01 limpa e entende os dados, 02 faz o split e o baseline, 03 compara modelos, 04 analisa resíduos e estabilidade, 05 tuna e escolhe o modelo final, e 06 interpreta esse modelo e valida os resultados pro negócio. O fio condutor de decisão em todo o pipeline é sempre o mesmo: preferir evidência (testada em múltiplos splits, validação cruzada, testes estatísticos) a intuição ou a uma melhora pontual que pode ser só sorte de uma divisão de dados.</w:t>
      </w:r>
    </w:p>
    <w:p>
      <w:pPr>
        <w:spacing w:after="160" w:line="300"/>
      </w:pPr>
      <w:r>
        <w:rPr>
          <w:sz w:val="22"/>
          <w:szCs w:val="22"/>
        </w:rPr>
        <w:t xml:space="preserve">Nota à parte: a célula 4 do notebook 01 tinha um bug — chamava data_prep.clean_data(df_raw, False, False) sem guardar o retorno em df_diag, então as células seguintes quebravam com df_diag inexistente. Isso já foi corrigido (a chamada agora é df_diag = data_prep.clean_data(...)) e está refletido na descrição dessa célula abaixo.</w:t>
      </w:r>
    </w:p>
    <w:p>
      <w:pPr>
        <w:pStyle w:val="Heading1"/>
        <w:pBdr>
          <w:bottom w:val="single" w:color="2F5597" w:sz="8" w:space="4"/>
        </w:pBdr>
        <w:spacing w:after="200" w:before="420"/>
      </w:pPr>
      <w:r>
        <w:rPr>
          <w:b/>
          <w:bCs/>
          <w:color w:val="2F5597"/>
          <w:sz w:val="30"/>
          <w:szCs w:val="30"/>
        </w:rPr>
        <w:t xml:space="preserve">Notebook 01 — Análise Exploratória (EDA)</w:t>
      </w:r>
    </w:p>
    <w:p>
      <w:pPr>
        <w:spacing w:after="220"/>
      </w:pPr>
      <w:r>
        <w:rPr>
          <w:i/>
          <w:iCs/>
          <w:color w:val="444444"/>
          <w:sz w:val="22"/>
          <w:szCs w:val="22"/>
        </w:rPr>
        <w:t xml:space="preserve">01_EDA.ipynb</w:t>
      </w:r>
    </w:p>
    <w:p>
      <w:pPr>
        <w:spacing w:after="160" w:line="300"/>
      </w:pPr>
      <w:r>
        <w:rPr>
          <w:sz w:val="22"/>
          <w:szCs w:val="22"/>
        </w:rPr>
        <w:t xml:space="preserve">Este é o notebook mais longo do pipeline, e por um motivo: é aqui que os dois problemas de qualidade de dado da base (idade implausível e tempo_cliente inconsistente) são diagnosticados e tratados com teste de sensibilidade, em vez de só removidos por suspeita. Também é aqui que a target e as features são entendidas antes de qualquer modelo ser treinado.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300"/>
        <w:gridCol w:w="7100"/>
      </w:tblGrid>
      <w:tr>
        <w:trPr>
          <w:tblHeader/>
        </w:trPr>
        <w:tc>
          <w:tcPr>
            <w:tcW w:type="dxa" w:w="95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13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71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foi feito e por quê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Abre o notebook contextualizando o objetivo de negócio (estimar gasto mensal por cliente) e já registra por escrito a suposição mais delicada do projeto: que as features descrevem o cliente antes do período do gasto sendo previsto. Em dado tabular sem timestamp, essa suposição decide se o projeto é válido ou se há vazamento temporal escondido — por isso ela é declarada logo de cara, e não só no fim.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Setup padrão: importa pandas, numpy, matplotlib, seaborn e scipy.stats; ajusta o sys.path pra importar o pacote src; carrega as funções compartilhadas (data_prep, modeling, evaluation, interpretability, visualization); define estilo de plot e constantes (RANDOM_STATE=42, pastas de dados/modelos). Centralizar isso é o que garante que todos os notebooks usem exatamente a mesma lógica de limpeza, modelo e métrica — essa mesma célula se repete, idêntica, no topo dos outros cinco notebooks pelo mesmo motivo: evitar que cada notebook reimplemente (e possivelmente diverja em) uma regra que devia ser única.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de seção: “1. Carregar e entender a estrutura dos dados”.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Carrega o CSV bruto e roda clean_data(df_raw, False, False) — com os dois filtros de qualidade desligados de propósito — só pra tirar colunas de índice (tipo Unnamed: 0), guardando o resultado em df_diag. A ideia é diagnosticar antes de tratar: olhar os dois problemas de qualidade (idade e tempo_cliente) numa base “quase crua”, sem ainda misturar com a decisão de remoção, que só vem depois de testada.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Checagem básica de qualidade: tipos de dado, valores nulos, linhas duplicadas e valores negativos em colunas numéricas. É o mínimo antes de confiar em qualquer número da base — confirma que não há problema óbvio escondido, e isola idade como o único problema real desta etapa.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Resume o achado da célula anterior: a base está limpa, exceto por idade abaixo de 18 anos, que será tratada com teste de sensibilidade na próxima seção, não só documentada e ignorada.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Mede quantas linhas têm idade &lt; 18 anos (39 de 2.200, ou 1,8%) e descreve a distribuição dessas idades implausíveis (mínimo de 3,18 anos). Quantificar o tamanho do problema é o passo antes de decidir o que fazer com ele — 1,8% é pouco, mas “pouco” sozinho não justifica remover nem manter.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da seção “2. Tratamento de idade implausível: decisão baseada em teste de sensibilidade”. Explica a metodologia: (1) a remoção muda a performance do modelo? (2) essas linhas são difíceis de prever, o que sugeriria outro problema correlacionado?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Define uma função que treina um Ridge em 10 splits diferentes (seeds 0 a 9) e mede o RMSE médio; compara esse RMSE com e sem as 39 linhas de idade implausível; e compara o erro absoluto médio dessas linhas contra o resto da base, num modelo treinado com tudo. Um único split de treino/teste pode mostrar uma diferença de performance que é só sorte da divisão — rodar em 10 seeds é o que permite dizer se um efeito é real ou é ruído amostral. Resultado: efeito neutro a levemente negativo no RMSE, e erro absoluto menor (não maior) nessas 39 linhas — ou seja, elas não são casos difíceis pro modelo.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 o resultado: a decisão de remover essas linhas não é motivada por ganho de performance (não há ganho consistente), é motivada por validade do dado — uma idade abaixo de 18 anos para quem já tem histórico de compras é implausível, provavelmente um erro de captura na fonte. A partir daqui, clean_data() com filtrar_idade_invalida=True (o default) vira a limpeza oficial de todo o pipeline. É uma distinção importante: a escolha é de qualidade de dado, documentada com evidência, não uma decisão de performance disfarçada de qualidade de dado.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Introduz um segundo problema, agora olhando a relação entre idade e tempo_cliente: linhas em que tempo_cliente (antiguidade em anos) é maior que idade − 18, ou seja, o cliente teria começado a comprar antes de completar 18 anos. Essa checagem já é feita sem as linhas de idade implausível, tratadas na etapa anterior, pra não misturar os dois problemas.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Mede quantas linhas têm essa inconsistência entre tempo_cliente e idade (89 de 2.161, ou 4,1%) e descreve idade/tempo_cliente dessas linhas.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Anuncia que o mesmo raciocínio do teste de idade será aplicado a esse segundo problema: será que remover essas linhas muda a performance, e será que elas são difíceis de prever?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Repete o teste de sensibilidade (RMSE em 10 seeds com e sem essas 89 linhas; erro absoluto nessas linhas vs. resto da base) para o tempo_cliente inconsistente. Resultado: aqui o RMSE cai de forma mais visível e consistente entre os seeds (de 370,1 para 362,1), mas o erro absoluto dessas linhas continua menor, não maior, que o do resto da base.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 um resultado que é fácil de ler errado: mesmo com uma queda de RMSE mais visível que no caso da idade, o erro absoluto menor (não maior) nessas linhas mostra que a queda não vem de “tirar ruído difícil que o modelo não conseguia prever” — vem de mudar a composição da base de teste ao remover essas linhas. A decisão de remover segue o mesmo critério de antes: validade do dado, não ganho de performance. A partir daqui, os dois filtros ficam ativos por padrão em clean_data(), usada em todo o pipeline, inclusive por run_all.py e pelos notebooks 02 a 06. Essa distinção entre “RMSE melhorou” e “decisão certa pela performance” é deliberada: evita passar ao negócio uma melhora de modelo que, na real, é só um efeito colateral de mudar o que está no conjunto de teste.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Aplica a limpeza oficial (clean_data(df_raw), com os dois filtros no default) e mostra o resultado: 2.072 linhas restantes de 2.200 originais, 10 colunas.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de seção: “3. Entender a target”.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Estatísticas descritivas de gasto_mensal: média em torno de R$ 2.384, mínimo de R$ 602, máximo de R$ 4.435.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19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de seção: “4. Inspecionar distribuição da target”.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Plota histograma e boxplot de gasto_mensal, e calcula assimetria (skew = 0,126) e curtose (0,107). Entender a forma da distribuição da variável que o modelo vai prever é o que decide se ela precisa de alguma transformação (log, Box-Cox etc.) antes de modelar.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Interpreta: a distribuição é praticamente simétrica, sem cauda longa nem concentração de valores extremos — não parece precisar de transformação neste momento.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Calcula outliers na target pela regra do IQR (1,5×IQR): 19 casos, 0,9% da base.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Decide manter esses 19 casos por enquanto, já que podem representar comportamento real de cliente — diferente do problema de idade, que era logicamente impossível, e não só estatisticamente incomum.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24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de seção: “5. EDA univariada de todas as features”. Explica que, além da correlação agregada com a target, vale olhar a distribuição de cada uma das 9 features individualmente.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Grade 3×3 de histogramas com todas as 9 features, mais uma tabela describe().T com as estatísticas de cada uma. Correlação agregada sozinha esconde forma de distribuição, outliers e escala de cada variável — vale olhar cada feature isolada antes de rodar qualquer modelo.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Calcula outliers pela regra do IQR em cada feature e monta uma tabela ordenada por percentual de outliers: renda lidera com 3,8%, seguida de tempo_cliente e dias_sem_comprar.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Interpreta: renda tem cauda direita longa, mas plausível — é o formato esperado de uma distribuição de renda real, diferente do problema de idade, que era um erro de captura. engajamento fica limitado a uma faixa de score e não tem outliers relevantes. Menciona que o notebook 03 testa separadamente se aplicar log1p em renda ajuda os modelos lineares — o resultado foi negativo, por isso a variável ficou na escala original.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28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de seção: “6. Correlações e colinearidade”.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29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Heatmap de correlação entre todas as variáveis, mais uma tabela da correlação de cada feature com a target, ordenada por valor absoluto: renda (0,41), desconto (0,36), tempo_cliente (0,33) e engajamento (0,27) lideram.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Calcula o VIF (Variance Inflation Factor) aproximado de cada feature, regredindo cada uma contra as demais. A correlação par a par do heatmap não pega colinearidade que envolve três ou mais variáveis ao mesmo tempo — o VIF é uma checagem mais rigorosa disso, e também funciona como evidência (não prova) contra vazamento: se uma feature fosse calculada a partir de outra, o VIF dela dispararia.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Interpreta: as correlações com a target são moderadas; o VIF de todas as features fica muito próximo de 1,0, confirmando — de forma mais rigorosa que só olhar o heatmap — que não há colinearidade relevante nem indício de feature derivada de outra.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Pairplot das quatro variáveis mais correlacionadas com a target, junto com a própria target, pra visualizar a forma da relação entre elas — não só o número da correlação.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de seção: “Saída desta etapa”.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34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Salva o dataset já limpo (dataset_limpo.csv) em data/processed/ e imprime quantas linhas foram removidas por cada critério (39 por idade implausível, 89 por tempo_cliente inconsistente). Isso fixa em disco o resultado de todo o diagnóstico e limpeza feitos neste notebook, pra que os notebooks seguintes partam de um dado já tratado sem precisar repetir a decisão.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F5597" w:sz="8" w:space="4"/>
        </w:pBdr>
        <w:spacing w:after="200" w:before="420"/>
      </w:pPr>
      <w:r>
        <w:rPr>
          <w:b/>
          <w:bCs/>
          <w:color w:val="2F5597"/>
          <w:sz w:val="30"/>
          <w:szCs w:val="30"/>
        </w:rPr>
        <w:t xml:space="preserve">Notebook 02 — Preprocessamento: Split e Baseline</w:t>
      </w:r>
    </w:p>
    <w:p>
      <w:pPr>
        <w:spacing w:after="220"/>
      </w:pPr>
      <w:r>
        <w:rPr>
          <w:i/>
          <w:iCs/>
          <w:color w:val="444444"/>
          <w:sz w:val="22"/>
          <w:szCs w:val="22"/>
        </w:rPr>
        <w:t xml:space="preserve">02_Preprocessamento.ipynb</w:t>
      </w:r>
    </w:p>
    <w:p>
      <w:pPr>
        <w:spacing w:after="160" w:line="300"/>
      </w:pPr>
      <w:r>
        <w:rPr>
          <w:sz w:val="22"/>
          <w:szCs w:val="22"/>
        </w:rPr>
        <w:t xml:space="preserve">Com a limpeza já decidida e justificada no notebook 01, este notebook é mais direto: parte do dataset_limpo.csv e cuida só de duas coisas — dividir os dados em treino e teste, e estabelecer um baseline mínimo que qualquer modelo precisa superar pra fazer sentido.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300"/>
        <w:gridCol w:w="7100"/>
      </w:tblGrid>
      <w:tr>
        <w:trPr>
          <w:tblHeader/>
        </w:trPr>
        <w:tc>
          <w:tcPr>
            <w:tcW w:type="dxa" w:w="95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13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71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foi feito e por quê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Título e contexto: deixa explícito que a limpeza (incluindo a remoção de idade implausível e tempo_cliente inconsistente) já foi decidida e testada no notebook 01, e que este notebook parte do dataset_limpo.csv já tratado.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Mesmo setup padrão dos outros notebooks (imports, path, estilo de plot, constantes).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Carrega o dataset_limpo.csv e separa features (X) e target (y) via data_prep.get_feature_target. Mostra o shape final: 2.072 linhas, 10 colunas.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“3. Criar o split”. Justifica um holdout aleatório 80/20: como não há estrutura temporal nem cliente repetido entre linhas (cada linha é um cliente diferente), não há risco de vazamento por dependência de tempo ou de grupo. Mas essa justificativa depende da suposição — já declarada e não confirmada com a fonte — de que a base realmente não tem estrutura temporal escondida.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data_prep.make_split(X, y): split 80/20 com random_state fixo (reprodutibilidade — qualquer pessoa rodando de novo cai no mesmo split). Imprime o tamanho de treino (1.657 linhas) e teste (415 linhas), e a média do gasto em cada um, pra checar que ficaram parecidas (não há um split “torto” por acaso).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“4. Criar o baseline”. Explica a lógica: um baseline que sempre prevê a média do gasto visto no treino serve de régua mínima — um modelo só faz sentido se conseguir superar essa referência.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Treina o baseline (modeling.get_baseline(), um DummyRegressor de média) e mede MAE, RMSE, R² e MAPE no teste. Resultado: R² ≈ −0,002 e MAPE ≈ 19,8%.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Interpreta: um R² perto de zero (ou até negativo) é esperado nesse baseline por definição — prever sempre a mesma média não explica praticamente nenhuma variância fora da amostra. O MAPE do baseline (~20%) fica registrado como referência de comparação para o MAPE do modelo final, que só aparece no notebook 06.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Salva train.csv e test.csv em data/processed/. Isso fixa o split em disco, garantindo que todos os notebooks seguintes usem exatamente o mesmo treino e teste (via data_prep.load_processed_split()), em vez de sortear um split novo cada vez.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F5597" w:sz="8" w:space="4"/>
        </w:pBdr>
        <w:spacing w:after="200" w:before="420"/>
      </w:pPr>
      <w:r>
        <w:rPr>
          <w:b/>
          <w:bCs/>
          <w:color w:val="2F5597"/>
          <w:sz w:val="30"/>
          <w:szCs w:val="30"/>
        </w:rPr>
        <w:t xml:space="preserve">Notebook 03 — Modelagem e Comparação de Modelos</w:t>
      </w:r>
    </w:p>
    <w:p>
      <w:pPr>
        <w:spacing w:after="220"/>
      </w:pPr>
      <w:r>
        <w:rPr>
          <w:i/>
          <w:iCs/>
          <w:color w:val="444444"/>
          <w:sz w:val="22"/>
          <w:szCs w:val="22"/>
        </w:rPr>
        <w:t xml:space="preserve">03_Modelagem_e_Comparacao.ipynb</w:t>
      </w:r>
    </w:p>
    <w:p>
      <w:pPr>
        <w:spacing w:after="160" w:line="300"/>
      </w:pPr>
      <w:r>
        <w:rPr>
          <w:sz w:val="22"/>
          <w:szCs w:val="22"/>
        </w:rPr>
        <w:t xml:space="preserve">Aqui entram os modelos de verdade: seis candidatos são treinados com o mesmo split e comparados pelas mesmas métricas, os erros são olhados visualmente (não só como número agregado), e um experimento específico (log1p em renda) é testado e descartado com evidência.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300"/>
        <w:gridCol w:w="7100"/>
      </w:tblGrid>
      <w:tr>
        <w:trPr>
          <w:tblHeader/>
        </w:trPr>
        <w:tc>
          <w:tcPr>
            <w:tcW w:type="dxa" w:w="95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13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71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foi feito e por quê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Título do notebook.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Setup padrão (igual aos demais notebooks).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Carrega o split processado (data_prep.load_processed_split()) e recalcula as métricas do baseline, pra servir de referência nesta comparação.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“5. Comparar os modelos”.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Treina os seis modelos candidatos definidos em modeling.get_models() (Linear, Ridge, DecisionTree, RandomForest, GradientBoosting, XGBoost) e avalia todos no teste via evaluation.evaluate_models, numa tabela ordenada por RMSE. Comparar vários tipos de modelo de uma vez, com o mesmo pipeline de avaliação, é o que permite escolher por evidência, em vez de intuição sobre qual algoritmo “deveria” funcionar melhor.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“6. Avaliar MAE, RMSE, R² e MAPE”.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Monta uma tabela única juntando o baseline e os seis modelos, ordenada por RMSE, com uma coluna extra de ganho percentual de RMSE sobre o baseline. Salva em model_comparison.csv.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Gráfico de barras comparando as quatro métricas (MAE, RMSE, R², MAPE) lado a lado para todos os modelos.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Interpreta: todos os modelos superam o baseline com boa margem, inclusive em MAPE. Linear, Ridge e GradientBoosting ficam à frente e próximos entre si — coerente com a EDA, que já indicava relações majoritariamente lineares e aditivas. Como os três melhores candidatos ficam próximos, a escolha do modelo final não pode se apoiar numa diferença pequena medida uma única vez no teste; isso é retomado formalmente com um teste de significância no notebook 05.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“7. Ver previsto contra observado” seguido do gráfico: dispersão de previsto × real para os quatro melhores modelos, com uma linha de referência de “previsão perfeita”.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 os padrões visuais: os modelos tendem a superestimar gasto baixo e subestimar gasto alto; um cliente aparece como outlier de erro grande nos quatro modelos; Ridge e Linear têm padrões quase idênticos entre si; GradientBoosting e RandomForest erram mais nas pontas do intervalo. Em seguida, apresenta o experimento seguinte: será que log1p(renda) ajuda os modelos lineares, já que a EDA mostrou uma cauda longa em renda?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Constrói um pipeline alternativo que aplica log1p em renda antes de padronizar, e roda o mesmo teste de sensibilidade em 10 seeds comparando o Ridge com renda original contra o Ridge com log1p(renda).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Conclui, com o número em mãos: log1p(renda) piora o RMSE médio de forma consistente nas 10 divisões testadas (362 vs. 369), então não é sorte de um split específico. É coerente com a relação aproximadamente linear já vista na EDA entre renda e gasto_mensal — não há ganho em comprimir a cauda da distribuição aqui. Por isso, renda ficou na escala original. É um resultado negativo, mas documentado: a alternativa foi testada e descartada com evidência, não só ignorada.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F5597" w:sz="8" w:space="4"/>
        </w:pBdr>
        <w:spacing w:after="200" w:before="420"/>
      </w:pPr>
      <w:r>
        <w:rPr>
          <w:b/>
          <w:bCs/>
          <w:color w:val="2F5597"/>
          <w:sz w:val="30"/>
          <w:szCs w:val="30"/>
        </w:rPr>
        <w:t xml:space="preserve">Notebook 04 — Análise de Resíduos, Cross-Validation e Robustez por Segmento</w:t>
      </w:r>
    </w:p>
    <w:p>
      <w:pPr>
        <w:spacing w:after="220"/>
      </w:pPr>
      <w:r>
        <w:rPr>
          <w:i/>
          <w:iCs/>
          <w:color w:val="444444"/>
          <w:sz w:val="22"/>
          <w:szCs w:val="22"/>
        </w:rPr>
        <w:t xml:space="preserve">04_Residuos_e_Cross_Validation.ipynb</w:t>
      </w:r>
    </w:p>
    <w:p>
      <w:pPr>
        <w:spacing w:after="160" w:line="300"/>
      </w:pPr>
      <w:r>
        <w:rPr>
          <w:sz w:val="22"/>
          <w:szCs w:val="22"/>
        </w:rPr>
        <w:t xml:space="preserve">Uma métrica agregada como o RMSE pode esconder padrões de erro sistemáticos e diferenças entre grupos de clientes. Este notebook cobre as etapas 8 e 9 do case: diagnóstico de resíduos do melhor modelo do teste, validação cruzada K-Fold em todos os modelos (que é o que de fato orienta a escolha do modelo final no notebook 05), e uma primeira checagem de robustez por faixa de renda.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300"/>
        <w:gridCol w:w="7100"/>
      </w:tblGrid>
      <w:tr>
        <w:trPr>
          <w:tblHeader/>
        </w:trPr>
        <w:tc>
          <w:tcPr>
            <w:tcW w:type="dxa" w:w="95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13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71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foi feito e por quê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Título e contexto do notebook, explicando as três frentes que ele cobre: resíduos, estabilidade via cross-validation, e erro por segmento de negócio.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Setup padrão.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Recarrega o dataset limpo, o split processado, os modelos e a tabela model_comparison.csv gerada no notebook 03; reavalia os modelos pra ter as previsões de teste (preds_test) disponíveis nesta sessão.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“8. Analisar os resíduos”.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Identifica o melhor modelo do teste (GradientBoosting), calcula os resíduos (real − previsto) e plota o diagnóstico visual padrão: resíduo × previsto, histograma dos resíduos, e Q-Q plot. Também calcula o resíduo médio (deveria ficar perto de zero se não há viés sistemático), a assimetria dos resíduos, e o teste de Jarque-Bera, que checa formalmente se os resíduos se desviam de uma distribuição normal.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Roda o teste de Breusch-Pagan (evaluation.breusch_pagan_test), que testa formalmente heterocedasticidade — ou seja, se a variância do erro muda dependendo do nível das features. Uma métrica agregada não avisa se o modelo erra sistematicamente mais para um tipo de cliente; esse teste formaliza a checagem visual do gráfico resíduo × previsto.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 os resultados de resíduo: a nuvem resíduo × previsto não mostra funil nem curvatura, o resíduo médio fica perto de zero (sem viés sistemático aparente), e o p-valor do Breusch-Pagan (0,678) fica bem acima de 0,05, sem evidência forte de heterocedasticidade — com a ressalva de que “sem evidência forte” não é o mesmo que “prova de ausência”. Na sequência, abre a seção “9. Cross-validation”, explicando por que ela é necessária: um único split de treino/teste pode parecer melhor ou pior do que realmente é, só por sorte da divisão — por isso uma validação cruzada K-Fold (k=5) é o que efetivamente orienta a escolha do modelo final no notebook 05, e não o RMSE de um teste isolado.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evaluation.cross_validate_models roda uma validação cruzada de 5 folds em todos os modelos, calculando média e desvio-padrão de MAE, RMSE e R² entre os folds. Salva o resultado em cv_results.csv.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Boxplot com os pontos individuais (stripplot) sobrepostos, mostrando a distribuição do RMSE por fold para cada modelo — uma forma de visualizar não só a média, mas a estabilidade de cada um.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 a cross-validation: ela confirma o que o holdout já sugeria — os modelos lineares (Ridge e Linear) têm o menor RMSE médio, com GradientBoosting logo atrás; XGBoost e RandomForest são mais estáveis entre os folds, mas com RMSE maior. Ou seja, menor erro médio e maior estabilidade não necessariamente andam juntos. Em seguida, abre a seção “10. Robustez por segmento de negócio”: uma métrica agregada pode esconder diferenças de desempenho entre grupos de clientes, então o notebook olha o erro do melhor modelo do holdout separado por faixa de renda (uma análise ainda ilustrativa aqui — a análise definitiva, já com o modelo final escolhido, fica pro notebook 06).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evaluation.segment_metrics calcula MAE, RMSE e MAPE por quartil de renda, pra checar se a qualidade da previsão é uniforme entre clientes de renda baixa, média e alta.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Gráfico de barras do MAPE por faixa de renda para o modelo analisado.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Interpreta: o erro relativo (MAPE) tende a ser menor para clientes de renda mais alta e um pouco maior nas faixas de renda mais baixa — o modelo não é perfeitamente uniforme entre segmentos, embora a diferença não seja dramática. Isso é uma informação relevante pro negócio: decisões de priorização baseadas neste modelo devem considerar que a margem de erro relativa é um pouco maior para clientes de renda mais baixa, algo que MAE/RMSE agregados sozinhos não mostravam.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F5597" w:sz="8" w:space="4"/>
        </w:pBdr>
        <w:spacing w:after="200" w:before="420"/>
      </w:pPr>
      <w:r>
        <w:rPr>
          <w:b/>
          <w:bCs/>
          <w:color w:val="2F5597"/>
          <w:sz w:val="30"/>
          <w:szCs w:val="30"/>
        </w:rPr>
        <w:t xml:space="preserve">Notebook 05 — Tuning e Modelo Final</w:t>
      </w:r>
    </w:p>
    <w:p>
      <w:pPr>
        <w:spacing w:after="220"/>
      </w:pPr>
      <w:r>
        <w:rPr>
          <w:i/>
          <w:iCs/>
          <w:color w:val="444444"/>
          <w:sz w:val="22"/>
          <w:szCs w:val="22"/>
        </w:rPr>
        <w:t xml:space="preserve">05_Tuning_e_Modelo_Final.ipynb</w:t>
      </w:r>
    </w:p>
    <w:p>
      <w:pPr>
        <w:spacing w:after="160" w:line="300"/>
      </w:pPr>
      <w:r>
        <w:rPr>
          <w:sz w:val="22"/>
          <w:szCs w:val="22"/>
        </w:rPr>
        <w:t xml:space="preserve">Este é o notebook da decisão mais importante do projeto: qual modelo vai pra produção. Ele tuna os dois melhores candidatos (o melhor linear e o melhor de árvore/boosting), escolhe entre eles pelo critério mais confiável disponível — RMSE médio de cross-validation, não uma diferença pontual de teste — e testa formalmente se a diferença entre os dois é estatisticamente significativa antes de declarar qualquer um deles “vencedor”.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300"/>
        <w:gridCol w:w="7100"/>
      </w:tblGrid>
      <w:tr>
        <w:trPr>
          <w:tblHeader/>
        </w:trPr>
        <w:tc>
          <w:tcPr>
            <w:tcW w:type="dxa" w:w="95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13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71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foi feito e por quê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Título e explicação do critério de decisão que vai guiar o notebook inteiro: o RMSE médio de cross-validation (calculado só no treino) decide entre os dois candidatos tunados; o conjunto de teste fica reservado só para reportar a métrica final do modelo já escolhido e para um teste de significância.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Setup padrão.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Carrega o split processado, os modelos e o cv_results.csv do notebook 04; monta o KFold(5, shuffle=True, random_state fixo) que será reutilizado no tuning.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Explica a escolha de RandomizedSearchCV em vez de um grid search completo: é uma busca mais barata computacionalmente que ainda cobre bem o espaço de hiperparâmetros com relativamente poucas iterações.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Define uma função tune(name) que roda RandomizedSearchCV (30 iterações, 5 folds, otimizando RMSE) e aplica ela nos dois melhores candidatos identificados no cv_results.csv do notebook 04: o melhor linear (Ridge) e o melhor de árvore/boosting (GradientBoosting). Resultado: Ridge com alpha=10; GradientBoosting com subsample=1.0, n_estimators=300, max_depth=2 e learning_rate=0.05.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“Seleção do modelo final”, reforçando o critério: comparar o RMSE médio de cross-validation dos dois candidatos tunados e ficar com o menor. O conjunto de teste só entra depois disso.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Aplica os dois candidatos tunados no conjunto de teste, monta uma tabela comparando o RMSE de CV (usado pra decidir) com as métricas de teste (usadas só pra reportar), e escolhe o modelo final pelo menor RMSE de CV — o Ridge (tuned) vence.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“Teste de significância entre os dois candidatos tunados”. Contextualiza: a diferença de RMSE entre os dois candidatos no teste costuma ser pequena, e antes de chamar qualquer um deles de “vencedor”, vale testar se essa diferença é maior do que o esperado só por ruído de amostragem — usando bootstrap pareado, reamostrando os pares observação-previsão 5.000 vezes.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evaluation.bootstrap_compare_rmse reamostra os pares (y, previsão do Ridge, previsão do GradientBoosting) juntos — preservando a estrutura pareada — 5.000 vezes, e calcula um intervalo de confiança de 95% e um p-valor aproximado para a diferença de RMSE entre os dois. Resultado: diferença observada de R$ 10,83 (levemente a favor do GradientBoosting), IC 95% de [-3,08, 24,47] (inclui o zero), p-valor ≈ 0,125 — não significativo a 95%.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 o resultado mais importante do notebook: como o intervalo de confiança inclui o zero, não há evidência estatística de que um dos dois candidatos seja realmente melhor que o outro no teste. A escolha do modelo final segue o critério mais confiável disponível (RMSE médio de CV, que usa cinco vezes mais dados de avaliação que um único holdout), não o fato de a diferença observada no teste parecer real. Isso é dito explicitamente pra não passar ao negócio uma certeza que os dados não sustentam: os dois modelos são, na prática, equivalentes em desempenho preditivo, e a escolha entre eles poderia considerar outros critérios, como interpretabilidade ou custo de manutenção.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“Saída desta etapa”.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Salva o modelo final escolhido (modelo_final.joblib, via joblib.dump) e o nome dele em texto (modelo_final_nome.txt), pra que o notebook 06 carregue exatamente o modelo já escolhido, sem precisar re-treinar ou re-tunar nada.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F5597" w:sz="8" w:space="4"/>
        </w:pBdr>
        <w:spacing w:after="200" w:before="420"/>
      </w:pPr>
      <w:r>
        <w:rPr>
          <w:b/>
          <w:bCs/>
          <w:color w:val="2F5597"/>
          <w:sz w:val="30"/>
          <w:szCs w:val="30"/>
        </w:rPr>
        <w:t xml:space="preserve">Notebook 06 — Interpretabilidade e Validação para o Negócio</w:t>
      </w:r>
    </w:p>
    <w:p>
      <w:pPr>
        <w:spacing w:after="220"/>
      </w:pPr>
      <w:r>
        <w:rPr>
          <w:i/>
          <w:iCs/>
          <w:color w:val="444444"/>
          <w:sz w:val="22"/>
          <w:szCs w:val="22"/>
        </w:rPr>
        <w:t xml:space="preserve">06_Interpretabilidade_e_Validacao_Negocio.ipynb</w:t>
      </w:r>
    </w:p>
    <w:p>
      <w:pPr>
        <w:spacing w:after="160" w:line="300"/>
      </w:pPr>
      <w:r>
        <w:rPr>
          <w:sz w:val="22"/>
          <w:szCs w:val="22"/>
        </w:rPr>
        <w:t xml:space="preserve">Com o modelo final escolhido e salvo, este último notebook responde à pergunta que mais importa pro negócio: por que o modelo prevê o que prevê, e esse raciocínio faz sentido? Usa três formas complementares de interpretação (importância nativa, permutation importance e SHAP), olha casos individuais de erro e acerto, e fecha com uma validação de robustez por segmento e um resumo direto para quem for usar o modelo.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300"/>
        <w:gridCol w:w="7100"/>
      </w:tblGrid>
      <w:tr>
        <w:trPr>
          <w:tblHeader/>
        </w:trPr>
        <w:tc>
          <w:tcPr>
            <w:tcW w:type="dxa" w:w="95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13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7100"/>
            <w:shd w:fill="2F559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foi feito e por quê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Título do notebook.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Setup padrão.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Carrega o modelo final salvo (joblib.load) e o nome dele; recarrega o split processado; recalcula as métricas do baseline e do modelo final no teste. Resultado do modelo final: MAE R$ 288,3, RMSE R$ 357,4, R² 0,528, MAPE 13,1%.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“11. Feature Importance, Permutation e SHAP”. Explica as três formas complementares de interpretar o modelo: importância nativa (coeficientes, se o modelo for linear, ou feature_importances_, se for baseado em árvore), permutation importance (funciona pra qualquer tipo de modelo) e SHAP (contribuição de cada feature em cada previsão, global e local). Deixa claro que nenhuma dessas medidas deve ser lida como causalidade — todas mostram só associação capturada pelo modelo.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interpretability.native_importance calcula os coeficientes padronizados do Ridge (modelo final, linear); treina também um RandomForest só como referência não-linear, pra comparar se a ordem de importância muda dependendo do tipo de modelo. Plota os dois lado a lado.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interpretability.permutation_importance_df mede quanto o RMSE piora ao embaralhar aleatoriamente cada feature (uma medida agnóstica ao tipo de modelo). Salva o resultado em permutation_importance.csv. Resultado: renda e desconto lideram, seguidos por tempo_cliente e engajamento; idade tem importância próxima de zero (até levemente negativa).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interpretability.shap_explain calcula os valores SHAP do modelo final (LinearExplainer, já que o Ridge é linear) e plota o gráfico resumo global, mostrando a contribuição de cada feature em cada previsão do conjunto de teste.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Introduz as explicações locais: em vez de olhar só o pior erro absoluto, o notebook compara esse caso com dois “acertos típicos” (erro perto da mediana), pra um contraste completo de como o modelo raciocina tanto quando funciona bem quanto quando falha.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Identifica o cliente com maior erro absoluto (real R$ 3.028, previsto R$ 1.831, erro de R$ 1.197) e plota o gráfico waterfall do SHAP pra esse caso, mostrando quanto cada feature empurrou a previsão pra cima ou pra baixo.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Repete o mesmo gráfico waterfall pros dois casos com erro mais próximo da mediana (erros de R$ 248 e R$ 247) — os “acertos típicos” usados como contraste.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Interpreta: as três medidas de importância (nativa, permutation e SHAP) convergem pras mesmas quatro variáveis — renda, desconto, tempo_cliente e engajamento — sinal de que o modelo está usando sinais de negócio plausíveis, não ruído. idade, cujo problema de valores implausíveis foi tratado no notebook 01, segue com baixa influência mesmo depois da correção. Comparando o pior caso com os acertos típicos, as mesmas features dominam a explicação nos dois — o que sugere que o erro grande do pior caso é ruído real na target, não um raciocínio incoerente do modelo.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Cabeçalho “12. Robustez por segmento e validação de negócio” seguido de evaluation.segment_metrics por faixa de renda, agora com o modelo final já escolhido — esta é a análise definitiva de robustez por segmento (a do notebook 04 era só ilustrativa, com o melhor modelo do holdout). Salva em metrics_por_faixa_renda.csv.</w:t>
            </w:r>
          </w:p>
        </w:tc>
      </w:tr>
      <w:tr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1F4E79"/>
                <w:sz w:val="20"/>
                <w:szCs w:val="20"/>
              </w:rPr>
              <w:t xml:space="preserve">Código</w:t>
            </w:r>
          </w:p>
        </w:tc>
        <w:tc>
          <w:tcPr>
            <w:tcW w:type="dxa" w:w="7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Resume as métricas finais do modelo (MAE como % do gasto médio, RMSE, R², MAPE, e a redução percentual de RMSE em relação ao baseline) e roda de novo o teste de Breusch-Pagan no resíduo do modelo final (p = 0,770 — sem evidência de heterocedasticidade).</w:t>
            </w:r>
          </w:p>
        </w:tc>
      </w:tr>
      <w:tr>
        <w:tc>
          <w:tcPr>
            <w:tcW w:type="dxa" w:w="95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13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Texto</w:t>
            </w:r>
          </w:p>
        </w:tc>
        <w:tc>
          <w:tcPr>
            <w:tcW w:type="dxa" w:w="7100"/>
            <w:shd w:fill="EEF2F8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“Resumo para o negócio”, o fechamento do projeto: o modelo final foi escolhido pela evidência mais confiável disponível (RMSE médio de cross-validation, não uma diferença de teste dentro do ruído), supera o baseline com folga e mantém desempenho estável entre folds. O erro relativo é um pouco maior para clientes de renda mais baixa — uma limitação que deve ser comunicada junto com qualquer uso do modelo pra priorização. As variáveis mais importantes (renda, desconto, tempo_cliente, engajamento) fazem sentido de negócio e são consistentes entre três métodos de interpretação diferentes. E, o ponto mais importante pra quem for agir sobre isso: nenhuma dessas relações deve ser lida como causal — o modelo aprende associação estatística, não mecanismo causal. Uma ação de negócio, como aumentar desconto pra elevar o gasto, precisaria de um teste controlado (A/B) antes de ser adotada, não só da importância da variável no modelo.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F5597" w:sz="8" w:space="4"/>
        </w:pBdr>
        <w:spacing w:after="200" w:before="420"/>
      </w:pPr>
      <w:r>
        <w:rPr>
          <w:b/>
          <w:bCs/>
          <w:color w:val="2F5597"/>
          <w:sz w:val="30"/>
          <w:szCs w:val="30"/>
        </w:rPr>
        <w:t xml:space="preserve">Em resumo</w:t>
      </w:r>
    </w:p>
    <w:p>
      <w:pPr>
        <w:spacing w:after="160" w:line="300"/>
      </w:pPr>
      <w:r>
        <w:rPr>
          <w:sz w:val="22"/>
          <w:szCs w:val="22"/>
        </w:rPr>
        <w:t xml:space="preserve">O que amarra os seis notebooks é um jeito consistente de tomar decisão: nenhuma escolha de limpeza, transformação ou modelo é feita só porque “parece melhor” numa olhada rápida — cada uma é testada em múltiplos splits (idade, tempo_cliente, log1p de renda), validada por cross-validation em vez de um holdout único (escolha do modelo final), ou checada com um teste estatístico formal (Breusch-Pagan pra heterocedasticidade, bootstrap pareado pra significância entre modelos). Isso é o que separa uma decisão de engenharia bem fundamentada de uma decisão que só parece bem fundamentada.</w:t>
      </w:r>
    </w:p>
    <w:p>
      <w:pPr>
        <w:spacing w:after="160" w:line="300"/>
      </w:pPr>
      <w:r>
        <w:rPr>
          <w:sz w:val="22"/>
          <w:szCs w:val="22"/>
        </w:rPr>
        <w:t xml:space="preserve">O modelo final (Ridge tunado) reduz o RMSE em cerca de 31% em relação ao baseline de média, com erro médio de aproximadamente 12% do gasto médio do cliente — e essa performance foi validada não só globalmente, mas também por segmento de renda e pela ausência de padrões sistemáticos nos resíduos. As limitações mais importantes a carregar pra qualquer uso em produção são: a suposição de ausência de vazamento temporal não está confirmada com a fonte dos dados (ver DATA_DICTIONARY.md), o erro relativo é um pouco maior para clientes de renda mais baixa, e nenhuma das variáveis mais importantes deve ser tratada como alavanca causal sem um teste controlado.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2026-09-02T02:28:18.441Z</dcterms:created>
  <dcterms:modified xsi:type="dcterms:W3CDTF">2026-09-02T02:28:18.441Z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