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de Apresentação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Case: Previsão de Preço de Fechamento (1, 2 e 3 dias)</w:t>
      </w:r>
    </w:p>
    <w:p>
      <w:pPr>
        <w:spacing w:after="160"/>
      </w:pPr>
      <w:r>
        <w:t xml:space="preserve">Este roteiro segue a ordem dos 5 notebooks do case, célula a célula, com o que falar em cada ponto. As tabelas indicam a célula (ou faixa de células) do notebook correspondente, para facilitar encontrar o lugar certo durante a apresentação.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Abertura (antes de abrir o primeiro notebook)</w:t>
      </w:r>
    </w:p>
    <w:p>
      <w:pPr>
        <w:spacing w:after="160"/>
      </w:pPr>
      <w:r>
        <w:t xml:space="preserve">Fala de contexto, antes de compartilhar a tela dos notebooks:</w:t>
      </w:r>
    </w:p>
    <w:p>
      <w:pPr>
        <w:spacing w:after="80"/>
      </w:pPr>
      <w:r>
        <w:rPr>
          <w:sz w:val="20"/>
          <w:szCs w:val="20"/>
        </w:rPr>
        <w:t xml:space="preserve">O objetivo do case é prever o preço de fechamento (Close) de uma ação para 1, 2 e 3 dias úteis à frente.</w:t>
      </w:r>
    </w:p>
    <w:p>
      <w:pPr>
        <w:spacing w:after="80"/>
      </w:pPr>
      <w:r>
        <w:rPr>
          <w:sz w:val="20"/>
          <w:szCs w:val="20"/>
        </w:rPr>
        <w:t xml:space="preserve">A avaliação usa validação walk-forward: 17 origens diferentes ao longo do período de teste, cada uma prevendo os 3 horizontes com janela expansiva, sempre sem olhar dados futuros.</w:t>
      </w:r>
    </w:p>
    <w:p>
      <w:pPr>
        <w:spacing w:after="80"/>
      </w:pPr>
      <w:r>
        <w:rPr>
          <w:sz w:val="20"/>
          <w:szCs w:val="20"/>
        </w:rPr>
        <w:t xml:space="preserve">O case está dividido em 5 notebooks: 01 explora e prepara os dados, 02 testa baselines e modelos clássicos de série temporal, 03 testa Machine Learning e Prophet, 04 junta tudo numa comparação final, e 05 é um teste extra sobre features.</w:t>
      </w:r>
    </w:p>
    <w:p>
      <w:pPr>
        <w:spacing w:after="80"/>
      </w:pPr>
      <w:r>
        <w:rPr>
          <w:sz w:val="20"/>
          <w:szCs w:val="20"/>
        </w:rPr>
        <w:t xml:space="preserve">A linha do tempo da apresentação segue exatamente essa ordem.</w:t>
      </w:r>
    </w:p>
    <w:p>
      <w:pPr>
        <w:pStyle w:val="Heading1"/>
        <w:spacing w:after="200" w:before="400"/>
      </w:pPr>
      <w:r>
        <w:t xml:space="preserve">Notebook 01 — Análise Exploratória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3-4
(Carregamento)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dados vêm de dois arquivos, treino e teste, carregados com a data já convertida. Dizer quantas linhas tem cada um e o período coberto (aparece no print da célula 6).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6-18
(Qualidade dos dados)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Checagem de qualidade básica: 3 datas no treino têm todas as colunas vazias (28/03/2013, 26/04/2013 e 26/07/2013), não há datas duplicadas, e não há sobreposição de datas entre treino e teste. Mostra que a base é limpa na maior parte.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21
(Limpeza)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3 datas totalmente vazias são preenchidas por interpolação linear a partir dos dias adjacentes. O Volume é convertido para inteiro nos dois conjuntos, para bater com o tipo do teste.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23-24
(Estrutura temporal)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Verificação de dias de pregão ausentes: 63 dias úteis não aparecem no treino, e o maior intervalo entre dois pregões seguidos foi de 5 dias corridos. Isso é compatível com feriados normais, não é sinal de dado perdido (um gap de 10 ou 15 dias que não fosse feriado, aí sim seria preocupante).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27
(Estatísticas do Close)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Close varia de 4,20 a 27,39 ao longo do treino, com bastante variabilidade, o que já antecipa uma série não estacionária.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29-31
(Outliers)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Pelo critério IQR, o Close tem 1 outlier: o pico de 27,39 em 16/05/2018, bem perto do fim do treino. Não é tratado porque não é erro, é o valor mais alto real que a ação atingiu, e o IQR tende a marcar a ponta de uma série com tendência como outlier mesmo sem ser anomalia. O Volume tem 41 outliers, também não tratados, porque Volume não entra nos modelos univariados usados no case.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33-34
(Retornos)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retorno diário (variação percentual dia a dia) tem média perto de zero (0,05%) e desvio-padrão de 3,19%, com mínimo de -15,76% e máximo de +16,28%. Mostra que, no dia a dia, o preço sobe tanto quanto desce.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36-37
(Choques)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dias tiveram retorno acima de 4 desvios-padrão (mais de 12,76% de variação): 03/02/2015, 22/02/2016, 03/03/2016, 18/05/2017 e 24/05/2018. Esse último é a queda de 13,7% que fecha o período de treino, um dia antes do teste começar, e volta a aparecer várias vezes no case como o principal motivo de erro dos modelos.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40-41
(Série completa)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gráfico mostra alta volatilidade, com quedas e recuperações, uma tendência de alta a partir de 2016 até o pico de 2018, seguida da queda acentuada logo no início do período de teste.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43
(Zoom treino → teste)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Zoom nos últimos 60 dias de treino mais os 19 dias de teste, para mostrar de perto a queda que separa os dois períodos.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45-46
(Tendência e sazonalidade)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Decomposição aditiva com período semanal (m=5). A amplitude da sazonalidade (0,0231) é desprezível perto da amplitude da tendência (22,04), ou seja, não existe um padrão semanal relevante no preço. Esse achado volta a aparecer no notebook 02, quando o SARIMA testa sazonalidade e não ganha nada sobre o ARIMA.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48-49
(Estacionariedade)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teste de Dickey-Fuller no nível do Close não rejeita a hipótese de não estacionariedade, ou seja, a série tem raiz unitária, comportamento de passeio aleatório.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51-52
(Diferenciação)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Depois de diferenciar uma vez (d=1), o p-valor do teste cai para 0,0000, a série passa a ser estacionária. Essa é a ordem de diferenciação usada depois no ARIMA.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54-55
(ACF e PACF)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nível, a ACF decai devagar (autocorrelação forte, série não estacionária) e a PACF tem só um pico forte no lag 1. Depois de diferenciar, ACF e PACF ficam perto de zero, confirmando que a diferenciação removeu a dependência temporal.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57 em diante
(Validação walk-forward)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o esquema de validação usado em todos os notebooks seguintes: 17 origens ao longo do teste, janela expansiva (treino completo mais os dias de teste já revelados), prevendo sempre h=1, h=2 e h=3 a partir de cada origem, sem espiar o futuro.</w:t>
            </w:r>
          </w:p>
        </w:tc>
      </w:tr>
    </w:tbl>
    <w:p>
      <w:pPr>
        <w:pStyle w:val="Heading1"/>
        <w:spacing w:after="200" w:before="400"/>
      </w:pPr>
      <w:r>
        <w:t xml:space="preserve">Notebook 02 — Baseline e Modelos Clássicos</w:t>
      </w:r>
    </w:p>
    <w:p>
      <w:pPr>
        <w:spacing w:after="160"/>
      </w:pPr>
      <w:r>
        <w:t xml:space="preserve">Com a validação já definida no notebook 01, aqui entram as primeiras famílias de modelos, testadas nas mesmas 17 origens.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1-2
(Setup)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os dados processados e recupera as 17 origens de validação definidas no notebook 01.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3-5
(Baselines: Naïve e Seasonal Naïve)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Naïve repete o último valor conhecido para todos os horizontes. Seasonal Naïve (m=5) repete o valor de 5 dias úteis atrás, a mesma posição no ciclo semanal.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6-7
(Baselines: SES, Holt e Holt-Winters)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três são reajustados a cada origem, com a janela expansiva. SES acompanha só o nível, Holt soma tendência amortecida, Holt-Winters soma também uma sazonalidade semanal.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8-11
(Modelos clássicos: ARIMA e SARIMA)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ordem (p, d, q) é escolhida uma vez por AIC no treino completo, e os coeficientes são reajustados a cada origem com essa ordem fixa. A busca por uma ordem sazonal no SARIMA não encontrou ganho sobre o ARIMA, confirmando a ausência de sazonalidade já vista no notebook 01.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12-15
(Consolidação)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e gráfico de MAPE por horizonte para os 7 modelos. O Seasonal Naïve é o pior de todos, com erro quase o dobro dos demais, por assumir um padrão semanal que a série não tem.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16-17
(Conclusão)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Holt tem o menor MAPE médio (4,88%) dos 7 modelos clássicos. Ele vence porque soma só um pouco de tendência amortecida ao último preço, captando o movimento recente sem exagerar (como o Holt-Winters faz com uma sazonalidade que não existe).</w:t>
            </w:r>
          </w:p>
        </w:tc>
      </w:tr>
    </w:tbl>
    <w:p>
      <w:pPr>
        <w:pStyle w:val="Heading1"/>
        <w:spacing w:after="200" w:before="400"/>
      </w:pPr>
      <w:r>
        <w:t xml:space="preserve">Notebook 03 — Avaliação de Modelos (Machine Learning)</w:t>
      </w:r>
    </w:p>
    <w:p>
      <w:pPr>
        <w:spacing w:after="160"/>
      </w:pPr>
      <w:r>
        <w:t xml:space="preserve">Muda a abordagem: em vez de um modelo estatístico ajustado à série, aqui são construídas features (lags, médias móveis, retorno, calendário) para treinar modelos de Machine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1-4
(Setup e features)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features são construídas a partir do histórico (lags de 1 a 20 dias, médias e desvios móveis, retorno, dia da semana, dia, mês, volume defasado), sempre usando só dados já conhecidos até o dia anterior, sem vazamento.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5-8
(Correlação das features com o alvo)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Antes de treinar qualquer modelo, a correlação de cada feature com o alvo (target_h1) é calculada, e depois a correlação entre as próprias features. lag_1 até lag_20 e as médias móveis chegam a 0,99 de correlação entre si, ou seja, são altamente redundantes, esperado numa série não estacionária, onde tudo se move junto com a tendência.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9-10
(Seleção do algoritmo)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Quatro candidatos são comparados numa validação interna (últimos 40 dias de treino, sem tocar no teste real): Ridge, Random Forest, Gradient Boosting e XGBoost. O Ridge vence nos três horizontes.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11-13
(Retreino final e walk-forward)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Ridge escolhido é retreinado com todo o histórico e avaliado nas mesmas 17 origens. Resultado: MAPE de 6,43% (h=1), 5,60% (h=2) e 7,71% (h=3), média de 6,58%, pior que o Naïve e bem atrás do Holt.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14-15
(Comparação com os outros candidatos)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comparação, Random Forest, Gradient Boosting e XGBoost também são treinados com todo o histórico e avaliados nas mesmas 17 origens, mesmo sem terem vencido a seleção interna. Nenhum chega perto do Ridge: Random Forest 7,24% de MAPE médio, XGBoost 9,40%, Gradient Boosting 10,14%, o pior de todos.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16-19
(Prophet)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Prophet decompõe a série em tendência mais sazonalidade, sem usar as features de lag. Ele superestima bastante o preço (MAPE médio de 37,33%), porque prioriza a tendência de alta do histórico e demora para reagir à queda recente da série.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20-21
(Interpretação do modelo)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coeficientes do Ridge para h=1 mostram que lag_1 concentra praticamente todo o peso (0,961), com as demais features contribuindo muito pouco. Isso é reflexo direto da redundância vista na análise de correlação.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22-23
(Gráfico final)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Consolida visualmente o MAPE por horizonte de todos os modelos de Machine Learning e do Prophet.</w:t>
            </w:r>
          </w:p>
        </w:tc>
      </w:tr>
    </w:tbl>
    <w:p>
      <w:pPr>
        <w:pStyle w:val="Heading1"/>
        <w:spacing w:after="200" w:before="400"/>
      </w:pPr>
      <w:r>
        <w:t xml:space="preserve">Notebook 04 — Comparação Final</w:t>
      </w:r>
    </w:p>
    <w:p>
      <w:pPr>
        <w:spacing w:after="160"/>
      </w:pPr>
      <w:r>
        <w:t xml:space="preserve">Junta os resultados dos notebooks 02 e 03, todos calculados sobre as mesmas 17 origens, numa comparação única entre os 12 modelos.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1-5
(Tabela de MAPE)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Holt tem o menor MAPE médio (4,88%), seguido de ARIMA, SARIMA e SES (perto de 5,2%). O Naïve também é competitivo (5,30%). Ridge, Random Forest, XGBoost e Gradient Boosting ficam todos acima disso, e o Prophet é o pior de todos.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6-7
(Tabela de RMSE)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Mesmo padrão em RMSE: Holt à frente, os modelos de Machine Learning atrás dos baselines e dos modelos clássicos.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8-9
(Ganho relativo ao Naïve)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Holt e SES superam o Naïve nos três horizontes, mas por margem pequena. A maioria dos outros modelos só ganha do Naïve em algum horizonte isolado, ou nunca ganha.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10-11
(Erro por horizonte, gráfico)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Prophet é o pior, seguido do Seasonal Naïve. Os outros modelos ficam próximos entre si, entre 4,4% e 7,7% de MAPE. A queda de 13,7% no fim do treino favorece os modelos que reagem rápido ao último preço.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12-13
(Ranking por RMSE)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Gráfico de barras ordenando todos os modelos pelo RMSE médio entre os três horizontes, com uma linha marcando o RMSE do Naïve como referência.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14-15
(Exemplo visual)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 as previsões de 3 origens diferentes lado a lado com o valor real, incluindo um caso em que o Ridge erra visivelmente mais que os modelos clássicos.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16
(Resultados consolidados)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modelo supera o Naïve de forma consistente nos três horizontes. Holt é o único que consegue isso, ainda que por pouco. Na prática, para esse horizonte curto, Holt oferece o melhor equilíbrio entre simplicidade e desempenho.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17
(Hipótese do mercado eficiente)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Conecta o resultado com a teoria: a série se comporta perto de um passeio aleatório, compatível com a hipótese do mercado eficiente (Fama, 1970) e com o que Malkiel descreve em A Random Walk Down Wall Street. Isso explica por que o Naïve e o Holt competem bem, e por que os modelos mais complexos, incluindo os quatro candidatos de Machine Learning, não conseguem superá-los de forma consistente.</w:t>
            </w:r>
          </w:p>
        </w:tc>
      </w:tr>
    </w:tbl>
    <w:p>
      <w:pPr>
        <w:pStyle w:val="Heading1"/>
        <w:spacing w:after="200" w:before="400"/>
      </w:pPr>
      <w:r>
        <w:t xml:space="preserve">Notebook 05 — Teste extra: features filtradas por correlação</w:t>
      </w:r>
    </w:p>
    <w:p>
      <w:pPr>
        <w:spacing w:after="160"/>
      </w:pPr>
      <w:r>
        <w:t xml:space="preserve">Notebook adicional, motivado pela redundância de features encontrada no notebook 03: será que filtrar as features melhora o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Célula</w:t>
            </w:r>
          </w:p>
        </w:tc>
        <w:tc>
          <w:tcPr>
            <w:tcW w:type="dxa" w:w="7760"/>
            <w:shd w:fill="2E5FA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0
(Motivação)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notebook 03 mostrou features muito correlacionadas entre si, e o notebook 04 explicou o porquê (série próxima de um passeio aleatório). Este notebook testa, com números, se remover essa redundância muda o desempenho do Ridge.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3-4
(Seleção por correlação)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filtro guloso mantém a feature mais correlacionada com o alvo de cada grupo redundante (correlação entre si acima de 0,9) e descarta o resto. De 19 features originais, sobraram 10.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5-6
(Validação interna)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Comparando Ridge com as 19 features contra o Ridge com as 10 filtradas, na mesma validação interna do notebook 03: o filtrado fica levemente melhor nos três horizontes (3,20/4,30/5,34 de RMSE contra 3,24/4,33/5,36).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Células 7-9
(Walk-forward)</w:t>
            </w:r>
          </w:p>
        </w:tc>
        <w:tc>
          <w:tcPr>
            <w:tcW w:type="dxa" w:w="776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 validação real de 17 origens, o filtrado melhora em h=1 e h=2 (6,25% e 5,45% de MAPE, contra 6,43% e 5,60%), mas praticamente empata em h=3 (7,77% contra 7,71%).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Célula 10
(Resultado)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ajuda um pouco, mas não muda o cenário: o Ridge filtrado continua bem acima do Holt (4,88% de MAPE médio). O teto de desempenho vem da natureza da série, não da quantidade de features.</w:t>
            </w:r>
          </w:p>
        </w:tc>
      </w:tr>
    </w:tbl>
    <w:p>
      <w:pPr>
        <w:pStyle w:val="Heading1"/>
        <w:spacing w:after="200" w:before="400"/>
      </w:pPr>
      <w:r>
        <w:t xml:space="preserve">Fechamento</w:t>
      </w:r>
    </w:p>
    <w:p>
      <w:pPr>
        <w:spacing w:after="160"/>
      </w:pPr>
      <w:r>
        <w:t xml:space="preserve">Mensagem final, depois de passar pelos 5 notebooks:</w:t>
      </w:r>
    </w:p>
    <w:p>
      <w:pPr>
        <w:spacing w:after="80"/>
      </w:pPr>
      <w:r>
        <w:rPr>
          <w:sz w:val="20"/>
          <w:szCs w:val="20"/>
        </w:rPr>
        <w:t xml:space="preserve">O modelo mais simples (Holt) venceu 11 outros modelos, incluindo quatro candidatos de Machine Learning e o Prophet.</w:t>
      </w:r>
    </w:p>
    <w:p>
      <w:pPr>
        <w:spacing w:after="80"/>
      </w:pPr>
      <w:r>
        <w:rPr>
          <w:sz w:val="20"/>
          <w:szCs w:val="20"/>
        </w:rPr>
        <w:t xml:space="preserve">Essa não é uma falha do case, é evidência convergente de várias frentes: a alta correlação entre features (notebook 03), o teste de filtragem que ajuda pouco (notebook 05), e a base teórica da hipótese do mercado eficiente (notebook 04). Todas apontam para a mesma conclusão: a série se comporta perto de um passeio aleatório, e o último preço conhecido é difícil de superar como preditor.</w:t>
      </w:r>
    </w:p>
    <w:p>
      <w:pPr>
        <w:spacing w:after="80"/>
      </w:pPr>
      <w:r>
        <w:rPr>
          <w:sz w:val="20"/>
          <w:szCs w:val="20"/>
        </w:rPr>
        <w:t xml:space="preserve">Para ir além disso, o caminho mais promissor não é testar mais modelos complexos sobre o mesmo alvo, e sim mudar o que está sendo previsto, por exemplo, direção do movimento (sobe ou desce) em vez do valor exato do preço.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2026-09-18T14:32:04.218Z</dcterms:created>
  <dcterms:modified xsi:type="dcterms:W3CDTF">2026-09-18T14:32:04.234Z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