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Documentação dos Notebooks</w:t>
      </w:r>
    </w:p>
    <w:p>
      <w:pPr>
        <w:spacing w:after="300"/>
      </w:pPr>
      <w:r>
        <w:rPr>
          <w:i/>
          <w:iCs/>
          <w:color w:val="555555"/>
        </w:rPr>
        <w:t xml:space="preserve">Case de previsão do preço de fechamento (Close) para 1, 2 e 3 dias úteis à frente</w:t>
      </w:r>
    </w:p>
    <w:p>
      <w:pPr>
        <w:pStyle w:val="Heading1"/>
        <w:spacing w:after="160" w:before="360"/>
      </w:pPr>
      <w:r>
        <w:t xml:space="preserve">Visão geral do case</w:t>
      </w:r>
    </w:p>
    <w:p>
      <w:pPr>
        <w:spacing w:after="160"/>
      </w:pPr>
      <w:r>
        <w:rPr>
          <w:i w:val="false"/>
          <w:iCs w:val="false"/>
        </w:rPr>
        <w:t xml:space="preserve">O objetivo é prever o preço de fechamento (Close) de uma ação para 1, 2 e 3 dias úteis à frente, usando apenas o histórico de preços disponível até o dia da previsão. O Adj Close fica fora da modelagem, o alvo definido é o Close cru.</w:t>
      </w:r>
    </w:p>
    <w:p>
      <w:pPr>
        <w:spacing w:after="160"/>
      </w:pPr>
      <w:r>
        <w:rPr>
          <w:i w:val="false"/>
          <w:iCs w:val="false"/>
        </w:rPr>
        <w:t xml:space="preserve">O trabalho está dividido em quatro notebooks que se conectam em sequência: o primeiro entende os dados e define como a previsão vai ser validada, o segundo e o terceiro testam famílias diferentes de modelos sobre essa mesma validação (modelos clássicos de série temporal, e depois Machine Learning e Prophet), e o quarto junta os resultados de todos e compara. Essa ordem existe porque cada notebook depende do anterior: o 02, o 03 e o 04 leem dados ou resultados gerados por quem veio antes deles.</w:t>
      </w:r>
    </w:p>
    <w:p>
      <w:pPr>
        <w:spacing w:after="160"/>
      </w:pPr>
      <w:r>
        <w:rPr>
          <w:i w:val="false"/>
          <w:iCs w:val="false"/>
        </w:rPr>
        <w:t xml:space="preserve">Em todos os notebooks, a validação usada é a mesma: walk-forward com janela expansiva e 17 origens. A cada origem, o modelo só enxerga dados até aquele dia, prevê os 3 dias seguintes, e a origem avança um dia para a rodada seguinte. Essa é a razão de existir uma seção inteira dedicada a isso no notebook 01: definir esse esquema uma única vez, para que os notebooks seguintes só precisem aplicá-lo.</w:t>
      </w:r>
    </w:p>
    <w:p>
      <w:pPr>
        <w:pStyle w:val="Heading1"/>
        <w:spacing w:after="160" w:before="360"/>
      </w:pPr>
      <w:r>
        <w:t xml:space="preserve">Notebook 01 — Análise Exploratória da Série Temporal</w:t>
      </w:r>
    </w:p>
    <w:p>
      <w:pPr>
        <w:spacing w:after="160"/>
      </w:pPr>
      <w:r>
        <w:rPr>
          <w:i w:val="false"/>
          <w:iCs w:val="false"/>
        </w:rPr>
        <w:t xml:space="preserve">Antes de ajustar qualquer modelo, este notebook examina os dados: qualidade, comportamento ao longo do tempo, tendência, sazonalidade e estrutura de autocorrelação. A última seção define como a previsão será validada nos notebooks seguintes.</w:t>
      </w:r>
    </w:p>
    <w:p>
      <w:pPr>
        <w:pStyle w:val="Heading2"/>
        <w:spacing w:after="120" w:before="240"/>
      </w:pPr>
      <w:r>
        <w:t xml:space="preserve">1. Carregamento</w:t>
      </w:r>
    </w:p>
    <w:p>
      <w:pPr>
        <w:spacing w:after="160"/>
      </w:pPr>
      <w:r>
        <w:rPr>
          <w:i w:val="false"/>
          <w:iCs w:val="false"/>
        </w:rPr>
        <w:t xml:space="preserve">Os arquivos brutos de treino e teste são lidos com ut.load_raw, sem nenhuma alteração. Essa separação entre dado bruto (data/raw) e dado tratado existe para que a origem dos números possa sempre ser conferida: nada é sobrescrito nesta etapa.</w:t>
      </w:r>
    </w:p>
    <w:p>
      <w:pPr>
        <w:pStyle w:val="Heading2"/>
        <w:spacing w:after="120" w:before="240"/>
      </w:pPr>
      <w:r>
        <w:t xml:space="preserve">2. Qualidade dos dados</w:t>
      </w:r>
    </w:p>
    <w:p>
      <w:pPr>
        <w:spacing w:after="160"/>
      </w:pPr>
      <w:r>
        <w:rPr>
          <w:i w:val="false"/>
          <w:iCs w:val="false"/>
        </w:rPr>
        <w:t xml:space="preserve">São conferidos o tamanho e o período de cada base, os tipos de cada coluna (train_raw.info()), valores ausentes e datas duplicadas ou sobrepostas entre treino e teste. Essa checagem existe para detectar problemas de coleta antes que eles se propaguem para os modelos, três datas (28/03/2013, 26/04/2013 e 26/07/2013) aparecem com todas as colunas vazias, sem duplicidade e sem sobreposição entre treino e teste.</w:t>
      </w:r>
    </w:p>
    <w:p>
      <w:pPr>
        <w:pStyle w:val="Heading2"/>
        <w:spacing w:after="120" w:before="240"/>
      </w:pPr>
      <w:r>
        <w:t xml:space="preserve">3. Limpeza</w:t>
      </w:r>
    </w:p>
    <w:p>
      <w:pPr>
        <w:spacing w:after="160"/>
      </w:pPr>
      <w:r>
        <w:rPr>
          <w:i w:val="false"/>
          <w:iCs w:val="false"/>
        </w:rPr>
        <w:t xml:space="preserve">As 3 datas totalmente vazias são interpoladas linearmente a partir dos dias adjacentes, e o resultado é salvo em data/processed via ut.clean_and_save. Esta é a única transformação de limpeza do case, feita uma única vez aqui: os notebooks 02, 03 e 04 só leem data/processed, nunca repetem essa lógica, o que garante que rodar tudo do zero sempre produz o mesmo resultado.</w:t>
      </w:r>
    </w:p>
    <w:p>
      <w:pPr>
        <w:pStyle w:val="Heading2"/>
        <w:spacing w:after="120" w:before="240"/>
      </w:pPr>
      <w:r>
        <w:t xml:space="preserve">4. Estrutura temporal</w:t>
      </w:r>
    </w:p>
    <w:p>
      <w:pPr>
        <w:spacing w:after="160"/>
      </w:pPr>
      <w:r>
        <w:rPr>
          <w:i w:val="false"/>
          <w:iCs w:val="false"/>
        </w:rPr>
        <w:t xml:space="preserve">A partir do calendário de dias úteis, é verificado quantos pregões esperados realmente aparecem nos dados. 63 dias úteis não aparecem no período de treino e o maior intervalo entre dois pregões seguidos foi de 5 dias corridos. Essa etapa existe para confirmar que os "buracos" no calendário são feriados de bolsa normais, e não falhas de coleta.</w:t>
      </w:r>
    </w:p>
    <w:p>
      <w:pPr>
        <w:pStyle w:val="Heading2"/>
        <w:spacing w:after="120" w:before="240"/>
      </w:pPr>
      <w:r>
        <w:t xml:space="preserve">5. Análise da variável alvo</w:t>
      </w:r>
    </w:p>
    <w:p>
      <w:pPr>
        <w:spacing w:after="160"/>
      </w:pPr>
      <w:r>
        <w:rPr>
          <w:i w:val="false"/>
          <w:iCs w:val="false"/>
        </w:rPr>
        <w:t xml:space="preserve">Esta seção olha para o Close (e para o Volume como variável auxiliar) sob quatro ângulos, para entender o regime de preços e de volatilidade antes de escolher modelos:</w:t>
      </w:r>
    </w:p>
    <w:p>
      <w:pPr>
        <w:pStyle w:val="Heading3"/>
        <w:spacing w:after="100" w:before="200"/>
      </w:pPr>
      <w:r>
        <w:t xml:space="preserve">Estatísticas</w:t>
      </w:r>
    </w:p>
    <w:p>
      <w:pPr>
        <w:spacing w:after="160"/>
      </w:pPr>
      <w:r>
        <w:rPr>
          <w:i w:val="false"/>
          <w:iCs w:val="false"/>
        </w:rPr>
        <w:t xml:space="preserve">O Close varia de 4,20 a 27,39 e se concentra em torno de 15, o que já indica alta variabilidade dos preços ao longo do período.</w:t>
      </w:r>
    </w:p>
    <w:p>
      <w:pPr>
        <w:pStyle w:val="Heading3"/>
        <w:spacing w:after="100" w:before="200"/>
      </w:pPr>
      <w:r>
        <w:t xml:space="preserve">Outliers</w:t>
      </w:r>
    </w:p>
    <w:p>
      <w:pPr>
        <w:spacing w:after="160"/>
      </w:pPr>
      <w:r>
        <w:rPr>
          <w:i w:val="false"/>
          <w:iCs w:val="false"/>
        </w:rPr>
        <w:t xml:space="preserve">Pelo critério IQR há 1 outlier em Close e 41 em Volume. Os outliers de Volume não são tratados porque Volume não entra nos modelos univariados de previsão do Close, eles apenas indicam períodos de movimentação acima do padrão.</w:t>
      </w:r>
    </w:p>
    <w:p>
      <w:pPr>
        <w:pStyle w:val="Heading3"/>
        <w:spacing w:after="100" w:before="200"/>
      </w:pPr>
      <w:r>
        <w:t xml:space="preserve">Retornos</w:t>
      </w:r>
    </w:p>
    <w:p>
      <w:pPr>
        <w:spacing w:after="160"/>
      </w:pPr>
      <w:r>
        <w:rPr>
          <w:i w:val="false"/>
          <w:iCs w:val="false"/>
        </w:rPr>
        <w:t xml:space="preserve">A variação percentual diária do Close (pct_change) fica próxima de zero em média, mas com oscilações de até aproximadamente ±16%, sinal de alta variabilidade de curto prazo.</w:t>
      </w:r>
    </w:p>
    <w:p>
      <w:pPr>
        <w:pStyle w:val="Heading3"/>
        <w:spacing w:after="100" w:before="200"/>
      </w:pPr>
      <w:r>
        <w:t xml:space="preserve">Choques</w:t>
      </w:r>
    </w:p>
    <w:p>
      <w:pPr>
        <w:spacing w:after="160"/>
      </w:pPr>
      <w:r>
        <w:rPr>
          <w:i w:val="false"/>
          <w:iCs w:val="false"/>
        </w:rPr>
        <w:t xml:space="preserve">Foram identificados 5 dias com retorno acima de 4 desvios-padrão, tanto de alta quanto de queda. Mapear esses choques importa porque um deles, a queda de 24/05/2018, cai bem na fronteira entre treino e teste e volta a aparecer na leitura dos resultados no notebook 04.</w:t>
      </w:r>
    </w:p>
    <w:p>
      <w:pPr>
        <w:pStyle w:val="Heading2"/>
        <w:spacing w:after="120" w:before="240"/>
      </w:pPr>
      <w:r>
        <w:t xml:space="preserve">6. Visualização do Close</w:t>
      </w:r>
    </w:p>
    <w:p>
      <w:pPr>
        <w:spacing w:after="160"/>
      </w:pPr>
      <w:r>
        <w:rPr>
          <w:i w:val="false"/>
          <w:iCs w:val="false"/>
        </w:rPr>
        <w:t xml:space="preserve">A série completa e um zoom na transição entre treino e teste são plotados. O preço mostra alta volatilidade, com quedas e recuperações, uma tendência de alta a partir de 2016 até um pico próximo de US$ 27 em 2018, seguida por uma queda acentuada logo no início do período de teste. Ver isso visualmente, antes de qualquer teste estatístico, ajuda a interpretar os números das seções seguintes.</w:t>
      </w:r>
    </w:p>
    <w:p>
      <w:pPr>
        <w:pStyle w:val="Heading2"/>
        <w:spacing w:after="120" w:before="240"/>
      </w:pPr>
      <w:r>
        <w:t xml:space="preserve">7. Tendência e sazonalidade</w:t>
      </w:r>
    </w:p>
    <w:p>
      <w:pPr>
        <w:spacing w:after="160"/>
      </w:pPr>
      <w:r>
        <w:rPr>
          <w:i w:val="false"/>
          <w:iCs w:val="false"/>
        </w:rPr>
        <w:t xml:space="preserve">Uma decomposição aditiva (seasonal_decompose, período de 5 dias úteis) separa a série em tendência, sazonalidade semanal e resíduo. Não há padrão semanal significativo no preço: a amplitude da sazonalidade (0,0231) é irrelevante perto da amplitude da tendência (22,04). Essa etapa existe para decidir se vale a pena usar componentes sazonais nos modelos, e a resposta aqui é não.</w:t>
      </w:r>
    </w:p>
    <w:p>
      <w:pPr>
        <w:pStyle w:val="Heading2"/>
        <w:spacing w:after="120" w:before="240"/>
      </w:pPr>
      <w:r>
        <w:t xml:space="preserve">8. Estacionariedade</w:t>
      </w:r>
    </w:p>
    <w:p>
      <w:pPr>
        <w:spacing w:after="160"/>
      </w:pPr>
      <w:r>
        <w:rPr>
          <w:i w:val="false"/>
          <w:iCs w:val="false"/>
        </w:rPr>
        <w:t xml:space="preserve">O teste ADF aplicado ao Close em nível aponta comportamento não estacionário. Isso é esperado para preços de ações e é o motivo de a etapa seguinte existir: sem estacionariedade, os modelos da família ARIMA não podem ser ajustados diretamente sobre o nível da série.</w:t>
      </w:r>
    </w:p>
    <w:p>
      <w:pPr>
        <w:pStyle w:val="Heading2"/>
        <w:spacing w:after="120" w:before="240"/>
      </w:pPr>
      <w:r>
        <w:t xml:space="preserve">9. Diferenciação</w:t>
      </w:r>
    </w:p>
    <w:p>
      <w:pPr>
        <w:spacing w:after="160"/>
      </w:pPr>
      <w:r>
        <w:rPr>
          <w:i w:val="false"/>
          <w:iCs w:val="false"/>
        </w:rPr>
        <w:t xml:space="preserve">Aplicando a primeira diferença (a variação de um dia para o outro) e repetindo o teste ADF, o p-valor cai para 0,0000, ou seja, a série passa a ser estacionária. Com isso, uma diferenciação (d = 1) é definida como adequada para a modelagem ARIMA no notebook 02.</w:t>
      </w:r>
    </w:p>
    <w:p>
      <w:pPr>
        <w:pStyle w:val="Heading2"/>
        <w:spacing w:after="120" w:before="240"/>
      </w:pPr>
      <w:r>
        <w:t xml:space="preserve">10. ACF e PACF</w:t>
      </w:r>
    </w:p>
    <w:p>
      <w:pPr>
        <w:spacing w:after="160"/>
      </w:pPr>
      <w:r>
        <w:rPr>
          <w:i w:val="false"/>
          <w:iCs w:val="false"/>
        </w:rPr>
        <w:t xml:space="preserve">Os gráficos de autocorrelação (ACF) e autocorrelação parcial (PACF) são comparados em nível e após a diferenciação. Em nível, a ACF decai lentamente e a PACF mostra um pico forte só no lag 1, a assinatura de uma série não estacionária com dependência principal no valor anterior. Depois de diferenciada, tanto ACF quanto PACF ficam próximas de zero, mostrando pouca dependência linear residual. Essa leitura sustenta a mesma conclusão da seção anterior e informa a escolha da ordem do ARIMA no notebook seguinte.</w:t>
      </w:r>
    </w:p>
    <w:p>
      <w:pPr>
        <w:pStyle w:val="Heading2"/>
        <w:spacing w:after="120" w:before="240"/>
      </w:pPr>
      <w:r>
        <w:t xml:space="preserve">11. Validação walk-forward</w:t>
      </w:r>
    </w:p>
    <w:p>
      <w:pPr>
        <w:spacing w:after="160"/>
      </w:pPr>
      <w:r>
        <w:rPr>
          <w:i w:val="false"/>
          <w:iCs w:val="false"/>
        </w:rPr>
        <w:t xml:space="preserve">A última seção define o esquema de validação usado por todos os notebooks seguintes: a cada origem, o modelo enxerga apenas os dados conhecidos até aquele dia, prevê os próximos 3 dias úteis (h = 1, 2 e 3), a origem avança um dia e o processo se repete. Com 19 dias de teste e horizonte máximo de 3, isso gera 17 origens de validação, ou seja, 17 previsões para cada horizonte, em vez de um único ponto de comparação. Definir isso uma única vez aqui, e não em cada notebook de modelo, é o que garante que os modelos clássicos, o Machine Learning e o Prophet sejam comparados exatamente nas mesmas condições no notebook 04.</w:t>
      </w:r>
    </w:p>
    <w:p>
      <w:pPr>
        <w:pStyle w:val="Heading1"/>
        <w:spacing w:after="160" w:before="360"/>
      </w:pPr>
      <w:r>
        <w:t xml:space="preserve">Notebook 02 — Baseline e Modelos Clássicos</w:t>
      </w:r>
    </w:p>
    <w:p>
      <w:pPr>
        <w:spacing w:after="160"/>
      </w:pPr>
      <w:r>
        <w:rPr>
          <w:i w:val="false"/>
          <w:iCs w:val="false"/>
        </w:rPr>
        <w:t xml:space="preserve">Com a validação definida no notebook 01, este notebook aplica sete modelos clássicos de série temporal às mesmas 17 origens: Naïve, Seasonal Naïve, SES, Holt, Holt-Winters, ARIMA e SARIMA.</w:t>
      </w:r>
    </w:p>
    <w:p>
      <w:pPr>
        <w:pStyle w:val="Heading2"/>
        <w:spacing w:after="120" w:before="240"/>
      </w:pPr>
      <w:r>
        <w:t xml:space="preserve">Configuração</w:t>
      </w:r>
    </w:p>
    <w:p>
      <w:pPr>
        <w:spacing w:after="160"/>
      </w:pPr>
      <w:r>
        <w:rPr>
          <w:i w:val="false"/>
          <w:iCs w:val="false"/>
        </w:rPr>
        <w:t xml:space="preserve">Os dados são lidos de data/processed (nunca de data/raw), e as mesmas origens de validação do notebook 01 são recalculadas a partir do tamanho de treino e teste, para garantir que os dois notebooks usem exatamente o mesmo esquema.</w:t>
      </w:r>
    </w:p>
    <w:p>
      <w:pPr>
        <w:pStyle w:val="Heading2"/>
        <w:spacing w:after="120" w:before="240"/>
      </w:pPr>
      <w:r>
        <w:t xml:space="preserve">Naïve e Seasonal Naïve</w:t>
      </w:r>
    </w:p>
    <w:p>
      <w:pPr>
        <w:spacing w:after="160"/>
      </w:pPr>
      <w:r>
        <w:rPr>
          <w:i w:val="false"/>
          <w:iCs w:val="false"/>
        </w:rPr>
        <w:t xml:space="preserve">O Naïve repete o último valor conhecido para todos os horizontes, e o Seasonal Naïve repete o valor de 5 dias úteis atrás (a mesma posição no ciclo semanal). Os dois servem de referência mínima: qualquer modelo mais elaborado precisa justificar sua complexidade batendo esses números.</w:t>
      </w:r>
    </w:p>
    <w:p>
      <w:pPr>
        <w:pStyle w:val="Heading2"/>
        <w:spacing w:after="120" w:before="240"/>
      </w:pPr>
      <w:r>
        <w:t xml:space="preserve">SES, Holt e Holt-Winters</w:t>
      </w:r>
    </w:p>
    <w:p>
      <w:pPr>
        <w:spacing w:after="160"/>
      </w:pPr>
      <w:r>
        <w:rPr>
          <w:i w:val="false"/>
          <w:iCs w:val="false"/>
        </w:rPr>
        <w:t xml:space="preserve">Cada um desses três modelos de suavização exponencial é reajustado em cada origem, com uma janela expansiva (todo o treino mais os dias de teste já revelados até aquele ponto), e forecast(3) gera h=1, 2 e 3 de uma só vez. SES captura só o nível, Holt adiciona tendência, e Holt-Winters adiciona também um componente sazonal, o que permite comparar diretamente se cada componente extra ajuda ou não.</w:t>
      </w:r>
    </w:p>
    <w:p>
      <w:pPr>
        <w:pStyle w:val="Heading2"/>
        <w:spacing w:after="120" w:before="240"/>
      </w:pPr>
      <w:r>
        <w:t xml:space="preserve">ARIMA e SARIMA</w:t>
      </w:r>
    </w:p>
    <w:p>
      <w:pPr>
        <w:spacing w:after="160"/>
      </w:pPr>
      <w:r>
        <w:rPr>
          <w:i w:val="false"/>
          <w:iCs w:val="false"/>
        </w:rPr>
        <w:t xml:space="preserve">A ordem (p, d, q) é escolhida uma única vez por AIC, usando todo o treino, porque buscar essa ordem em cada uma das 17 origens seria caro e instável. O que muda a cada origem são os coeficientes do modelo, reajustados com essa ordem fixa, prática padrão em cenários de produção, já que a estrutura da série muda pouco no curto prazo.</w:t>
      </w:r>
    </w:p>
    <w:p>
      <w:pPr>
        <w:pStyle w:val="Heading2"/>
        <w:spacing w:after="120" w:before="240"/>
      </w:pPr>
      <w:r>
        <w:t xml:space="preserve">Consolidação e leitura dos resultados</w:t>
      </w:r>
    </w:p>
    <w:p>
      <w:pPr>
        <w:spacing w:after="160"/>
      </w:pPr>
      <w:r>
        <w:rPr>
          <w:i w:val="false"/>
          <w:iCs w:val="false"/>
        </w:rPr>
        <w:t xml:space="preserve">As previsões e métricas de todos os sete modelos são salvas em results/predictions_classicos.csv e results/metrics_classicos.csv, e o MAPE por horizonte é plotado. O Seasonal Naïve foi o pior modelo nos três horizontes (MAPE 13,55 / 10,72 / 9,13), com erro quase o dobro dos demais, porque assume um padrão semanal que a série não tem. O Holt foi o melhor (5,11 / 5,12 / 4,41), à frente de SES (5,24 / 5,38 / 5,18), ARIMA (5,23 / 5,49 / 4,94) e do próprio Naïve (5,25 / 5,42 / 5,22). O SARIMA repetiu exatamente os números do ARIMA, porque a busca sazonal não encontrou nenhum ganho ao incluir esse componente.</w:t>
      </w:r>
    </w:p>
    <w:p>
      <w:pPr>
        <w:pStyle w:val="Heading1"/>
        <w:spacing w:after="160" w:before="360"/>
      </w:pPr>
      <w:r>
        <w:t xml:space="preserve">Notebook 03 — Machine Learning e Prophet</w:t>
      </w:r>
    </w:p>
    <w:p>
      <w:pPr>
        <w:spacing w:after="160"/>
      </w:pPr>
      <w:r>
        <w:rPr>
          <w:i w:val="false"/>
          <w:iCs w:val="false"/>
        </w:rPr>
        <w:t xml:space="preserve">Depois dos modelos clássicos, este notebook testa duas abordagens diferentes sobre a mesma validação: modelos de Machine Learning baseados em features, e o Prophet.</w:t>
      </w:r>
    </w:p>
    <w:p>
      <w:pPr>
        <w:pStyle w:val="Heading2"/>
        <w:spacing w:after="120" w:before="240"/>
      </w:pPr>
      <w:r>
        <w:t xml:space="preserve">Engenharia de features e alvos diretos por horizonte</w:t>
      </w:r>
    </w:p>
    <w:p>
      <w:pPr>
        <w:spacing w:after="160"/>
      </w:pPr>
      <w:r>
        <w:rPr>
          <w:i w:val="false"/>
          <w:iCs w:val="false"/>
        </w:rPr>
        <w:t xml:space="preserve">As features (lags, médias e desvios móveis, variáveis de calendário) usam sempre Close.shift(1), de forma que a feature da linha t nunca enxerga o Close do próprio dia t. Os alvos target_h1, target_h2 e target_h3 são criados como o Close de t+1, t+2 e t+3. Essa construção existe para eliminar qualquer vazamento de informação futura para dentro das features, e para viabilizar a estratégia direta: um modelo especialista por horizonte, em vez de um único modelo recursivo que usaria sua própria previsão de h=1 como entrada para prever h=2 (o que acumularia erro de um horizonte para o outro).</w:t>
      </w:r>
    </w:p>
    <w:p>
      <w:pPr>
        <w:pStyle w:val="Heading2"/>
        <w:spacing w:after="120" w:before="240"/>
      </w:pPr>
      <w:r>
        <w:t xml:space="preserve">Seleção do algoritmo por horizonte</w:t>
      </w:r>
    </w:p>
    <w:p>
      <w:pPr>
        <w:spacing w:after="160"/>
      </w:pPr>
      <w:r>
        <w:rPr>
          <w:i w:val="false"/>
          <w:iCs w:val="false"/>
        </w:rPr>
        <w:t xml:space="preserve">Para cada horizonte, os últimos 40 dias úteis do treino são separados como validação interna, sem tocar no teste real, e três algoritmos são comparados: Ridge, Random Forest e Gradient Boosting. Essa validação interna existe para escolher o algoritmo por critério objetivo (menor erro), sem espiar o período de teste, e o Ridge foi o escolhido nos três horizontes.</w:t>
      </w:r>
    </w:p>
    <w:p>
      <w:pPr>
        <w:pStyle w:val="Heading2"/>
        <w:spacing w:after="120" w:before="240"/>
      </w:pPr>
      <w:r>
        <w:t xml:space="preserve">Retreino final e geração das previsões</w:t>
      </w:r>
    </w:p>
    <w:p>
      <w:pPr>
        <w:spacing w:after="160"/>
      </w:pPr>
      <w:r>
        <w:rPr>
          <w:i w:val="false"/>
          <w:iCs w:val="false"/>
        </w:rPr>
        <w:t xml:space="preserve">O algoritmo escolhido para cada horizonte é retreinado com todo o histórico de treino disponível, e as previsões são geradas nas mesmas 17 origens walk-forward, usando em cada uma delas apenas os dados reais conhecidos até aquele ponto. Isso mantém a comparação com os modelos clássicos do notebook 02 justa: mesma validação, mesma quantidade de informação disponível em cada origem.</w:t>
      </w:r>
    </w:p>
    <w:p>
      <w:pPr>
        <w:pStyle w:val="Heading2"/>
        <w:spacing w:after="120" w:before="240"/>
      </w:pPr>
      <w:r>
        <w:t xml:space="preserve">Prophet</w:t>
      </w:r>
    </w:p>
    <w:p>
      <w:pPr>
        <w:spacing w:after="160"/>
      </w:pPr>
      <w:r>
        <w:rPr>
          <w:i w:val="false"/>
          <w:iCs w:val="false"/>
        </w:rPr>
        <w:t xml:space="preserve">O Prophet ajusta tendência e sazonalidade diretamente sobre as colunas de data e Close, sem as features de lag e janela móvel usadas pelos modelos anteriores. Ele também é reajustado em cada uma das 17 origens e prevê os 3 horizontes de uma vez. Foi incluído para comparar uma abordagem de decomposição de série temporal, mais focada em tendência de longo prazo, contra os modelos que reagem principalmente ao último valor conhecido. O resultado aponta uma limitação clara: o Prophet superestima o preço no período de teste porque prioriza a tendência global do histórico inteiro e não captura a queda forte e recente da série.</w:t>
      </w:r>
    </w:p>
    <w:p>
      <w:pPr>
        <w:pStyle w:val="Heading2"/>
        <w:spacing w:after="120" w:before="240"/>
      </w:pPr>
      <w:r>
        <w:t xml:space="preserve">Interpretação do modelo (h = 1)</w:t>
      </w:r>
    </w:p>
    <w:p>
      <w:pPr>
        <w:spacing w:after="160"/>
      </w:pPr>
      <w:r>
        <w:rPr>
          <w:i w:val="false"/>
          <w:iCs w:val="false"/>
        </w:rPr>
        <w:t xml:space="preserve">Os coeficientes do Ridge para h=1 mostram lag_1 dominando com 0,961, muito à frente de qualquer outra feature (a segunda maior, roll_std_20, fica em -0,185). Isso indica que quase toda a capacidade preditiva do modelo vem do último preço conhecido, e não das médias móveis, desvios ou variáveis de calendário incluídas.</w:t>
      </w:r>
    </w:p>
    <w:p>
      <w:pPr>
        <w:pStyle w:val="Heading2"/>
        <w:spacing w:after="120" w:before="240"/>
      </w:pPr>
      <w:r>
        <w:t xml:space="preserve">Erro por horizonte, Machine Learning e Prophet</w:t>
      </w:r>
    </w:p>
    <w:p>
      <w:pPr>
        <w:spacing w:after="160"/>
      </w:pPr>
      <w:r>
        <w:rPr>
          <w:i w:val="false"/>
          <w:iCs w:val="false"/>
        </w:rPr>
        <w:t xml:space="preserve">O ml_ridge chega a 6,43% de MAPE em h=1, 5,60% em h=2 e 7,71% em h=3. O Prophet fica muito acima disso, entre 35,89% e 39,12% de MAPE nos três horizontes, o que já antecipa o que aparece com mais detalhe no notebook 04. As previsões e métricas de ambos são salvas em results/predictions_ml.csv e results/metrics_ml.csv.</w:t>
      </w:r>
    </w:p>
    <w:p>
      <w:pPr>
        <w:pStyle w:val="Heading1"/>
        <w:spacing w:after="160" w:before="360"/>
      </w:pPr>
      <w:r>
        <w:t xml:space="preserve">Notebook 04 — Comparação Final</w:t>
      </w:r>
    </w:p>
    <w:p>
      <w:pPr>
        <w:spacing w:after="160"/>
      </w:pPr>
      <w:r>
        <w:rPr>
          <w:i w:val="false"/>
          <w:iCs w:val="false"/>
        </w:rPr>
        <w:t xml:space="preserve">Este notebook junta os resultados do notebook 02 (sete modelos clássicos) e do notebook 03 (Machine Learning e Prophet), nove modelos ao todo, todos avaliados nas mesmas 17 origens de validação definidas no notebook 01. Como a base de comparação é igual para todos, a leitura das tabelas e gráficos abaixo é direta.</w:t>
      </w:r>
    </w:p>
    <w:p>
      <w:pPr>
        <w:pStyle w:val="Heading2"/>
        <w:spacing w:after="120" w:before="240"/>
      </w:pPr>
      <w:r>
        <w:t xml:space="preserve">Tabelas de MAPE e RMSE por modelo e horizonte</w:t>
      </w:r>
    </w:p>
    <w:p>
      <w:pPr>
        <w:spacing w:after="160"/>
      </w:pPr>
      <w:r>
        <w:rPr>
          <w:i w:val="false"/>
          <w:iCs w:val="false"/>
        </w:rPr>
        <w:t xml:space="preserve">Por MAPE médio, o Holt fica na frente com 4,88%, seguido de perto por ARIMA, SARIMA e SES, todos por volta de 5,2%. O Naïve fica no meio do grupo com 5,30%, o que já mostra que boa parte dos modelos mais elaborados não ganha muito dele. O ml_ridge fica acima de todos esses (6,58%), e Seasonal Naïve (11,13%) e Prophet (37,33%) ficam bem distantes do restante. Em RMSE a ordem muda pouco: Holt segue à frente (US$ 1,123 em média), e o Prophet erra US$ 5,96 em média, o maior erro entre os nove modelos.</w:t>
      </w:r>
    </w:p>
    <w:p>
      <w:pPr>
        <w:pStyle w:val="Heading2"/>
        <w:spacing w:after="120" w:before="240"/>
      </w:pPr>
      <w:r>
        <w:t xml:space="preserve">Ganho relativo ao Naïve</w:t>
      </w:r>
    </w:p>
    <w:p>
      <w:pPr>
        <w:spacing w:after="160"/>
      </w:pPr>
      <w:r>
        <w:rPr>
          <w:i w:val="false"/>
          <w:iCs w:val="false"/>
        </w:rPr>
        <w:t xml:space="preserve">Comparando cada modelo contra o Naïve horizonte a horizonte, só Holt e SES ficam positivos nos três horizontes, e mesmo assim por margens pequenas (a maior é a do Holt em h=3, com 11,9%). ARIMA, SARIMA e Holt-Winters pioram o RMSE em h=1 e h=2 e só melhoram em h=3. O ml_ridge varia bastante entre horizontes, de -40,4% em h=3 a +11,0% em h=2. Seasonal Naïve e Prophet pioram o Naïve nos três horizontes, o Prophet chega a errar quase 6 vezes mais RMSE que ele em h=3. Essa tabela existe justamente para responder se a complexidade extra de cada modelo se paga, e para a maioria deles a resposta é não.</w:t>
      </w:r>
    </w:p>
    <w:p>
      <w:pPr>
        <w:pStyle w:val="Heading2"/>
        <w:spacing w:after="120" w:before="240"/>
      </w:pPr>
      <w:r>
        <w:t xml:space="preserve">Erro por horizonte, todos os modelos</w:t>
      </w:r>
    </w:p>
    <w:p>
      <w:pPr>
        <w:spacing w:after="160"/>
      </w:pPr>
      <w:r>
        <w:rPr>
          <w:i w:val="false"/>
          <w:iCs w:val="false"/>
        </w:rPr>
        <w:t xml:space="preserve">O Prophet destoa dos outros oito modelos por uma margem grande, seguido de longe pelo Seasonal Naïve. Os sete modelos restantes ficam numa faixa estreita, entre 4,4% e 7,7% de MAPE. Os dois piores modelos têm uma explicação em comum: os dois se apoiam num valor mais antigo em vez do último preço conhecido (o Seasonal Naïve repete o preço de uma semana atrás, o Prophet pesa a tendência de longo prazo do histórico inteiro), e a série cai de forma abrupta bem no fim do treino, o choque de -13,7% em 24/05/2018 já visto no notebook 01. Um modelo que reage rápido ao último valor conhecido, como o Naïve ou o Holt, absorve essa queda de imediato. Um modelo que olha mais para o passado distante demora mais para reagir, e é isso que aparece no erro alto do Prophet neste teste.</w:t>
      </w:r>
    </w:p>
    <w:p>
      <w:pPr>
        <w:pStyle w:val="Heading2"/>
        <w:spacing w:after="120" w:before="240"/>
      </w:pPr>
      <w:r>
        <w:t xml:space="preserve">Ranking médio por RMSE</w:t>
      </w:r>
    </w:p>
    <w:p>
      <w:pPr>
        <w:spacing w:after="160"/>
      </w:pPr>
      <w:r>
        <w:rPr>
          <w:i w:val="false"/>
          <w:iCs w:val="false"/>
        </w:rPr>
        <w:t xml:space="preserve">Os seis primeiros do ranking ficam próximos entre si, entre US$ 1,123 e US$ 1,181. Depois deles, o ml_ridge já erra mais que todos os seis, mesmo usando mais informação (lags, médias móveis e calendário) do que qualquer um deles. Seasonal Naïve e Prophet ficam isolados no fim da lista, com erro bem maior que o restante.</w:t>
      </w:r>
    </w:p>
    <w:p>
      <w:pPr>
        <w:pStyle w:val="Heading2"/>
        <w:spacing w:after="120" w:before="240"/>
      </w:pPr>
      <w:r>
        <w:t xml:space="preserve">Exemplo visual e resultados consolidados</w:t>
      </w:r>
    </w:p>
    <w:p>
      <w:pPr>
        <w:spacing w:after="160"/>
      </w:pPr>
      <w:r>
        <w:rPr>
          <w:i w:val="false"/>
          <w:iCs w:val="false"/>
        </w:rPr>
        <w:t xml:space="preserve">Um gráfico final mostra as previsões de h=1, 2 e 3 a partir de três origens específicas do teste, lado a lado com o valor real. Juntando tudo: nenhum modelo bate o Naïve de forma consistente nos três horizontes, o Holt é o único que fica à frente dele nos três, mas por uma margem pequena em h=1 e h=2. Isso combina com o que o notebook 01 já indicava: a série se comporta como um passeio aleatório, o preço de ontem carrega quase toda a informação útil para prever amanhã, e é difícil ganhar muito disso usando tendência, sazonalidade ou variáveis extras. O ml_ridge e o Prophet mostram dois lados do mesmo problema: o ml_ridge usa várias features e ainda assim erra mais que o Naïve na maioria dos horizontes (coerente com o gráfico de coeficientes do notebook 03, em que lag_1 domina sozinho), e o Prophet erra muito mais que todos por ajustar a tendência olhando o histórico inteiro, sem acompanhar a queda recente e forte que fecha o período de treino.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2026-09-15T13:43:22.804Z</dcterms:created>
  <dcterms:modified xsi:type="dcterms:W3CDTF">2026-09-15T13:43:22.817Z</dcterms:modified>
</cp:coreProperties>
</file>

<file path=docProps/custom.xml><?xml version="1.0" encoding="utf-8"?>
<Properties xmlns="http://schemas.openxmlformats.org/officeDocument/2006/custom-properties" xmlns:vt="http://schemas.openxmlformats.org/officeDocument/2006/docPropsVTypes"/>
</file>